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hint="eastAsia" w:eastAsia="方正小标宋简体"/>
          <w:bCs/>
          <w:sz w:val="42"/>
          <w:szCs w:val="42"/>
        </w:rPr>
      </w:pPr>
    </w:p>
    <w:p>
      <w:pPr>
        <w:spacing w:line="800" w:lineRule="exact"/>
        <w:jc w:val="center"/>
        <w:rPr>
          <w:rFonts w:hint="eastAsia" w:eastAsia="方正小标宋简体"/>
          <w:bCs/>
          <w:sz w:val="46"/>
          <w:szCs w:val="46"/>
        </w:rPr>
      </w:pPr>
      <w:r>
        <w:rPr>
          <w:rFonts w:hint="eastAsia" w:eastAsia="方正小标宋简体"/>
          <w:bCs/>
          <w:sz w:val="46"/>
          <w:szCs w:val="46"/>
          <w:lang w:eastAsia="zh-CN"/>
        </w:rPr>
        <w:t>华容县</w:t>
      </w:r>
      <w:r>
        <w:rPr>
          <w:rFonts w:hint="eastAsia" w:eastAsia="方正小标宋简体"/>
          <w:bCs/>
          <w:sz w:val="46"/>
          <w:szCs w:val="46"/>
        </w:rPr>
        <w:t>20</w:t>
      </w:r>
      <w:r>
        <w:rPr>
          <w:rFonts w:hint="eastAsia" w:eastAsia="方正小标宋简体"/>
          <w:bCs/>
          <w:sz w:val="46"/>
          <w:szCs w:val="46"/>
          <w:lang w:val="en-US" w:eastAsia="zh-CN"/>
        </w:rPr>
        <w:t>21</w:t>
      </w:r>
      <w:r>
        <w:rPr>
          <w:rFonts w:hint="eastAsia" w:eastAsia="方正小标宋简体"/>
          <w:bCs/>
          <w:sz w:val="46"/>
          <w:szCs w:val="46"/>
        </w:rPr>
        <w:t>年度部门整体支出</w:t>
      </w:r>
    </w:p>
    <w:p>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pPr>
        <w:rPr>
          <w:rFonts w:hint="eastAsia" w:eastAsia="仿宋_GB2312"/>
          <w:b/>
          <w:sz w:val="32"/>
        </w:rPr>
      </w:pPr>
    </w:p>
    <w:p>
      <w:pPr>
        <w:rPr>
          <w:rFonts w:hint="eastAsia" w:eastAsia="仿宋_GB2312"/>
          <w:b/>
          <w:sz w:val="32"/>
        </w:rPr>
      </w:pPr>
    </w:p>
    <w:p>
      <w:pPr>
        <w:rPr>
          <w:rFonts w:hint="eastAsia" w:eastAsia="仿宋_GB2312"/>
          <w:b/>
          <w:sz w:val="32"/>
        </w:rPr>
      </w:pPr>
    </w:p>
    <w:p>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华容县治河渡镇卫生院</w:t>
      </w:r>
      <w:r>
        <w:rPr>
          <w:rFonts w:hint="eastAsia" w:eastAsia="仿宋_GB2312"/>
          <w:sz w:val="32"/>
          <w:szCs w:val="32"/>
          <w:u w:val="single"/>
        </w:rPr>
        <w:t xml:space="preserve">      </w:t>
      </w:r>
    </w:p>
    <w:p>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val="en-US" w:eastAsia="zh-CN"/>
        </w:rPr>
        <w:t>800017</w:t>
      </w:r>
      <w:r>
        <w:rPr>
          <w:rFonts w:hint="eastAsia" w:eastAsia="仿宋_GB2312"/>
          <w:spacing w:val="20"/>
          <w:sz w:val="32"/>
          <w:szCs w:val="32"/>
          <w:u w:val="single"/>
        </w:rPr>
        <w:t xml:space="preserve">          </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720" w:lineRule="exact"/>
        <w:ind w:firstLine="2188" w:firstLineChars="690"/>
        <w:rPr>
          <w:rFonts w:hint="eastAsia" w:eastAsia="仿宋_GB2312"/>
          <w:sz w:val="32"/>
        </w:rPr>
      </w:pPr>
    </w:p>
    <w:p>
      <w:pPr>
        <w:spacing w:line="348" w:lineRule="auto"/>
        <w:jc w:val="center"/>
        <w:rPr>
          <w:rFonts w:hint="eastAsia" w:eastAsia="仿宋_GB2312"/>
          <w:sz w:val="32"/>
        </w:rPr>
      </w:pPr>
      <w:r>
        <w:rPr>
          <w:rFonts w:hint="eastAsia" w:eastAsia="仿宋_GB2312"/>
          <w:sz w:val="32"/>
        </w:rPr>
        <w:t>报告日期：</w:t>
      </w:r>
      <w:r>
        <w:rPr>
          <w:rFonts w:hint="eastAsia" w:eastAsia="仿宋_GB2312"/>
          <w:sz w:val="32"/>
          <w:lang w:val="en-US" w:eastAsia="zh-CN"/>
        </w:rPr>
        <w:t>2022</w:t>
      </w:r>
      <w:r>
        <w:rPr>
          <w:rFonts w:hint="eastAsia" w:eastAsia="仿宋_GB2312"/>
          <w:sz w:val="32"/>
        </w:rPr>
        <w:t xml:space="preserve">年 </w:t>
      </w:r>
      <w:r>
        <w:rPr>
          <w:rFonts w:hint="eastAsia" w:eastAsia="仿宋_GB2312"/>
          <w:sz w:val="32"/>
          <w:lang w:val="en-US" w:eastAsia="zh-CN"/>
        </w:rPr>
        <w:t>10</w:t>
      </w:r>
      <w:r>
        <w:rPr>
          <w:rFonts w:hint="eastAsia" w:eastAsia="仿宋_GB2312"/>
          <w:sz w:val="32"/>
        </w:rPr>
        <w:t xml:space="preserve">月 </w:t>
      </w:r>
      <w:r>
        <w:rPr>
          <w:rFonts w:hint="eastAsia" w:eastAsia="仿宋_GB2312"/>
          <w:sz w:val="32"/>
          <w:lang w:val="en-US" w:eastAsia="zh-CN"/>
        </w:rPr>
        <w:t>31</w:t>
      </w:r>
      <w:r>
        <w:rPr>
          <w:rFonts w:hint="eastAsia" w:eastAsia="仿宋_GB2312"/>
          <w:sz w:val="32"/>
        </w:rPr>
        <w:t>日</w:t>
      </w:r>
    </w:p>
    <w:p>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lang w:eastAsia="zh-CN"/>
        </w:rPr>
        <w:t>华容县</w:t>
      </w:r>
      <w:r>
        <w:rPr>
          <w:rFonts w:hint="eastAsia" w:eastAsia="仿宋_GB2312"/>
          <w:sz w:val="32"/>
        </w:rPr>
        <w:t>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155"/>
        <w:gridCol w:w="117"/>
        <w:gridCol w:w="808"/>
        <w:gridCol w:w="1479"/>
        <w:gridCol w:w="226"/>
        <w:gridCol w:w="196"/>
        <w:gridCol w:w="164"/>
        <w:gridCol w:w="95"/>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杨丽</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9"/>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18711299708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7"/>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50</w:t>
            </w:r>
          </w:p>
        </w:tc>
        <w:tc>
          <w:tcPr>
            <w:tcW w:w="1479"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9"/>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50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 xml:space="preserve"> 我院是一所集医疗、预防、保健为一体的综合性“一级甲等”乡镇卫生院，承担所在乡(镇)的公共卫生管理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464"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7"/>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任务1：落实政府指令性任务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任务2：承担政府指定的公共卫生服务，积极参与公共卫生突发事件应急处理</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任务3：为辖区居民提供基本医疗保障和预防保健服务</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任务4：积极参与乡村振兴工作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7"/>
            <w:vAlign w:val="center"/>
          </w:tcPr>
          <w:p>
            <w:pPr>
              <w:autoSpaceDN w:val="0"/>
              <w:spacing w:line="320" w:lineRule="exact"/>
              <w:ind w:firstLine="480" w:firstLineChars="2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2021年规范化居民电子健康档案已完成26308份，建档率达90.92%；免费接种一类疫苗2602人份, 二类疫苗 989人份；新冠疫苗44637人次</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0-6岁儿童健康管理人数1794人，建档率100%</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产妇165人，出生新生儿168人，住院分娩率100 %，无孕产妇新生儿死亡现象，孕产妇系统管理165人；我院组织10多人的医疗组下到每个村场进行免费体检，共体检3817人次，其中65岁以上老年人2753人，体检率达72%，筛查出高血压166人，糖尿病577人，全镇共有高血压患者1996人，糖尿病患者577人，精神病患者128人</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卫生院均实行了传染病和突发公共卫生事件预警应急机制，传染病疫情报告率100%，及时报告率100%；卫生计生监督协管信息报告率100%。</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我院将全镇8个村、居委会根据每个村、居人口的多少划分成8个片，然后实行分片包干，一个团队负责一个片区的公卫及家庭医生签约服务工作，全镇共签约8680人；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5"/>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1243</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580</w:t>
            </w:r>
          </w:p>
        </w:tc>
        <w:tc>
          <w:tcPr>
            <w:tcW w:w="1705"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11"/>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8"/>
            <w:tcBorders>
              <w:top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1243</w:t>
            </w:r>
          </w:p>
        </w:tc>
        <w:tc>
          <w:tcPr>
            <w:tcW w:w="1355" w:type="dxa"/>
            <w:gridSpan w:val="2"/>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1129</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652.16</w:t>
            </w:r>
          </w:p>
        </w:tc>
        <w:tc>
          <w:tcPr>
            <w:tcW w:w="21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476.84</w:t>
            </w:r>
          </w:p>
        </w:tc>
        <w:tc>
          <w:tcPr>
            <w:tcW w:w="1080" w:type="dxa"/>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114</w:t>
            </w: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5"/>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3"/>
            <w:tcBorders>
              <w:left w:val="single" w:color="auto" w:sz="4" w:space="0"/>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5"/>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8"/>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5"/>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5"/>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792.44</w:t>
            </w:r>
          </w:p>
        </w:tc>
        <w:tc>
          <w:tcPr>
            <w:tcW w:w="2435" w:type="dxa"/>
            <w:gridSpan w:val="5"/>
            <w:tcBorders>
              <w:left w:val="single" w:color="auto" w:sz="4" w:space="0"/>
            </w:tcBorders>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792.44</w:t>
            </w:r>
          </w:p>
        </w:tc>
        <w:tc>
          <w:tcPr>
            <w:tcW w:w="3644"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5"/>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8"/>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3774" w:type="dxa"/>
            <w:gridSpan w:val="8"/>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1：保障职工工资福利发放，“五险一金缴纳”</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2：公用经费确保工作正常运转</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3：医疗收入保障医院日常工作开展</w:t>
            </w:r>
          </w:p>
        </w:tc>
        <w:tc>
          <w:tcPr>
            <w:tcW w:w="4585" w:type="dxa"/>
            <w:gridSpan w:val="10"/>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职工工资福利发放，“五险一金缴纳”到位</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医疗和公卫工作圆满完成预期目标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w:t>
            </w:r>
            <w:r>
              <w:rPr>
                <w:rFonts w:hint="eastAsia" w:ascii="仿宋_GB2312" w:hAnsi="仿宋_GB2312" w:eastAsia="仿宋_GB2312" w:cs="仿宋_GB2312"/>
                <w:color w:val="000000"/>
                <w:sz w:val="24"/>
                <w:lang w:eastAsia="zh-CN"/>
              </w:rPr>
              <w:t>县委县</w:t>
            </w:r>
            <w:r>
              <w:rPr>
                <w:rFonts w:hint="eastAsia" w:ascii="仿宋_GB2312" w:hAnsi="仿宋_GB2312" w:eastAsia="仿宋_GB2312" w:cs="仿宋_GB2312"/>
                <w:color w:val="000000"/>
                <w:sz w:val="24"/>
              </w:rPr>
              <w:t>政府布置的重点工作、实事任务等，根据部门实际进行调整细化）</w:t>
            </w:r>
          </w:p>
        </w:tc>
        <w:tc>
          <w:tcPr>
            <w:tcW w:w="1417"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1：患者治愈率</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continue"/>
            <w:vAlign w:val="center"/>
          </w:tcPr>
          <w:p>
            <w:pPr>
              <w:spacing w:line="320" w:lineRule="exact"/>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2：公卫管理率</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1：职工工资福利发放率</w:t>
            </w:r>
          </w:p>
        </w:tc>
        <w:tc>
          <w:tcPr>
            <w:tcW w:w="2684" w:type="dxa"/>
            <w:gridSpan w:val="7"/>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2：“五险一金”缴纳率</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足额投入日常公用经费</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1：年初计划门诊收入完成率</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2：年初计划住院收入完成率</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1：工资福利到位率</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Merge w:val="continue"/>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2：“五险一金”缴纳到位率</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1：患者治愈率</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80"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1：医院正常开展各项业务</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0"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1：环境污染处理率</w:t>
            </w: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val="0"/>
                <w:bCs/>
                <w:color w:val="000000"/>
                <w:sz w:val="24"/>
              </w:rPr>
            </w:pPr>
            <w:r>
              <w:rPr>
                <w:rFonts w:hint="eastAsia" w:ascii="仿宋_GB2312" w:hAnsi="仿宋_GB2312" w:eastAsia="仿宋_GB2312" w:cs="仿宋_GB2312"/>
                <w:b w:val="0"/>
                <w:bCs/>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hint="eastAsia" w:ascii="仿宋_GB2312" w:hAnsi="仿宋_GB2312" w:eastAsia="仿宋_GB2312" w:cs="仿宋_GB2312"/>
                <w:sz w:val="24"/>
              </w:rPr>
            </w:pPr>
          </w:p>
        </w:tc>
        <w:tc>
          <w:tcPr>
            <w:tcW w:w="1549" w:type="dxa"/>
            <w:gridSpan w:val="4"/>
            <w:vMerge w:val="continue"/>
            <w:vAlign w:val="center"/>
          </w:tcPr>
          <w:p>
            <w:pPr>
              <w:autoSpaceDN w:val="0"/>
              <w:spacing w:line="320" w:lineRule="exact"/>
              <w:rPr>
                <w:rFonts w:hint="eastAsia" w:ascii="仿宋_GB2312" w:hAnsi="仿宋_GB2312" w:eastAsia="仿宋_GB2312" w:cs="仿宋_GB2312"/>
                <w:sz w:val="24"/>
              </w:rPr>
            </w:pPr>
          </w:p>
        </w:tc>
        <w:tc>
          <w:tcPr>
            <w:tcW w:w="1417" w:type="dxa"/>
            <w:gridSpan w:val="3"/>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1：患者满意度</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2：居民满意度</w:t>
            </w:r>
          </w:p>
          <w:p>
            <w:pPr>
              <w:autoSpaceDN w:val="0"/>
              <w:spacing w:line="320" w:lineRule="exact"/>
              <w:jc w:val="left"/>
              <w:textAlignment w:val="center"/>
              <w:rPr>
                <w:rFonts w:hint="eastAsia" w:ascii="仿宋_GB2312" w:hAnsi="仿宋_GB2312" w:eastAsia="仿宋_GB2312" w:cs="仿宋_GB2312"/>
                <w:color w:val="000000"/>
                <w:sz w:val="24"/>
              </w:rPr>
            </w:pPr>
          </w:p>
        </w:tc>
        <w:tc>
          <w:tcPr>
            <w:tcW w:w="2684" w:type="dxa"/>
            <w:gridSpan w:val="7"/>
            <w:vAlign w:val="center"/>
          </w:tcPr>
          <w:p>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val="0"/>
                <w:bCs/>
                <w:color w:val="000000"/>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4"/>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4"/>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9"/>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2636"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2990"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2520"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5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闵德胜</w:t>
            </w:r>
          </w:p>
        </w:tc>
        <w:tc>
          <w:tcPr>
            <w:tcW w:w="2636"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院长</w:t>
            </w:r>
          </w:p>
        </w:tc>
        <w:tc>
          <w:tcPr>
            <w:tcW w:w="2990"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华容县治河渡镇卫生院</w:t>
            </w:r>
          </w:p>
        </w:tc>
        <w:tc>
          <w:tcPr>
            <w:tcW w:w="2520"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0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白瑶</w:t>
            </w:r>
          </w:p>
        </w:tc>
        <w:tc>
          <w:tcPr>
            <w:tcW w:w="2636"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副院长</w:t>
            </w:r>
          </w:p>
        </w:tc>
        <w:tc>
          <w:tcPr>
            <w:tcW w:w="2990"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华容县治河渡镇卫生院</w:t>
            </w:r>
          </w:p>
        </w:tc>
        <w:tc>
          <w:tcPr>
            <w:tcW w:w="2520"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9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姚首良</w:t>
            </w:r>
          </w:p>
        </w:tc>
        <w:tc>
          <w:tcPr>
            <w:tcW w:w="2636"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副院长</w:t>
            </w:r>
          </w:p>
        </w:tc>
        <w:tc>
          <w:tcPr>
            <w:tcW w:w="2990"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华容县治河渡镇卫生院</w:t>
            </w:r>
          </w:p>
        </w:tc>
        <w:tc>
          <w:tcPr>
            <w:tcW w:w="2520"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70" w:hRule="atLeast"/>
          <w:jc w:val="center"/>
        </w:trPr>
        <w:tc>
          <w:tcPr>
            <w:tcW w:w="1654" w:type="dxa"/>
            <w:gridSpan w:val="2"/>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欧伟</w:t>
            </w:r>
          </w:p>
        </w:tc>
        <w:tc>
          <w:tcPr>
            <w:tcW w:w="2636" w:type="dxa"/>
            <w:gridSpan w:val="5"/>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工会主席</w:t>
            </w:r>
          </w:p>
        </w:tc>
        <w:tc>
          <w:tcPr>
            <w:tcW w:w="2990"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华容县治河渡镇卫生院</w:t>
            </w:r>
          </w:p>
        </w:tc>
        <w:tc>
          <w:tcPr>
            <w:tcW w:w="2520" w:type="dxa"/>
            <w:gridSpan w:val="6"/>
            <w:vAlign w:val="center"/>
          </w:tcPr>
          <w:p>
            <w:pPr>
              <w:autoSpaceDN w:val="0"/>
              <w:spacing w:line="320" w:lineRule="exact"/>
              <w:jc w:val="center"/>
              <w:textAlignment w:val="center"/>
              <w:rPr>
                <w:rFonts w:hint="eastAsia"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9"/>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9"/>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9"/>
            <w:vAlign w:val="center"/>
          </w:tcPr>
          <w:p>
            <w:pPr>
              <w:spacing w:line="320" w:lineRule="exact"/>
              <w:rPr>
                <w:rFonts w:hint="eastAsia" w:eastAsia="仿宋_GB2312"/>
                <w:sz w:val="24"/>
              </w:rPr>
            </w:pPr>
            <w:r>
              <w:rPr>
                <w:rFonts w:hint="eastAsia" w:eastAsia="仿宋_GB2312"/>
                <w:sz w:val="24"/>
              </w:rPr>
              <w:t>财政部门归口业务科室意见：</w:t>
            </w: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p>
          <w:p>
            <w:pPr>
              <w:spacing w:line="320" w:lineRule="exact"/>
              <w:rPr>
                <w:rFonts w:hint="eastAsia"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pPr>
        <w:rPr>
          <w:rFonts w:hint="eastAsia" w:eastAsia="仿宋_GB2312" w:cs="仿宋_GB2312"/>
          <w:bCs/>
          <w:sz w:val="28"/>
          <w:szCs w:val="28"/>
        </w:rPr>
      </w:pPr>
      <w:r>
        <w:rPr>
          <w:rFonts w:hint="eastAsia" w:eastAsia="仿宋_GB2312" w:cs="仿宋_GB2312"/>
          <w:bCs/>
          <w:sz w:val="28"/>
          <w:szCs w:val="28"/>
        </w:rPr>
        <w:t>填报人（签名）：                          联系电话：</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vAlign w:val="top"/>
          </w:tcPr>
          <w:p>
            <w:pPr>
              <w:jc w:val="center"/>
              <w:rPr>
                <w:rFonts w:hint="eastAsia"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hint="eastAsia" w:eastAsia="仿宋_GB2312"/>
                <w:sz w:val="32"/>
                <w:szCs w:val="32"/>
              </w:rPr>
            </w:pPr>
          </w:p>
          <w:p>
            <w:pPr>
              <w:spacing w:line="600" w:lineRule="exact"/>
              <w:jc w:val="center"/>
              <w:rPr>
                <w:rFonts w:hint="eastAsia" w:ascii="方正小标宋简体" w:hAnsi="方正小标" w:eastAsia="方正小标宋简体" w:cs="方正小标"/>
                <w:b/>
                <w:bCs/>
                <w:sz w:val="44"/>
                <w:szCs w:val="44"/>
                <w:lang w:eastAsia="zh-CN"/>
              </w:rPr>
            </w:pPr>
            <w:r>
              <w:rPr>
                <w:rFonts w:hint="eastAsia" w:ascii="方正小标宋简体" w:hAnsi="方正小标" w:eastAsia="方正小标宋简体" w:cs="方正小标"/>
                <w:b/>
                <w:bCs/>
                <w:sz w:val="44"/>
                <w:szCs w:val="44"/>
              </w:rPr>
              <w:t>华容县</w:t>
            </w:r>
            <w:r>
              <w:rPr>
                <w:rFonts w:hint="eastAsia" w:ascii="方正小标宋简体" w:hAnsi="方正小标" w:eastAsia="方正小标宋简体" w:cs="方正小标"/>
                <w:b/>
                <w:bCs/>
                <w:sz w:val="44"/>
                <w:szCs w:val="44"/>
                <w:lang w:eastAsia="zh-CN"/>
              </w:rPr>
              <w:t>治河渡镇卫生院</w:t>
            </w:r>
          </w:p>
          <w:p>
            <w:pPr>
              <w:spacing w:line="600" w:lineRule="exact"/>
              <w:jc w:val="center"/>
              <w:rPr>
                <w:rFonts w:ascii="方正小标" w:hAnsi="方正小标" w:eastAsia="仿宋_GB2312" w:cs="方正小标"/>
                <w:bCs/>
                <w:sz w:val="44"/>
                <w:szCs w:val="44"/>
              </w:rPr>
            </w:pPr>
            <w:r>
              <w:rPr>
                <w:rFonts w:hint="eastAsia" w:ascii="方正小标宋简体" w:hAnsi="方正小标" w:eastAsia="方正小标宋简体" w:cs="方正小标"/>
                <w:b/>
                <w:bCs/>
                <w:sz w:val="44"/>
                <w:szCs w:val="44"/>
                <w:lang w:eastAsia="zh-CN"/>
              </w:rPr>
              <w:t>20</w:t>
            </w:r>
            <w:r>
              <w:rPr>
                <w:rFonts w:hint="eastAsia" w:ascii="方正小标宋简体" w:hAnsi="方正小标" w:eastAsia="方正小标宋简体" w:cs="方正小标"/>
                <w:b/>
                <w:bCs/>
                <w:sz w:val="44"/>
                <w:szCs w:val="44"/>
                <w:lang w:val="en-US" w:eastAsia="zh-CN"/>
              </w:rPr>
              <w:t>21</w:t>
            </w:r>
            <w:r>
              <w:rPr>
                <w:rFonts w:hint="eastAsia" w:ascii="方正小标宋简体" w:hAnsi="方正小标" w:eastAsia="方正小标宋简体" w:cs="方正小标"/>
                <w:b/>
                <w:bCs/>
                <w:sz w:val="44"/>
                <w:szCs w:val="44"/>
              </w:rPr>
              <w:t>年整体支出绩效评价报告</w:t>
            </w:r>
          </w:p>
          <w:p>
            <w:pPr>
              <w:spacing w:line="600" w:lineRule="exact"/>
              <w:ind w:firstLine="3300" w:firstLineChars="750"/>
              <w:rPr>
                <w:rFonts w:ascii="方正小标" w:hAnsi="方正小标" w:eastAsia="仿宋_GB2312" w:cs="方正小标"/>
                <w:bCs/>
                <w:sz w:val="44"/>
                <w:szCs w:val="44"/>
              </w:rPr>
            </w:pPr>
          </w:p>
          <w:p>
            <w:pPr>
              <w:spacing w:line="600" w:lineRule="exact"/>
              <w:ind w:firstLine="640" w:firstLineChars="200"/>
              <w:jc w:val="left"/>
              <w:rPr>
                <w:rFonts w:hint="eastAsia" w:ascii="仿宋_GB2312" w:hAnsi="仿宋_GB2312" w:eastAsia="仿宋_GB2312" w:cs="仿宋_GB2312"/>
                <w:color w:val="auto"/>
                <w:sz w:val="32"/>
                <w:szCs w:val="28"/>
              </w:rPr>
            </w:pPr>
            <w:r>
              <w:rPr>
                <w:rFonts w:ascii="Times New Roman" w:hAnsi="Times New Roman" w:eastAsia="仿宋_GB2312" w:cs="Times New Roman"/>
                <w:color w:val="auto"/>
                <w:sz w:val="32"/>
                <w:szCs w:val="32"/>
              </w:rPr>
              <w:t>根据</w:t>
            </w:r>
            <w:r>
              <w:rPr>
                <w:rFonts w:hint="eastAsia" w:ascii="Times New Roman" w:hAnsi="Times New Roman" w:eastAsia="仿宋_GB2312" w:cs="Times New Roman"/>
                <w:color w:val="auto"/>
                <w:sz w:val="32"/>
                <w:szCs w:val="32"/>
                <w:lang w:eastAsia="zh-CN"/>
              </w:rPr>
              <w:t>华容县财政局</w:t>
            </w:r>
            <w:r>
              <w:rPr>
                <w:rFonts w:ascii="Times New Roman" w:hAnsi="Times New Roman" w:eastAsia="仿宋_GB2312" w:cs="Times New Roman"/>
                <w:color w:val="auto"/>
                <w:sz w:val="32"/>
                <w:szCs w:val="32"/>
              </w:rPr>
              <w:t>《关于开展20</w:t>
            </w:r>
            <w:r>
              <w:rPr>
                <w:rFonts w:hint="eastAsia" w:ascii="Times New Roman" w:hAnsi="Times New Roman" w:eastAsia="仿宋_GB2312" w:cs="Times New Roman"/>
                <w:color w:val="auto"/>
                <w:sz w:val="32"/>
                <w:szCs w:val="32"/>
                <w:lang w:val="en-US" w:eastAsia="zh-CN"/>
              </w:rPr>
              <w:t>21</w:t>
            </w:r>
            <w:r>
              <w:rPr>
                <w:rFonts w:ascii="Times New Roman" w:hAnsi="Times New Roman" w:eastAsia="仿宋_GB2312" w:cs="Times New Roman"/>
                <w:color w:val="auto"/>
                <w:sz w:val="32"/>
                <w:szCs w:val="32"/>
              </w:rPr>
              <w:t>年度</w:t>
            </w:r>
            <w:r>
              <w:rPr>
                <w:rFonts w:hint="eastAsia" w:ascii="Times New Roman" w:hAnsi="Times New Roman" w:eastAsia="仿宋_GB2312" w:cs="Times New Roman"/>
                <w:color w:val="auto"/>
                <w:sz w:val="32"/>
                <w:szCs w:val="32"/>
                <w:lang w:eastAsia="zh-CN"/>
              </w:rPr>
              <w:t>财政</w:t>
            </w:r>
            <w:r>
              <w:rPr>
                <w:rFonts w:ascii="Times New Roman" w:hAnsi="Times New Roman" w:eastAsia="仿宋_GB2312" w:cs="Times New Roman"/>
                <w:color w:val="auto"/>
                <w:sz w:val="32"/>
                <w:szCs w:val="32"/>
              </w:rPr>
              <w:t>支出绩效自评工作的通知》（</w:t>
            </w:r>
            <w:r>
              <w:rPr>
                <w:rFonts w:hint="eastAsia" w:ascii="Times New Roman" w:hAnsi="Times New Roman" w:eastAsia="仿宋_GB2312" w:cs="Times New Roman"/>
                <w:color w:val="auto"/>
                <w:sz w:val="32"/>
                <w:szCs w:val="32"/>
                <w:lang w:eastAsia="zh-CN"/>
              </w:rPr>
              <w:t>华财函</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20</w:t>
            </w:r>
            <w:r>
              <w:rPr>
                <w:rFonts w:hint="eastAsia" w:ascii="Times New Roman" w:hAnsi="Times New Roman" w:eastAsia="仿宋_GB2312" w:cs="Times New Roman"/>
                <w:color w:val="auto"/>
                <w:sz w:val="32"/>
                <w:szCs w:val="32"/>
                <w:lang w:val="en-US" w:eastAsia="zh-CN"/>
              </w:rPr>
              <w:t>22</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37</w:t>
            </w:r>
            <w:r>
              <w:rPr>
                <w:rFonts w:ascii="Times New Roman" w:hAnsi="Times New Roman" w:eastAsia="仿宋_GB2312" w:cs="Times New Roman"/>
                <w:color w:val="auto"/>
                <w:sz w:val="32"/>
                <w:szCs w:val="32"/>
              </w:rPr>
              <w:t>号）</w:t>
            </w:r>
            <w:r>
              <w:rPr>
                <w:rFonts w:hint="eastAsia" w:ascii="仿宋_GB2312" w:hAnsi="仿宋_GB2312" w:eastAsia="仿宋_GB2312" w:cs="仿宋_GB2312"/>
                <w:color w:val="auto"/>
                <w:sz w:val="32"/>
                <w:szCs w:val="28"/>
              </w:rPr>
              <w:t>，</w:t>
            </w:r>
            <w:r>
              <w:rPr>
                <w:rFonts w:hint="eastAsia" w:ascii="仿宋_GB2312" w:hAnsi="仿宋_GB2312" w:eastAsia="仿宋_GB2312" w:cs="仿宋_GB2312"/>
                <w:color w:val="auto"/>
                <w:sz w:val="32"/>
                <w:szCs w:val="28"/>
                <w:lang w:eastAsia="zh-CN"/>
              </w:rPr>
              <w:t>通过</w:t>
            </w:r>
            <w:r>
              <w:rPr>
                <w:rFonts w:hint="eastAsia" w:ascii="仿宋_GB2312" w:hAnsi="仿宋_GB2312" w:eastAsia="仿宋_GB2312" w:cs="仿宋_GB2312"/>
                <w:color w:val="auto"/>
                <w:sz w:val="32"/>
                <w:szCs w:val="28"/>
              </w:rPr>
              <w:t>对华容县</w:t>
            </w:r>
            <w:r>
              <w:rPr>
                <w:rFonts w:hint="eastAsia" w:ascii="仿宋_GB2312" w:hAnsi="仿宋_GB2312" w:eastAsia="仿宋_GB2312" w:cs="仿宋_GB2312"/>
                <w:color w:val="auto"/>
                <w:sz w:val="32"/>
                <w:szCs w:val="28"/>
                <w:lang w:eastAsia="zh-CN"/>
              </w:rPr>
              <w:t>治河渡镇卫生院20</w:t>
            </w:r>
            <w:r>
              <w:rPr>
                <w:rFonts w:hint="eastAsia" w:ascii="仿宋_GB2312" w:hAnsi="仿宋_GB2312" w:eastAsia="仿宋_GB2312" w:cs="仿宋_GB2312"/>
                <w:color w:val="auto"/>
                <w:sz w:val="32"/>
                <w:szCs w:val="28"/>
                <w:lang w:val="en-US" w:eastAsia="zh-CN"/>
              </w:rPr>
              <w:t>21年</w:t>
            </w:r>
            <w:r>
              <w:rPr>
                <w:rFonts w:hint="eastAsia" w:ascii="仿宋_GB2312" w:hAnsi="仿宋_GB2312" w:eastAsia="仿宋_GB2312" w:cs="仿宋_GB2312"/>
                <w:color w:val="auto"/>
                <w:sz w:val="32"/>
                <w:szCs w:val="28"/>
              </w:rPr>
              <w:t>度部门整体支出开展绩效自评，现将情况汇报如下：</w:t>
            </w:r>
          </w:p>
          <w:p>
            <w:pPr>
              <w:spacing w:line="600" w:lineRule="exact"/>
              <w:ind w:firstLine="630" w:firstLineChars="196"/>
              <w:jc w:val="left"/>
              <w:rPr>
                <w:rFonts w:hint="eastAsia" w:ascii="方正小标" w:hAnsi="方正小标" w:eastAsia="黑体" w:cs="方正小标"/>
                <w:b/>
                <w:color w:val="auto"/>
                <w:sz w:val="32"/>
                <w:szCs w:val="28"/>
                <w:lang w:eastAsia="zh-CN"/>
              </w:rPr>
            </w:pPr>
            <w:r>
              <w:rPr>
                <w:rFonts w:hint="eastAsia" w:ascii="方正小标" w:hAnsi="方正小标" w:eastAsia="黑体" w:cs="方正小标"/>
                <w:b/>
                <w:color w:val="auto"/>
                <w:sz w:val="32"/>
                <w:szCs w:val="28"/>
              </w:rPr>
              <w:t>一、</w:t>
            </w:r>
            <w:r>
              <w:rPr>
                <w:rFonts w:hint="eastAsia" w:ascii="方正小标" w:hAnsi="方正小标" w:eastAsia="黑体" w:cs="方正小标"/>
                <w:b/>
                <w:color w:val="auto"/>
                <w:sz w:val="32"/>
                <w:szCs w:val="28"/>
                <w:lang w:eastAsia="zh-CN"/>
              </w:rPr>
              <w:t>部门概况</w:t>
            </w:r>
          </w:p>
          <w:p>
            <w:pPr>
              <w:spacing w:line="600" w:lineRule="exact"/>
              <w:ind w:firstLine="472" w:firstLineChars="147"/>
              <w:jc w:val="left"/>
              <w:rPr>
                <w:rFonts w:hint="eastAsia" w:ascii="楷体_GB2312" w:hAnsi="楷体_GB2312" w:eastAsia="楷体_GB2312" w:cs="楷体_GB2312"/>
                <w:b/>
                <w:bCs/>
                <w:color w:val="auto"/>
                <w:sz w:val="32"/>
                <w:szCs w:val="28"/>
              </w:rPr>
            </w:pPr>
            <w:r>
              <w:rPr>
                <w:rFonts w:hint="eastAsia" w:ascii="楷体_GB2312" w:hAnsi="楷体_GB2312" w:eastAsia="楷体_GB2312" w:cs="楷体_GB2312"/>
                <w:b/>
                <w:bCs/>
                <w:color w:val="auto"/>
                <w:sz w:val="32"/>
                <w:szCs w:val="28"/>
              </w:rPr>
              <w:t>（一）</w:t>
            </w:r>
            <w:r>
              <w:rPr>
                <w:rFonts w:hint="eastAsia" w:ascii="楷体_GB2312" w:hAnsi="楷体_GB2312" w:eastAsia="楷体_GB2312" w:cs="楷体_GB2312"/>
                <w:b/>
                <w:bCs/>
                <w:color w:val="auto"/>
                <w:sz w:val="32"/>
                <w:szCs w:val="28"/>
                <w:lang w:eastAsia="zh-CN"/>
              </w:rPr>
              <w:t>部门</w:t>
            </w:r>
            <w:r>
              <w:rPr>
                <w:rFonts w:hint="eastAsia" w:ascii="楷体_GB2312" w:hAnsi="楷体_GB2312" w:eastAsia="楷体_GB2312" w:cs="楷体_GB2312"/>
                <w:b/>
                <w:bCs/>
                <w:color w:val="auto"/>
                <w:sz w:val="32"/>
                <w:szCs w:val="28"/>
              </w:rPr>
              <w:t>基本概况</w:t>
            </w:r>
          </w:p>
          <w:p>
            <w:pPr>
              <w:shd w:val="solid" w:color="FFFFFF" w:fill="auto"/>
              <w:autoSpaceDN w:val="0"/>
              <w:spacing w:line="600" w:lineRule="exact"/>
              <w:ind w:firstLine="640" w:firstLineChars="200"/>
              <w:jc w:val="left"/>
              <w:rPr>
                <w:rFonts w:hint="default" w:ascii="仿宋_GB2312" w:hAnsi="仿宋_GB2312" w:eastAsia="仿宋_GB2312" w:cs="仿宋_GB2312"/>
                <w:color w:val="auto"/>
                <w:sz w:val="32"/>
                <w:lang w:val="en-US"/>
              </w:rPr>
            </w:pPr>
            <w:r>
              <w:rPr>
                <w:rFonts w:hint="eastAsia" w:ascii="仿宋_GB2312" w:hAnsi="仿宋_GB2312" w:eastAsia="仿宋_GB2312" w:cs="仿宋_GB2312"/>
                <w:color w:val="auto"/>
                <w:sz w:val="32"/>
              </w:rPr>
              <w:t>华容县</w:t>
            </w:r>
            <w:r>
              <w:rPr>
                <w:rFonts w:hint="eastAsia" w:ascii="仿宋_GB2312" w:hAnsi="仿宋_GB2312" w:eastAsia="仿宋_GB2312" w:cs="仿宋_GB2312"/>
                <w:color w:val="auto"/>
                <w:sz w:val="32"/>
                <w:lang w:eastAsia="zh-CN"/>
              </w:rPr>
              <w:t>治河渡镇卫生院</w:t>
            </w:r>
            <w:r>
              <w:rPr>
                <w:rFonts w:hint="eastAsia" w:ascii="仿宋_GB2312" w:hAnsi="仿宋_GB2312" w:eastAsia="仿宋_GB2312" w:cs="仿宋_GB2312"/>
                <w:color w:val="auto"/>
                <w:sz w:val="32"/>
              </w:rPr>
              <w:t>系财政全额预算拨款单位。2021年编制部门核实</w:t>
            </w:r>
            <w:r>
              <w:rPr>
                <w:rFonts w:hint="eastAsia" w:ascii="仿宋_GB2312" w:hAnsi="仿宋_GB2312" w:eastAsia="仿宋_GB2312" w:cs="仿宋_GB2312"/>
                <w:color w:val="auto"/>
                <w:sz w:val="32"/>
                <w:lang w:eastAsia="zh-CN"/>
              </w:rPr>
              <w:t>我院</w:t>
            </w:r>
            <w:r>
              <w:rPr>
                <w:rFonts w:hint="eastAsia" w:ascii="仿宋_GB2312" w:hAnsi="仿宋_GB2312" w:eastAsia="仿宋_GB2312" w:cs="仿宋_GB2312"/>
                <w:color w:val="auto"/>
                <w:sz w:val="32"/>
              </w:rPr>
              <w:t>编制</w:t>
            </w:r>
            <w:r>
              <w:rPr>
                <w:rFonts w:hint="eastAsia" w:ascii="仿宋_GB2312" w:hAnsi="仿宋_GB2312" w:eastAsia="仿宋_GB2312" w:cs="仿宋_GB2312"/>
                <w:color w:val="auto"/>
                <w:sz w:val="32"/>
                <w:lang w:val="en-US" w:eastAsia="zh-CN"/>
              </w:rPr>
              <w:t>50</w:t>
            </w:r>
            <w:r>
              <w:rPr>
                <w:rFonts w:hint="eastAsia" w:ascii="仿宋_GB2312" w:hAnsi="仿宋_GB2312" w:eastAsia="仿宋_GB2312" w:cs="仿宋_GB2312"/>
                <w:color w:val="auto"/>
                <w:sz w:val="32"/>
              </w:rPr>
              <w:t>名，实有编制人员</w:t>
            </w:r>
            <w:r>
              <w:rPr>
                <w:rFonts w:hint="eastAsia" w:ascii="仿宋_GB2312" w:hAnsi="仿宋_GB2312" w:eastAsia="仿宋_GB2312" w:cs="仿宋_GB2312"/>
                <w:color w:val="auto"/>
                <w:sz w:val="32"/>
                <w:lang w:val="en-US" w:eastAsia="zh-CN"/>
              </w:rPr>
              <w:t>41</w:t>
            </w:r>
            <w:r>
              <w:rPr>
                <w:rFonts w:hint="eastAsia" w:ascii="仿宋_GB2312" w:hAnsi="仿宋_GB2312" w:eastAsia="仿宋_GB2312" w:cs="仿宋_GB2312"/>
                <w:color w:val="auto"/>
                <w:sz w:val="32"/>
              </w:rPr>
              <w:t>人</w:t>
            </w:r>
            <w:r>
              <w:rPr>
                <w:rFonts w:hint="eastAsia" w:ascii="仿宋_GB2312" w:hAnsi="仿宋_GB2312" w:eastAsia="仿宋_GB2312" w:cs="仿宋_GB2312"/>
                <w:color w:val="auto"/>
                <w:sz w:val="32"/>
                <w:lang w:eastAsia="zh-CN"/>
              </w:rPr>
              <w:t>。编制床位80张，实际开放床位85张。卫生院主要以公共卫生服务为主，综合提供预防、保健和基本医疗服务。承担所在乡(镇)的公共卫生管理。</w:t>
            </w:r>
            <w:r>
              <w:rPr>
                <w:rFonts w:hint="eastAsia" w:ascii="仿宋_GB2312" w:hAnsi="仿宋_GB2312" w:eastAsia="仿宋_GB2312" w:cs="仿宋_GB2312"/>
                <w:color w:val="auto"/>
                <w:sz w:val="32"/>
              </w:rPr>
              <w:t>全</w:t>
            </w:r>
            <w:r>
              <w:rPr>
                <w:rFonts w:hint="eastAsia" w:ascii="仿宋_GB2312" w:hAnsi="仿宋_GB2312" w:eastAsia="仿宋_GB2312" w:cs="仿宋_GB2312"/>
                <w:color w:val="auto"/>
                <w:sz w:val="32"/>
                <w:lang w:eastAsia="zh-CN"/>
              </w:rPr>
              <w:t>院</w:t>
            </w:r>
            <w:r>
              <w:rPr>
                <w:rFonts w:hint="eastAsia" w:ascii="仿宋_GB2312" w:hAnsi="仿宋_GB2312" w:eastAsia="仿宋_GB2312" w:cs="仿宋_GB2312"/>
                <w:color w:val="auto"/>
                <w:sz w:val="32"/>
              </w:rPr>
              <w:t>开设有内外儿妇中医及中医理疗等临床科室，开设B超、检验、放射、心电图、脑功能、肺功能等辅助科室</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lang w:val="en-US" w:eastAsia="zh-CN"/>
              </w:rPr>
              <w:t>2</w:t>
            </w:r>
            <w:r>
              <w:rPr>
                <w:rFonts w:hint="eastAsia" w:ascii="仿宋_GB2312" w:hAnsi="仿宋_GB2312" w:eastAsia="仿宋_GB2312" w:cs="仿宋_GB2312"/>
                <w:color w:val="auto"/>
                <w:sz w:val="32"/>
              </w:rPr>
              <w:t>016年被中国农村卫生协会评为“群众满意的乡镇卫生院”，2017年被中国农村卫生协会评为“全国百佳乡镇卫生院”，2019年顺利通过“优质服务基层行基本标准”,2020年顺利通过“优质服务基层行推荐标准”，并被省卫健委评定为“社区医院”。</w:t>
            </w:r>
          </w:p>
          <w:p>
            <w:pPr>
              <w:numPr>
                <w:ilvl w:val="0"/>
                <w:numId w:val="1"/>
              </w:numPr>
              <w:shd w:val="solid" w:color="FFFFFF" w:fill="auto"/>
              <w:autoSpaceDN w:val="0"/>
              <w:spacing w:line="600" w:lineRule="exact"/>
              <w:ind w:firstLine="469" w:firstLineChars="146"/>
              <w:jc w:val="left"/>
              <w:rPr>
                <w:rFonts w:hint="eastAsia" w:ascii="楷体_GB2312" w:hAnsi="楷体_GB2312" w:eastAsia="楷体_GB2312" w:cs="楷体_GB2312"/>
                <w:b/>
                <w:bCs/>
                <w:sz w:val="32"/>
                <w:lang w:eastAsia="zh-CN"/>
              </w:rPr>
            </w:pPr>
            <w:r>
              <w:rPr>
                <w:rFonts w:hint="eastAsia" w:ascii="楷体_GB2312" w:hAnsi="楷体_GB2312" w:eastAsia="楷体_GB2312" w:cs="楷体_GB2312"/>
                <w:b/>
                <w:bCs/>
                <w:sz w:val="32"/>
              </w:rPr>
              <w:t>部门主要职能</w:t>
            </w:r>
            <w:r>
              <w:rPr>
                <w:rFonts w:hint="eastAsia" w:ascii="楷体_GB2312" w:hAnsi="楷体_GB2312" w:eastAsia="楷体_GB2312" w:cs="楷体_GB2312"/>
                <w:b/>
                <w:bCs/>
                <w:sz w:val="32"/>
                <w:lang w:eastAsia="zh-CN"/>
              </w:rPr>
              <w:t>及支出使用方向和内容</w:t>
            </w:r>
          </w:p>
          <w:p>
            <w:pPr>
              <w:shd w:val="solid" w:color="FFFFFF" w:fill="auto"/>
              <w:autoSpaceDN w:val="0"/>
              <w:spacing w:line="600" w:lineRule="exact"/>
              <w:ind w:firstLine="640" w:firstLineChars="200"/>
              <w:jc w:val="left"/>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我院是一所集医疗、预防、保健为一体的综合性“一级甲等”乡镇卫生院，承担所在乡(镇)的公共卫生管理。</w:t>
            </w:r>
          </w:p>
          <w:p>
            <w:pPr>
              <w:shd w:val="solid" w:color="FFFFFF" w:fill="auto"/>
              <w:autoSpaceDN w:val="0"/>
              <w:spacing w:line="600" w:lineRule="exact"/>
              <w:ind w:firstLine="640" w:firstLineChars="200"/>
              <w:jc w:val="left"/>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lang w:eastAsia="zh-CN"/>
              </w:rPr>
              <w:t>2021年，在卫健委的坚强领导下，本院围绕“健康华容”建设目标，以“12345”的工作思路，着力推进疫情防控、深化医改、业务扩容、项目保质、健康惠民等各项工作，取得了预期成效。</w:t>
            </w:r>
          </w:p>
          <w:p>
            <w:pPr>
              <w:numPr>
                <w:ilvl w:val="0"/>
                <w:numId w:val="0"/>
              </w:numPr>
              <w:shd w:val="solid" w:color="FFFFFF" w:fill="auto"/>
              <w:autoSpaceDN w:val="0"/>
              <w:spacing w:line="600" w:lineRule="exact"/>
              <w:jc w:val="left"/>
              <w:rPr>
                <w:rFonts w:hint="eastAsia" w:ascii="仿宋" w:hAnsi="仿宋" w:eastAsia="仿宋" w:cs="仿宋"/>
                <w:sz w:val="32"/>
                <w:szCs w:val="24"/>
              </w:rPr>
            </w:pPr>
            <w:r>
              <w:rPr>
                <w:rFonts w:hint="eastAsia" w:ascii="仿宋" w:hAnsi="仿宋" w:eastAsia="仿宋" w:cs="仿宋"/>
                <w:sz w:val="32"/>
                <w:szCs w:val="24"/>
              </w:rPr>
              <w:t>一、加强基础设施建设、改善就医环境</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近年来，随着社会经济的发展，人民生活水平的进一步提高，辖区居民的健康意识不断增强，人们对医疗服务的需求增大，2021年投入1600万元新建了一栋高标准医疗综合大楼，医疗业务用房不足得到了缓解、基础设施得到了进一步完善和优化，同时也给前来就医的患者提供更加温馨舒适的环境。</w:t>
            </w:r>
          </w:p>
          <w:p>
            <w:pPr>
              <w:keepNext w:val="0"/>
              <w:keepLines w:val="0"/>
              <w:pageBreakBefore w:val="0"/>
              <w:widowControl w:val="0"/>
              <w:kinsoku/>
              <w:wordWrap/>
              <w:overflowPunct/>
              <w:topLinePunct w:val="0"/>
              <w:bidi w:val="0"/>
              <w:adjustRightInd w:val="0"/>
              <w:snapToGrid w:val="0"/>
              <w:spacing w:line="600" w:lineRule="atLeast"/>
              <w:jc w:val="both"/>
              <w:textAlignment w:val="auto"/>
              <w:rPr>
                <w:rFonts w:hint="eastAsia" w:ascii="仿宋" w:hAnsi="仿宋" w:eastAsia="仿宋" w:cs="仿宋"/>
                <w:sz w:val="32"/>
                <w:szCs w:val="24"/>
              </w:rPr>
            </w:pPr>
            <w:r>
              <w:rPr>
                <w:rFonts w:hint="eastAsia" w:ascii="仿宋" w:hAnsi="仿宋" w:eastAsia="仿宋" w:cs="仿宋"/>
                <w:sz w:val="32"/>
                <w:szCs w:val="24"/>
              </w:rPr>
              <w:t>二、加大投入，引进先进设备、提高诊断能力和水平</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2021年引进一台800毫安万东数值化DR和一台汕头高清彩色，2022年引进一台迈瑞免疫发光仪，先进设备的引进，提升了对疾病诊断的准确率，为患者的有效治疗提供了有力保障，同时我院在放射检测和心电检测分别与县人民医院和岳阳市中心医院进行了远程会诊，为我院的疾病诊断准确率提供了坚强的保障；同时预防门诊启动了数字化预防门诊建设，并已正式投入使用。</w:t>
            </w:r>
          </w:p>
          <w:p>
            <w:pPr>
              <w:keepNext w:val="0"/>
              <w:keepLines w:val="0"/>
              <w:pageBreakBefore w:val="0"/>
              <w:widowControl w:val="0"/>
              <w:kinsoku/>
              <w:wordWrap/>
              <w:overflowPunct/>
              <w:topLinePunct w:val="0"/>
              <w:bidi w:val="0"/>
              <w:adjustRightInd w:val="0"/>
              <w:snapToGrid w:val="0"/>
              <w:spacing w:line="600" w:lineRule="atLeast"/>
              <w:jc w:val="both"/>
              <w:textAlignment w:val="auto"/>
              <w:rPr>
                <w:rFonts w:hint="eastAsia" w:ascii="仿宋" w:hAnsi="仿宋" w:eastAsia="仿宋" w:cs="仿宋"/>
                <w:sz w:val="32"/>
                <w:szCs w:val="24"/>
              </w:rPr>
            </w:pPr>
            <w:r>
              <w:rPr>
                <w:rFonts w:hint="eastAsia" w:ascii="仿宋" w:hAnsi="仿宋" w:eastAsia="仿宋" w:cs="仿宋"/>
                <w:sz w:val="32"/>
                <w:szCs w:val="24"/>
              </w:rPr>
              <w:t>三、加大人才引进和培养力度，确保人才梯队不断层</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鼓励在职人员参加继续教育，提高个人学历，提升单位整体素质。每年有计划的选送2—3名医护人员到三甲医院进修学习，及时掌握新知识和新技术，填补我院空白；到大专院校招聘1—2名优秀学生，确保我院医务人员老中青有效衔接。</w:t>
            </w:r>
          </w:p>
          <w:p>
            <w:pPr>
              <w:keepNext w:val="0"/>
              <w:keepLines w:val="0"/>
              <w:pageBreakBefore w:val="0"/>
              <w:widowControl w:val="0"/>
              <w:kinsoku/>
              <w:wordWrap/>
              <w:overflowPunct/>
              <w:topLinePunct w:val="0"/>
              <w:bidi w:val="0"/>
              <w:adjustRightInd w:val="0"/>
              <w:snapToGrid w:val="0"/>
              <w:spacing w:line="600" w:lineRule="atLeast"/>
              <w:jc w:val="both"/>
              <w:textAlignment w:val="auto"/>
              <w:rPr>
                <w:rFonts w:hint="eastAsia" w:ascii="仿宋" w:hAnsi="仿宋" w:eastAsia="仿宋" w:cs="仿宋"/>
                <w:sz w:val="32"/>
                <w:szCs w:val="24"/>
              </w:rPr>
            </w:pPr>
            <w:r>
              <w:rPr>
                <w:rFonts w:hint="eastAsia" w:ascii="仿宋" w:hAnsi="仿宋" w:eastAsia="仿宋" w:cs="仿宋"/>
                <w:sz w:val="32"/>
                <w:szCs w:val="24"/>
              </w:rPr>
              <w:t>四、加强医疗质量管理、提升服务能力和水平</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 w:hAnsi="仿宋" w:eastAsia="仿宋" w:cs="仿宋"/>
                <w:sz w:val="32"/>
                <w:szCs w:val="24"/>
              </w:rPr>
            </w:pPr>
            <w:r>
              <w:rPr>
                <w:rFonts w:hint="eastAsia" w:ascii="仿宋" w:hAnsi="仿宋" w:eastAsia="仿宋" w:cs="仿宋"/>
                <w:sz w:val="32"/>
                <w:szCs w:val="24"/>
              </w:rPr>
              <w:t>医疗质量是医院发展的生命线和永恒主题，我院始终把医疗质量与医疗安全放在首位，始终坚持“以病人为中心，以质量为核心”的服务理念，不断强化医疗质量管理，提高医疗服务水平，为辖区群众提供优质、便捷、安全、价廉的医疗卫生服务。进一步完善了质量管终体系。坚持做到医疗质量三级管理，即自控、科控、院控。强化责任，层层签订责任状。进一步落实各项核心制度和院内规章制度。坚持抗菌药物的合理应用。建立健全感染管理理系。同时定期开展了“三基”培训学习和常见病、多发病的专业知识讲座，从而提升全体医务人员的业务能力和水平。通过一系列质量管理措施，使“质量、效益”这一管理概念转变成医院管理中最活跃、最行之有效的因素，把人员的技术和仪器设备的潜力有机的结合到一起，保证了医疗工作的高效和安全，近年来未出现一起医疗纠纷与事故，近年来门诊人次和住院人次明显增加，社会效益和经济效益均有明显提升。</w:t>
            </w:r>
          </w:p>
          <w:p>
            <w:pPr>
              <w:keepNext w:val="0"/>
              <w:keepLines w:val="0"/>
              <w:pageBreakBefore w:val="0"/>
              <w:widowControl w:val="0"/>
              <w:kinsoku/>
              <w:wordWrap/>
              <w:overflowPunct/>
              <w:topLinePunct w:val="0"/>
              <w:bidi w:val="0"/>
              <w:adjustRightInd w:val="0"/>
              <w:snapToGrid w:val="0"/>
              <w:spacing w:line="600" w:lineRule="atLeast"/>
              <w:jc w:val="both"/>
              <w:textAlignment w:val="auto"/>
              <w:rPr>
                <w:rFonts w:hint="default" w:ascii="仿宋" w:hAnsi="仿宋" w:eastAsia="仿宋" w:cs="仿宋"/>
                <w:sz w:val="32"/>
                <w:szCs w:val="24"/>
                <w:lang w:val="en-US" w:eastAsia="zh-CN"/>
              </w:rPr>
            </w:pPr>
            <w:r>
              <w:rPr>
                <w:rFonts w:hint="eastAsia" w:ascii="仿宋" w:hAnsi="仿宋" w:eastAsia="仿宋" w:cs="仿宋"/>
                <w:sz w:val="32"/>
                <w:szCs w:val="24"/>
                <w:lang w:val="en-US" w:eastAsia="zh-CN"/>
              </w:rPr>
              <w:t>五.</w:t>
            </w:r>
            <w:r>
              <w:rPr>
                <w:rFonts w:hint="default" w:ascii="仿宋" w:hAnsi="仿宋" w:eastAsia="仿宋" w:cs="仿宋"/>
                <w:sz w:val="32"/>
                <w:szCs w:val="24"/>
                <w:lang w:val="en-US" w:eastAsia="zh-CN"/>
              </w:rPr>
              <w:t>巩固成果，确保群众健康安全。</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_GB2312" w:hAnsi="仿宋" w:eastAsia="仿宋_GB2312" w:cs="Times New Roman"/>
                <w:sz w:val="32"/>
                <w:szCs w:val="32"/>
                <w:lang w:val="en-US" w:eastAsia="zh-CN"/>
              </w:rPr>
            </w:pPr>
            <w:r>
              <w:rPr>
                <w:rFonts w:hint="eastAsia" w:ascii="仿宋" w:hAnsi="仿宋" w:eastAsia="仿宋" w:cs="仿宋"/>
                <w:sz w:val="32"/>
                <w:szCs w:val="24"/>
                <w:lang w:val="en-US" w:eastAsia="zh-CN"/>
              </w:rPr>
              <w:t>1、</w:t>
            </w:r>
            <w:r>
              <w:rPr>
                <w:rFonts w:hint="default" w:ascii="仿宋" w:hAnsi="仿宋" w:eastAsia="仿宋" w:cs="仿宋"/>
                <w:sz w:val="32"/>
                <w:szCs w:val="24"/>
                <w:lang w:val="en-US" w:eastAsia="zh-CN"/>
              </w:rPr>
              <w:t>巩固疫情防控成果。</w:t>
            </w:r>
            <w:r>
              <w:rPr>
                <w:rFonts w:hint="eastAsia" w:ascii="仿宋_GB2312" w:hAnsi="仿宋" w:eastAsia="仿宋_GB2312" w:cs="Times New Roman"/>
                <w:sz w:val="32"/>
                <w:szCs w:val="32"/>
                <w:lang w:val="en-US" w:eastAsia="zh-CN"/>
              </w:rPr>
              <w:t>系统上下坚决克服厌战情绪和松劲心态，持续抓好了各项常态化疫情防控工作，有力巩固了全院疫情防控成果。</w:t>
            </w:r>
          </w:p>
          <w:p>
            <w:pPr>
              <w:keepNext w:val="0"/>
              <w:keepLines w:val="0"/>
              <w:pageBreakBefore w:val="0"/>
              <w:widowControl w:val="0"/>
              <w:kinsoku/>
              <w:wordWrap/>
              <w:overflowPunct/>
              <w:topLinePunct w:val="0"/>
              <w:bidi w:val="0"/>
              <w:adjustRightInd w:val="0"/>
              <w:snapToGrid w:val="0"/>
              <w:spacing w:line="600" w:lineRule="atLeast"/>
              <w:ind w:firstLine="630"/>
              <w:jc w:val="both"/>
              <w:textAlignment w:val="auto"/>
              <w:rPr>
                <w:rFonts w:hint="eastAsia" w:ascii="仿宋_GB2312" w:hAnsi="仿宋" w:eastAsia="仿宋_GB2312" w:cs="Times New Roman"/>
                <w:sz w:val="32"/>
                <w:szCs w:val="32"/>
              </w:rPr>
            </w:pPr>
            <w:r>
              <w:rPr>
                <w:rFonts w:hint="eastAsia" w:ascii="仿宋" w:hAnsi="仿宋" w:eastAsia="仿宋" w:cs="仿宋"/>
                <w:sz w:val="32"/>
                <w:szCs w:val="24"/>
                <w:lang w:val="en-US" w:eastAsia="zh-CN"/>
              </w:rPr>
              <w:t>2、</w:t>
            </w:r>
            <w:r>
              <w:rPr>
                <w:rFonts w:hint="default" w:ascii="仿宋" w:hAnsi="仿宋" w:eastAsia="仿宋" w:cs="仿宋"/>
                <w:sz w:val="32"/>
                <w:szCs w:val="24"/>
                <w:lang w:val="en-US" w:eastAsia="zh-CN"/>
              </w:rPr>
              <w:t>巩固疾病预防成果。</w:t>
            </w:r>
            <w:r>
              <w:rPr>
                <w:rFonts w:hint="eastAsia" w:ascii="仿宋_GB2312" w:hAnsi="仿宋" w:eastAsia="仿宋_GB2312" w:cs="Times New Roman"/>
                <w:sz w:val="32"/>
                <w:szCs w:val="32"/>
              </w:rPr>
              <w:t>有效落实各类重点传染病防治措施，全年无甲类传染病报告，乙、丙类传染病发病率控制在国家标准以内，无重大传染病暴发流行。</w:t>
            </w:r>
          </w:p>
          <w:p>
            <w:pPr>
              <w:keepNext w:val="0"/>
              <w:keepLines w:val="0"/>
              <w:pageBreakBefore w:val="0"/>
              <w:widowControl w:val="0"/>
              <w:kinsoku/>
              <w:wordWrap/>
              <w:overflowPunct/>
              <w:topLinePunct w:val="0"/>
              <w:bidi w:val="0"/>
              <w:adjustRightInd w:val="0"/>
              <w:snapToGrid w:val="0"/>
              <w:spacing w:line="600" w:lineRule="atLeast"/>
              <w:jc w:val="both"/>
              <w:textAlignment w:val="auto"/>
              <w:rPr>
                <w:rFonts w:hint="default" w:ascii="仿宋" w:hAnsi="仿宋" w:eastAsia="仿宋" w:cs="仿宋"/>
                <w:sz w:val="32"/>
                <w:szCs w:val="24"/>
                <w:lang w:val="en-US" w:eastAsia="zh-CN"/>
              </w:rPr>
            </w:pPr>
            <w:r>
              <w:rPr>
                <w:rFonts w:hint="eastAsia" w:ascii="仿宋" w:hAnsi="仿宋" w:eastAsia="仿宋" w:cs="仿宋"/>
                <w:sz w:val="32"/>
                <w:szCs w:val="24"/>
                <w:lang w:val="en-US" w:eastAsia="zh-CN"/>
              </w:rPr>
              <w:t>六.</w:t>
            </w:r>
            <w:r>
              <w:rPr>
                <w:rFonts w:hint="default" w:ascii="仿宋" w:hAnsi="仿宋" w:eastAsia="仿宋" w:cs="仿宋"/>
                <w:sz w:val="32"/>
                <w:szCs w:val="24"/>
                <w:lang w:val="en-US" w:eastAsia="zh-CN"/>
              </w:rPr>
              <w:t>加强公共卫生管理、提高群众健康水平。</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卫生院的公共卫生工作主要职能是控制疾病流行，减少疾病发生，提高辖区群众的健康水平。为此，我院对公卫办工作人员进行了具体分工，明确了职责，在分工明确的同时又要求他们相互协作，我院将全镇8个村、居委会根据每个村、居人口的多少划分成8个片，然后实行分片包干，一个团队负责一个片区的公卫及家庭医生签约服务工作，全镇共签约8680人，对团队成员给予了相应的劳务报酬。为了提高乡村医生的工作积极性，我院对村卫生室制订了一个详细的考核细则，每年进行4次考核，严格实行“多做多给、少做少给、不做不给”的购买服务原则，对连续2年考核不合格的村卫生室上报上级主管部门取消其从事公共卫生的资格，这样既缓解了卫生院公卫人员人手不够的问题又做好了全镇的公共卫生工作。</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健康宣教方面，我院在各村（居）开展慢性病、常见病防治及科学防病健康讲座12次，健康咨询9次，接受健康教育3900余人，共更换健康宣传窗108 余块，张贴糖尿病和高血压注意事项宣传画60余张，开展健康教育活动21次，发放健康处方24000多份，开展个体化健康教育676余人，参加健康教育4576多人次，通过健康宣教居民的健康意识有了明显提高。</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疾病预防控制方面，今年我镇没有出现传染病和流行病的传播流行。特别是近两年的新冠肺炎疫情以来，对预防接种、传染病及死亡人数都实行了网络直报，肺结核管理17人。已结案9人，在管8人，截止12月份我院共免费接种一类疫苗2602人份, 二类疫苗 989人份, 并对全镇范围内的儿童进行了8次查漏补种，儿童建卡建证率100%，卡证相符率100%。特别是新冠疫苗免费接种工作，我院投入了大量的人力物力，院领导班子以身作则，公卫办工作人员全部排班值班，按照上级要求开展新冠疫苗接种工作，截止12月31日，我院共接种新冠疫苗总人次为44637人次，通过有效的工作，牢固的建立了居民健康免疫屏障。</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为了巩固完善农村三级妇幼保健网络，积极做好儿童保健工作。大力宣传母乳喂养，巩固爱婴行动成果，规范婚前保徤和孕期保健，提高农村新法接生率，住院分娩率，儿童与孕妇系统管理率，降低孕产妇和婴儿死亡率。全年全镇共有产妇165人，出生新生儿168人，住院分娩率100 %，无孕产妇新生儿死亡现象，孕产妇系统管理 165人，对85例高危孕产妇进行了追踪系统管理并建立了健康档案。辖区内0-6岁儿童有1794人，已建档1794人，建档率100%。</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健康档案及慢性病管理：今年我院就针对建好居民健康档案和开展居民健康教育多次组织乡村医生的培训学习，3月份我院印发了居民免费健康体检须知12000多份，印发建立居民健康档案的意义宣传资料12000多份，积极争取镇党委政府的支持，4月份镇党委政府针对免费健康体检下发了红头文件。我院在4月份、10月份组织了2次下村免费体检，我院组织10多人的医疗组下到每个村场进行免费体检，共体检3817人次，其中65岁以上老年人2753人，体检率达72%，筛查出高血压166人，糖尿病577人，全镇共有高血压患者1996人，糖尿病患者577人，精神病患者128人，均已建档。同时发放了高血压、糠尿病健康处方6000多份，并完成了全镇三慢病人的随访工作。全镇共有28935人，已建纸质档案26308人份，建档率达90.92%，档案查阅15255人份，查阅率达57.98%。</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七、落实新冠肺炎常态化防疫举措，完善防疫重点环节，提高全员防疫意识</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1、我院坚持“做实细节、环环相扣、预警机制、预防为主”四大原则，成立疫情防控工作领导小组，细化并落实各项举措，筑起日常工作的疫情“防火墙”。设立发热就诊通道及发热诊室，确保不符合体佂的就诊人员不得进入诊疗区域。</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2、各村（社区）卫生室积极配合村（社区）开展疫情发生地区返乡人员的排查管理工作，指导开展健康监测，连续监测体温14天，提高追踪的敏感性和精细化程度，做到情况清、底数明。有针对性采取防控措施，做到外防输入，内防扩散。</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textAlignment w:val="auto"/>
              <w:rPr>
                <w:rFonts w:hint="eastAsia" w:ascii="仿宋" w:hAnsi="仿宋" w:eastAsia="仿宋" w:cs="仿宋"/>
                <w:sz w:val="32"/>
                <w:szCs w:val="24"/>
                <w:lang w:val="en-US" w:eastAsia="zh-CN"/>
              </w:rPr>
            </w:pPr>
            <w:r>
              <w:rPr>
                <w:rFonts w:hint="eastAsia" w:ascii="仿宋" w:hAnsi="仿宋" w:eastAsia="仿宋" w:cs="仿宋"/>
                <w:sz w:val="32"/>
                <w:szCs w:val="24"/>
                <w:lang w:val="en-US" w:eastAsia="zh-CN"/>
              </w:rPr>
              <w:t>3、卫生院领导班子多次召开疫情分析会，严密掌握各村（社区）卫生室疫情防控落实情况，实时上报相关数据，全面落实早发现、早报告、早隔离、早诊断、早治疗防控措施，目前我院常态化防控工作按照上级指示精神均已得到落实。</w:t>
            </w:r>
          </w:p>
          <w:p>
            <w:pPr>
              <w:spacing w:line="600" w:lineRule="exact"/>
              <w:ind w:firstLine="472" w:firstLineChars="147"/>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二、部门整体支出管理及使用情况</w:t>
            </w:r>
          </w:p>
          <w:p>
            <w:pPr>
              <w:spacing w:line="600" w:lineRule="exact"/>
              <w:ind w:firstLine="472" w:firstLineChars="147"/>
              <w:jc w:val="left"/>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（一）基本支出情况</w:t>
            </w:r>
          </w:p>
          <w:p>
            <w:pPr>
              <w:spacing w:line="560" w:lineRule="exact"/>
              <w:ind w:firstLine="640" w:firstLineChars="200"/>
              <w:rPr>
                <w:rFonts w:hint="eastAsia" w:ascii="仿宋_GB2312" w:hAnsi="仿宋_GB2312" w:eastAsia="仿宋_GB2312" w:cs="仿宋_GB2312"/>
                <w:b/>
                <w:bCs/>
                <w:sz w:val="32"/>
                <w:szCs w:val="28"/>
                <w:lang w:val="en-US" w:eastAsia="zh-CN"/>
              </w:rPr>
            </w:pPr>
            <w:r>
              <w:rPr>
                <w:rFonts w:hint="eastAsia" w:ascii="仿宋_GB2312" w:hAnsi="仿宋_GB2312" w:eastAsia="仿宋_GB2312" w:cs="仿宋_GB2312"/>
                <w:sz w:val="32"/>
                <w:szCs w:val="28"/>
                <w:lang w:val="en-US" w:eastAsia="zh-CN"/>
              </w:rPr>
              <w:t>2021年华容县治河渡镇卫生院整体基本支出1129万元，主要是用于人员工资、社会保障缴费、临时工工资以及为保障医疗卫生机构正常运转、完成日常工作任务而发生的商品和服务支出。其中：工资福利支出652.16万元、商品和服务支出543.13</w:t>
            </w:r>
            <w:bookmarkStart w:id="0" w:name="_GoBack"/>
            <w:bookmarkEnd w:id="0"/>
            <w:r>
              <w:rPr>
                <w:rFonts w:hint="eastAsia" w:ascii="仿宋_GB2312" w:hAnsi="仿宋_GB2312" w:eastAsia="仿宋_GB2312" w:cs="仿宋_GB2312"/>
                <w:sz w:val="32"/>
                <w:szCs w:val="28"/>
                <w:lang w:val="en-US" w:eastAsia="zh-CN"/>
              </w:rPr>
              <w:t>万元、专业设备支出56.71万元。</w:t>
            </w:r>
          </w:p>
          <w:p>
            <w:pPr>
              <w:numPr>
                <w:ilvl w:val="0"/>
                <w:numId w:val="0"/>
              </w:numPr>
              <w:spacing w:line="600" w:lineRule="exact"/>
              <w:ind w:firstLine="321" w:firstLineChars="100"/>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（二）项目支出情况</w:t>
            </w:r>
          </w:p>
          <w:p>
            <w:pPr>
              <w:spacing w:line="560" w:lineRule="exact"/>
              <w:ind w:firstLine="640" w:firstLineChars="200"/>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sz w:val="32"/>
                <w:szCs w:val="28"/>
                <w:lang w:val="en-US" w:eastAsia="zh-CN"/>
              </w:rPr>
              <w:t>1、项目资金安排落实、总投入等情况分析</w:t>
            </w:r>
          </w:p>
          <w:p>
            <w:pPr>
              <w:spacing w:line="560" w:lineRule="exact"/>
              <w:ind w:firstLine="640" w:firstLineChars="200"/>
              <w:rPr>
                <w:rFonts w:hint="eastAsia" w:ascii="仿宋_GB2312" w:hAnsi="宋体" w:eastAsia="仿宋_GB2312" w:cs="宋体"/>
                <w:color w:val="auto"/>
                <w:sz w:val="32"/>
                <w:szCs w:val="28"/>
                <w:lang w:val="en-US" w:eastAsia="zh-CN"/>
              </w:rPr>
            </w:pPr>
            <w:r>
              <w:rPr>
                <w:rFonts w:hint="eastAsia" w:ascii="仿宋_GB2312" w:hAnsi="仿宋_GB2312" w:eastAsia="仿宋_GB2312" w:cs="仿宋_GB2312"/>
                <w:sz w:val="32"/>
                <w:szCs w:val="28"/>
                <w:lang w:val="en-US" w:eastAsia="zh-CN"/>
              </w:rPr>
              <w:t>我院项目资金按照年初预算的安排，按照月度与项目建设资金的建设进度等安排资金落实，2021年华容县治河渡镇卫生院项目支出114万元，主要用于公共卫生专用材料支出、突发公共卫生疫情防控物质支出</w:t>
            </w:r>
            <w:r>
              <w:rPr>
                <w:rFonts w:hint="eastAsia" w:ascii="仿宋_GB2312" w:hAnsi="仿宋_GB2312" w:eastAsia="仿宋_GB2312" w:cs="仿宋_GB2312"/>
                <w:color w:val="auto"/>
                <w:sz w:val="32"/>
                <w:szCs w:val="28"/>
                <w:lang w:val="en-US" w:eastAsia="zh-CN"/>
              </w:rPr>
              <w:t>。</w:t>
            </w:r>
          </w:p>
          <w:p>
            <w:pPr>
              <w:spacing w:line="600" w:lineRule="exact"/>
              <w:ind w:firstLine="472" w:firstLineChars="147"/>
              <w:jc w:val="left"/>
              <w:rPr>
                <w:rFonts w:hint="eastAsia" w:ascii="楷体_GB2312" w:hAnsi="楷体_GB2312" w:eastAsia="楷体_GB2312" w:cs="楷体_GB2312"/>
                <w:b/>
                <w:bCs/>
                <w:color w:val="000000"/>
                <w:sz w:val="32"/>
                <w:szCs w:val="32"/>
                <w:lang w:eastAsia="zh-CN"/>
              </w:rPr>
            </w:pPr>
            <w:r>
              <w:rPr>
                <w:rFonts w:hint="eastAsia" w:ascii="楷体_GB2312" w:hAnsi="楷体_GB2312" w:eastAsia="楷体_GB2312" w:cs="楷体_GB2312"/>
                <w:b/>
                <w:bCs/>
                <w:color w:val="000000"/>
                <w:sz w:val="32"/>
                <w:szCs w:val="32"/>
                <w:lang w:eastAsia="zh-CN"/>
              </w:rPr>
              <w:t>三、部门专项组织实施情况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620" w:lineRule="atLeast"/>
              <w:ind w:firstLine="640" w:firstLineChars="200"/>
              <w:jc w:val="both"/>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为顺利开展绩效评价工作，</w:t>
            </w:r>
            <w:r>
              <w:rPr>
                <w:rFonts w:hint="eastAsia" w:ascii="Times New Roman" w:hAnsi="Times New Roman" w:eastAsia="仿宋_GB2312" w:cs="Times New Roman"/>
                <w:color w:val="auto"/>
                <w:kern w:val="2"/>
                <w:sz w:val="32"/>
                <w:szCs w:val="32"/>
                <w:shd w:val="clear" w:color="auto" w:fill="FFFFFF"/>
                <w:lang w:val="en-US" w:eastAsia="zh-CN" w:bidi="ar-SA"/>
              </w:rPr>
              <w:t>我院</w:t>
            </w:r>
            <w:r>
              <w:rPr>
                <w:rFonts w:hint="default" w:ascii="Times New Roman" w:hAnsi="Times New Roman" w:eastAsia="仿宋_GB2312" w:cs="Times New Roman"/>
                <w:color w:val="auto"/>
                <w:kern w:val="2"/>
                <w:sz w:val="32"/>
                <w:szCs w:val="32"/>
                <w:shd w:val="clear" w:color="auto" w:fill="FFFFFF"/>
                <w:lang w:val="en-US" w:eastAsia="zh-CN" w:bidi="ar-SA"/>
              </w:rPr>
              <w:t>成立了以</w:t>
            </w:r>
            <w:r>
              <w:rPr>
                <w:rFonts w:hint="eastAsia" w:ascii="Times New Roman" w:hAnsi="Times New Roman" w:eastAsia="仿宋_GB2312" w:cs="Times New Roman"/>
                <w:color w:val="auto"/>
                <w:kern w:val="2"/>
                <w:sz w:val="32"/>
                <w:szCs w:val="32"/>
                <w:shd w:val="clear" w:color="auto" w:fill="FFFFFF"/>
                <w:lang w:val="en-US" w:eastAsia="zh-CN" w:bidi="ar-SA"/>
              </w:rPr>
              <w:t>院</w:t>
            </w:r>
            <w:r>
              <w:rPr>
                <w:rFonts w:hint="default" w:ascii="Times New Roman" w:hAnsi="Times New Roman" w:eastAsia="仿宋_GB2312" w:cs="Times New Roman"/>
                <w:color w:val="auto"/>
                <w:kern w:val="2"/>
                <w:sz w:val="32"/>
                <w:szCs w:val="32"/>
                <w:shd w:val="clear" w:color="auto" w:fill="FFFFFF"/>
                <w:lang w:val="en-US" w:eastAsia="zh-CN" w:bidi="ar-SA"/>
              </w:rPr>
              <w:t>长</w:t>
            </w:r>
            <w:r>
              <w:rPr>
                <w:rFonts w:hint="eastAsia" w:ascii="Times New Roman" w:hAnsi="Times New Roman" w:eastAsia="仿宋_GB2312" w:cs="Times New Roman"/>
                <w:color w:val="auto"/>
                <w:kern w:val="2"/>
                <w:sz w:val="32"/>
                <w:szCs w:val="32"/>
                <w:shd w:val="clear" w:color="auto" w:fill="FFFFFF"/>
                <w:lang w:val="en-US" w:eastAsia="zh-CN" w:bidi="ar-SA"/>
              </w:rPr>
              <w:t>闵德胜</w:t>
            </w:r>
            <w:r>
              <w:rPr>
                <w:rFonts w:hint="default" w:ascii="Times New Roman" w:hAnsi="Times New Roman" w:eastAsia="仿宋_GB2312" w:cs="Times New Roman"/>
                <w:color w:val="auto"/>
                <w:kern w:val="2"/>
                <w:sz w:val="32"/>
                <w:szCs w:val="32"/>
                <w:shd w:val="clear" w:color="auto" w:fill="FFFFFF"/>
                <w:lang w:val="en-US" w:eastAsia="zh-CN" w:bidi="ar-SA"/>
              </w:rPr>
              <w:t>同志为组长、</w:t>
            </w:r>
            <w:r>
              <w:rPr>
                <w:rFonts w:hint="eastAsia" w:ascii="Times New Roman" w:hAnsi="Times New Roman" w:eastAsia="仿宋_GB2312" w:cs="Times New Roman"/>
                <w:color w:val="auto"/>
                <w:kern w:val="2"/>
                <w:sz w:val="32"/>
                <w:szCs w:val="32"/>
                <w:shd w:val="clear" w:color="auto" w:fill="FFFFFF"/>
                <w:lang w:val="en-US" w:eastAsia="zh-CN" w:bidi="ar-SA"/>
              </w:rPr>
              <w:t>副院长白瑶</w:t>
            </w:r>
            <w:r>
              <w:rPr>
                <w:rFonts w:hint="default" w:ascii="Times New Roman" w:hAnsi="Times New Roman" w:eastAsia="仿宋_GB2312" w:cs="Times New Roman"/>
                <w:color w:val="auto"/>
                <w:kern w:val="2"/>
                <w:sz w:val="32"/>
                <w:szCs w:val="32"/>
                <w:shd w:val="clear" w:color="auto" w:fill="FFFFFF"/>
                <w:lang w:val="en-US" w:eastAsia="zh-CN" w:bidi="ar-SA"/>
              </w:rPr>
              <w:t>为副组长、各科室负责人为成员的绩效管理工作领导小组，负责绩效评价的组织管理和实施工作，填制基础表格、收集资料、汇总数据，按照年初上级部门下达的工作目标，结合部门预算支出情况进行绩效评价并撰写绩效评价报告。</w:t>
            </w:r>
          </w:p>
          <w:p>
            <w:pPr>
              <w:adjustRightInd w:val="0"/>
              <w:snapToGrid w:val="0"/>
              <w:spacing w:line="600" w:lineRule="exact"/>
              <w:ind w:firstLine="472" w:firstLineChars="147"/>
              <w:jc w:val="left"/>
              <w:rPr>
                <w:rFonts w:hint="eastAsia" w:ascii="楷体_GB2312" w:hAnsi="楷体_GB2312" w:eastAsia="楷体_GB2312" w:cs="楷体_GB2312"/>
                <w:b/>
                <w:bCs/>
                <w:sz w:val="32"/>
                <w:szCs w:val="28"/>
              </w:rPr>
            </w:pPr>
            <w:r>
              <w:rPr>
                <w:rFonts w:hint="eastAsia" w:ascii="楷体_GB2312" w:hAnsi="楷体_GB2312" w:eastAsia="楷体_GB2312" w:cs="楷体_GB2312"/>
                <w:b/>
                <w:bCs/>
                <w:sz w:val="32"/>
                <w:szCs w:val="28"/>
                <w:lang w:eastAsia="zh-CN"/>
              </w:rPr>
              <w:t>四、</w:t>
            </w:r>
            <w:r>
              <w:rPr>
                <w:rFonts w:hint="eastAsia" w:ascii="楷体_GB2312" w:hAnsi="楷体_GB2312" w:eastAsia="楷体_GB2312" w:cs="楷体_GB2312"/>
                <w:b/>
                <w:bCs/>
                <w:sz w:val="32"/>
                <w:szCs w:val="28"/>
              </w:rPr>
              <w:t>部门整体</w:t>
            </w:r>
            <w:r>
              <w:rPr>
                <w:rFonts w:hint="eastAsia" w:ascii="楷体_GB2312" w:hAnsi="楷体_GB2312" w:eastAsia="楷体_GB2312" w:cs="楷体_GB2312"/>
                <w:b/>
                <w:bCs/>
                <w:sz w:val="32"/>
                <w:szCs w:val="28"/>
                <w:lang w:eastAsia="zh-CN"/>
              </w:rPr>
              <w:t>支出绩效</w:t>
            </w:r>
            <w:r>
              <w:rPr>
                <w:rFonts w:hint="eastAsia" w:ascii="楷体_GB2312" w:hAnsi="楷体_GB2312" w:eastAsia="楷体_GB2312" w:cs="楷体_GB2312"/>
                <w:b/>
                <w:bCs/>
                <w:sz w:val="32"/>
                <w:szCs w:val="28"/>
              </w:rPr>
              <w:t>情况</w:t>
            </w:r>
          </w:p>
          <w:p>
            <w:pPr>
              <w:adjustRightInd w:val="0"/>
              <w:snapToGrid w:val="0"/>
              <w:spacing w:line="600" w:lineRule="exact"/>
              <w:ind w:left="17" w:leftChars="8" w:firstLine="716" w:firstLineChars="223"/>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2"/>
                <w:szCs w:val="28"/>
              </w:rPr>
              <w:t>1.部门整体收支情况：</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仿宋_GB2312" w:eastAsia="仿宋_GB2312" w:cs="仿宋_GB2312"/>
                <w:sz w:val="32"/>
                <w:szCs w:val="28"/>
              </w:rPr>
              <w:t>（1）收入情况：全年</w:t>
            </w:r>
            <w:r>
              <w:rPr>
                <w:rFonts w:hint="eastAsia" w:ascii="仿宋_GB2312" w:hAnsi="仿宋_GB2312" w:eastAsia="仿宋_GB2312" w:cs="仿宋_GB2312"/>
                <w:sz w:val="32"/>
                <w:szCs w:val="28"/>
                <w:lang w:eastAsia="zh-CN"/>
              </w:rPr>
              <w:t>收入合计</w:t>
            </w:r>
            <w:r>
              <w:rPr>
                <w:rFonts w:hint="eastAsia" w:ascii="仿宋_GB2312" w:hAnsi="仿宋_GB2312" w:eastAsia="仿宋_GB2312" w:cs="仿宋_GB2312"/>
                <w:color w:val="auto"/>
                <w:sz w:val="32"/>
                <w:szCs w:val="28"/>
                <w:lang w:val="en-US" w:eastAsia="zh-CN"/>
              </w:rPr>
              <w:t>1243万</w:t>
            </w:r>
            <w:r>
              <w:rPr>
                <w:rFonts w:hint="eastAsia" w:ascii="仿宋_GB2312" w:hAnsi="仿宋_GB2312" w:eastAsia="仿宋_GB2312" w:cs="仿宋_GB2312"/>
                <w:sz w:val="32"/>
                <w:szCs w:val="28"/>
                <w:lang w:val="en-US" w:eastAsia="zh-CN"/>
              </w:rPr>
              <w:t>元，其中：一般公共预算</w:t>
            </w:r>
            <w:r>
              <w:rPr>
                <w:rFonts w:hint="eastAsia" w:ascii="仿宋_GB2312" w:hAnsi="仿宋_GB2312" w:eastAsia="仿宋_GB2312" w:cs="仿宋_GB2312"/>
                <w:sz w:val="32"/>
                <w:szCs w:val="28"/>
              </w:rPr>
              <w:t>财政拨款收入</w:t>
            </w:r>
            <w:r>
              <w:rPr>
                <w:rFonts w:hint="eastAsia" w:ascii="仿宋_GB2312" w:hAnsi="仿宋_GB2312" w:eastAsia="仿宋_GB2312" w:cs="仿宋_GB2312"/>
                <w:sz w:val="32"/>
                <w:szCs w:val="28"/>
                <w:lang w:val="en-US" w:eastAsia="zh-CN"/>
              </w:rPr>
              <w:t>580</w:t>
            </w:r>
            <w:r>
              <w:rPr>
                <w:rFonts w:hint="eastAsia" w:ascii="仿宋_GB2312" w:hAnsi="仿宋_GB2312" w:eastAsia="仿宋_GB2312" w:cs="仿宋_GB2312"/>
                <w:sz w:val="32"/>
                <w:szCs w:val="28"/>
              </w:rPr>
              <w:t>万元</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事业收入663万元</w:t>
            </w:r>
            <w:r>
              <w:rPr>
                <w:rFonts w:hint="eastAsia" w:ascii="仿宋_GB2312" w:hAnsi="宋体" w:eastAsia="仿宋_GB2312" w:cs="宋体"/>
                <w:sz w:val="32"/>
                <w:szCs w:val="28"/>
              </w:rPr>
              <w:t>。</w:t>
            </w:r>
          </w:p>
          <w:p>
            <w:pPr>
              <w:adjustRightInd w:val="0"/>
              <w:snapToGrid w:val="0"/>
              <w:spacing w:line="600" w:lineRule="atLeast"/>
              <w:ind w:firstLine="640" w:firstLineChars="200"/>
              <w:rPr>
                <w:rFonts w:hint="eastAsia" w:ascii="仿宋_GB2312" w:hAnsi="宋体" w:eastAsia="仿宋_GB2312" w:cs="宋体"/>
                <w:sz w:val="32"/>
                <w:szCs w:val="28"/>
              </w:rPr>
            </w:pPr>
            <w:r>
              <w:rPr>
                <w:rFonts w:hint="eastAsia" w:ascii="仿宋_GB2312" w:hAnsi="宋体" w:eastAsia="仿宋_GB2312" w:cs="宋体"/>
                <w:sz w:val="32"/>
                <w:szCs w:val="28"/>
              </w:rPr>
              <w:t>（2）支出情况:全年</w:t>
            </w:r>
            <w:r>
              <w:rPr>
                <w:rFonts w:hint="eastAsia" w:ascii="仿宋_GB2312" w:hAnsi="宋体" w:eastAsia="仿宋_GB2312" w:cs="宋体"/>
                <w:sz w:val="32"/>
                <w:szCs w:val="28"/>
                <w:lang w:eastAsia="zh-CN"/>
              </w:rPr>
              <w:t>支出合计</w:t>
            </w:r>
            <w:r>
              <w:rPr>
                <w:rFonts w:hint="eastAsia" w:ascii="仿宋_GB2312" w:hAnsi="宋体" w:eastAsia="仿宋_GB2312" w:cs="宋体"/>
                <w:sz w:val="32"/>
                <w:szCs w:val="28"/>
                <w:lang w:val="en-US" w:eastAsia="zh-CN"/>
              </w:rPr>
              <w:t>1243万元，其中：</w:t>
            </w:r>
            <w:r>
              <w:rPr>
                <w:rFonts w:hint="eastAsia" w:ascii="仿宋_GB2312" w:hAnsi="宋体" w:eastAsia="仿宋_GB2312" w:cs="宋体"/>
                <w:sz w:val="32"/>
                <w:szCs w:val="28"/>
              </w:rPr>
              <w:t>基本支出</w:t>
            </w:r>
            <w:r>
              <w:rPr>
                <w:rFonts w:hint="eastAsia" w:ascii="仿宋_GB2312" w:hAnsi="宋体" w:eastAsia="仿宋_GB2312" w:cs="宋体"/>
                <w:sz w:val="32"/>
                <w:szCs w:val="28"/>
                <w:lang w:val="en-US" w:eastAsia="zh-CN"/>
              </w:rPr>
              <w:t>1129</w:t>
            </w:r>
            <w:r>
              <w:rPr>
                <w:rFonts w:hint="eastAsia" w:ascii="仿宋_GB2312" w:hAnsi="宋体" w:eastAsia="仿宋_GB2312" w:cs="宋体"/>
                <w:sz w:val="32"/>
                <w:szCs w:val="28"/>
              </w:rPr>
              <w:t>万元</w:t>
            </w:r>
            <w:r>
              <w:rPr>
                <w:rFonts w:hint="eastAsia" w:ascii="仿宋_GB2312" w:hAnsi="宋体" w:eastAsia="仿宋_GB2312" w:cs="宋体"/>
                <w:sz w:val="32"/>
                <w:szCs w:val="28"/>
                <w:lang w:val="en-US" w:eastAsia="zh-CN"/>
              </w:rPr>
              <w:t>。</w:t>
            </w:r>
            <w:r>
              <w:rPr>
                <w:rFonts w:hint="eastAsia" w:ascii="仿宋_GB2312" w:hAnsi="宋体" w:eastAsia="仿宋_GB2312" w:cs="宋体"/>
                <w:sz w:val="32"/>
                <w:szCs w:val="28"/>
              </w:rPr>
              <w:t>项目支出</w:t>
            </w:r>
            <w:r>
              <w:rPr>
                <w:rFonts w:hint="eastAsia" w:ascii="仿宋_GB2312" w:hAnsi="仿宋_GB2312" w:eastAsia="仿宋_GB2312" w:cs="仿宋_GB2312"/>
                <w:sz w:val="32"/>
                <w:szCs w:val="28"/>
                <w:lang w:val="en-US" w:eastAsia="zh-CN"/>
              </w:rPr>
              <w:t>114万元</w:t>
            </w:r>
            <w:r>
              <w:rPr>
                <w:rFonts w:hint="eastAsia" w:ascii="仿宋_GB2312" w:hAnsi="宋体" w:eastAsia="仿宋_GB2312" w:cs="宋体"/>
                <w:sz w:val="32"/>
                <w:szCs w:val="28"/>
              </w:rPr>
              <w:t>。</w:t>
            </w:r>
          </w:p>
          <w:p>
            <w:pPr>
              <w:adjustRightInd w:val="0"/>
              <w:snapToGrid w:val="0"/>
              <w:spacing w:line="600" w:lineRule="exact"/>
              <w:ind w:firstLine="421" w:firstLineChars="131"/>
              <w:jc w:val="left"/>
              <w:rPr>
                <w:rFonts w:hint="eastAsia" w:ascii="仿宋_GB2312" w:hAnsi="宋体" w:eastAsia="仿宋_GB2312" w:cs="宋体"/>
                <w:color w:val="000000"/>
                <w:sz w:val="32"/>
                <w:szCs w:val="28"/>
              </w:rPr>
            </w:pPr>
            <w:r>
              <w:rPr>
                <w:rFonts w:hint="eastAsia" w:ascii="仿宋_GB2312" w:hAnsi="宋体" w:eastAsia="仿宋_GB2312" w:cs="宋体"/>
                <w:b/>
                <w:bCs/>
                <w:sz w:val="32"/>
                <w:szCs w:val="28"/>
              </w:rPr>
              <w:t>2</w:t>
            </w:r>
            <w:r>
              <w:rPr>
                <w:rFonts w:hint="eastAsia" w:ascii="仿宋_GB2312" w:hAnsi="宋体" w:eastAsia="仿宋_GB2312" w:cs="宋体"/>
                <w:sz w:val="32"/>
                <w:szCs w:val="28"/>
              </w:rPr>
              <w:t>.</w:t>
            </w:r>
            <w:r>
              <w:rPr>
                <w:rFonts w:hint="eastAsia" w:ascii="仿宋_GB2312" w:hAnsi="宋体" w:eastAsia="仿宋_GB2312" w:cs="宋体"/>
                <w:b/>
                <w:bCs/>
                <w:sz w:val="32"/>
                <w:szCs w:val="28"/>
              </w:rPr>
              <w:t>三公经费支出情况：</w:t>
            </w:r>
            <w:r>
              <w:rPr>
                <w:rFonts w:hint="eastAsia" w:ascii="仿宋_GB2312" w:hAnsi="宋体" w:eastAsia="仿宋_GB2312" w:cs="宋体"/>
                <w:b w:val="0"/>
                <w:bCs w:val="0"/>
                <w:sz w:val="32"/>
                <w:szCs w:val="28"/>
                <w:lang w:val="en-US" w:eastAsia="zh-CN"/>
              </w:rPr>
              <w:t>2</w:t>
            </w:r>
            <w:r>
              <w:rPr>
                <w:rFonts w:hint="eastAsia" w:ascii="仿宋_GB2312" w:eastAsia="仿宋_GB2312" w:cs="宋体"/>
                <w:b w:val="0"/>
                <w:bCs w:val="0"/>
                <w:sz w:val="32"/>
                <w:szCs w:val="28"/>
                <w:lang w:eastAsia="zh-CN"/>
              </w:rPr>
              <w:t>021年“三公”经费财政拨款支出预算为0万元，支出决算为0万</w:t>
            </w:r>
            <w:r>
              <w:rPr>
                <w:rFonts w:hint="eastAsia" w:ascii="仿宋_GB2312" w:eastAsia="仿宋_GB2312" w:cs="宋体"/>
                <w:sz w:val="32"/>
                <w:szCs w:val="28"/>
                <w:lang w:eastAsia="zh-CN"/>
              </w:rPr>
              <w:t>元。</w:t>
            </w:r>
          </w:p>
          <w:p>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eastAsia" w:ascii="仿宋_GB2312" w:hAnsi="仿宋_GB2312" w:eastAsia="仿宋_GB2312" w:cs="仿宋_GB2312"/>
                <w:b w:val="0"/>
                <w:bCs w:val="0"/>
                <w:sz w:val="32"/>
                <w:szCs w:val="28"/>
                <w:lang w:val="en-US" w:eastAsia="zh-CN"/>
              </w:rPr>
            </w:pPr>
            <w:r>
              <w:rPr>
                <w:rFonts w:hint="eastAsia" w:ascii="仿宋_GB2312" w:eastAsia="仿宋_GB2312"/>
                <w:b/>
                <w:bCs/>
                <w:sz w:val="32"/>
                <w:szCs w:val="32"/>
              </w:rPr>
              <w:t xml:space="preserve"> </w:t>
            </w:r>
            <w:r>
              <w:rPr>
                <w:rFonts w:hint="eastAsia" w:ascii="仿宋_GB2312" w:eastAsia="仿宋_GB2312"/>
                <w:b/>
                <w:bCs/>
                <w:sz w:val="32"/>
                <w:szCs w:val="32"/>
                <w:lang w:val="en-US" w:eastAsia="zh-CN"/>
              </w:rPr>
              <w:t xml:space="preserve"> </w:t>
            </w:r>
            <w:r>
              <w:rPr>
                <w:rFonts w:hint="eastAsia" w:ascii="仿宋_GB2312" w:hAnsi="宋体" w:eastAsia="仿宋_GB2312" w:cs="宋体"/>
                <w:b/>
                <w:bCs/>
                <w:sz w:val="32"/>
                <w:szCs w:val="28"/>
              </w:rPr>
              <w:t>3.</w:t>
            </w:r>
            <w:r>
              <w:rPr>
                <w:rFonts w:hint="eastAsia" w:ascii="仿宋_GB2312" w:hAnsi="宋体" w:eastAsia="仿宋_GB2312" w:cs="宋体"/>
                <w:b/>
                <w:bCs/>
                <w:sz w:val="32"/>
                <w:szCs w:val="28"/>
                <w:lang w:val="en-US" w:eastAsia="zh-CN"/>
              </w:rPr>
              <w:t>政府性基金预算</w:t>
            </w:r>
            <w:r>
              <w:rPr>
                <w:rFonts w:hint="eastAsia" w:ascii="仿宋_GB2312" w:hAnsi="宋体" w:eastAsia="仿宋_GB2312" w:cs="宋体"/>
                <w:b/>
                <w:bCs/>
                <w:sz w:val="32"/>
                <w:szCs w:val="28"/>
              </w:rPr>
              <w:t>财政拨款</w:t>
            </w:r>
            <w:r>
              <w:rPr>
                <w:rFonts w:hint="eastAsia" w:ascii="仿宋_GB2312" w:hAnsi="宋体" w:eastAsia="仿宋_GB2312" w:cs="宋体"/>
                <w:b/>
                <w:bCs/>
                <w:sz w:val="32"/>
                <w:szCs w:val="28"/>
                <w:lang w:eastAsia="zh-CN"/>
              </w:rPr>
              <w:t>项目支出</w:t>
            </w:r>
            <w:r>
              <w:rPr>
                <w:rFonts w:hint="eastAsia" w:ascii="仿宋_GB2312" w:hAnsi="宋体" w:eastAsia="仿宋_GB2312" w:cs="宋体"/>
                <w:b/>
                <w:bCs/>
                <w:sz w:val="32"/>
                <w:szCs w:val="28"/>
              </w:rPr>
              <w:t>情况：</w:t>
            </w:r>
            <w:r>
              <w:rPr>
                <w:rFonts w:hint="eastAsia" w:ascii="仿宋_GB2312" w:hAnsi="宋体" w:eastAsia="仿宋_GB2312" w:cs="宋体"/>
                <w:b w:val="0"/>
                <w:bCs w:val="0"/>
                <w:sz w:val="32"/>
                <w:szCs w:val="28"/>
                <w:lang w:eastAsia="zh-CN"/>
              </w:rPr>
              <w:t>2021年本单位没有使用政府性基金预算财政拨款安排的收支。</w:t>
            </w:r>
          </w:p>
          <w:p>
            <w:pPr>
              <w:keepNext w:val="0"/>
              <w:keepLines w:val="0"/>
              <w:pageBreakBefore w:val="0"/>
              <w:widowControl w:val="0"/>
              <w:kinsoku/>
              <w:wordWrap/>
              <w:overflowPunct/>
              <w:topLinePunct w:val="0"/>
              <w:autoSpaceDE/>
              <w:autoSpaceDN/>
              <w:bidi w:val="0"/>
              <w:adjustRightInd w:val="0"/>
              <w:snapToGrid w:val="0"/>
              <w:spacing w:line="600" w:lineRule="atLeast"/>
              <w:jc w:val="both"/>
              <w:textAlignment w:val="auto"/>
              <w:rPr>
                <w:rFonts w:hint="eastAsia" w:ascii="华文仿宋" w:hAnsi="华文仿宋" w:eastAsia="华文仿宋" w:cs="Times New Roman"/>
                <w:sz w:val="32"/>
                <w:szCs w:val="32"/>
              </w:rPr>
            </w:pPr>
            <w:r>
              <w:rPr>
                <w:rFonts w:hint="eastAsia" w:ascii="仿宋_GB2312" w:eastAsia="仿宋_GB2312"/>
                <w:b/>
                <w:bCs/>
                <w:sz w:val="32"/>
                <w:szCs w:val="32"/>
                <w:lang w:val="en-US" w:eastAsia="zh-CN"/>
              </w:rPr>
              <w:t xml:space="preserve">  4</w:t>
            </w:r>
            <w:r>
              <w:rPr>
                <w:rFonts w:hint="eastAsia" w:ascii="仿宋_GB2312" w:hAnsi="宋体" w:eastAsia="仿宋_GB2312" w:cs="宋体"/>
                <w:b/>
                <w:bCs/>
                <w:sz w:val="32"/>
                <w:szCs w:val="28"/>
              </w:rPr>
              <w:t>.</w:t>
            </w:r>
            <w:r>
              <w:rPr>
                <w:rFonts w:hint="eastAsia" w:ascii="仿宋_GB2312" w:hAnsi="宋体" w:eastAsia="仿宋_GB2312" w:cs="宋体"/>
                <w:b/>
                <w:bCs/>
                <w:sz w:val="32"/>
                <w:szCs w:val="28"/>
                <w:lang w:eastAsia="zh-CN"/>
              </w:rPr>
              <w:t>部门整体</w:t>
            </w:r>
            <w:r>
              <w:rPr>
                <w:rFonts w:hint="eastAsia" w:ascii="仿宋_GB2312" w:hAnsi="宋体" w:eastAsia="仿宋_GB2312" w:cs="宋体"/>
                <w:b/>
                <w:bCs/>
                <w:sz w:val="32"/>
                <w:szCs w:val="28"/>
                <w:lang w:val="en-US" w:eastAsia="zh-CN"/>
              </w:rPr>
              <w:t>绩效目标完成情况：</w:t>
            </w:r>
            <w:r>
              <w:rPr>
                <w:rFonts w:hint="eastAsia" w:ascii="华文仿宋" w:hAnsi="华文仿宋" w:eastAsia="华文仿宋" w:cs="Times New Roman"/>
                <w:sz w:val="32"/>
                <w:szCs w:val="32"/>
                <w:lang w:val="en-US" w:eastAsia="zh-CN"/>
              </w:rPr>
              <w:t>2021年，</w:t>
            </w:r>
            <w:r>
              <w:rPr>
                <w:rFonts w:hint="eastAsia" w:ascii="华文仿宋" w:hAnsi="华文仿宋" w:eastAsia="华文仿宋" w:cs="Times New Roman"/>
                <w:sz w:val="32"/>
                <w:szCs w:val="32"/>
              </w:rPr>
              <w:t>全县规范化居民电子</w:t>
            </w:r>
            <w:r>
              <w:rPr>
                <w:rFonts w:hint="eastAsia" w:ascii="华文仿宋" w:hAnsi="华文仿宋" w:eastAsia="华文仿宋" w:cs="Times New Roman"/>
                <w:sz w:val="32"/>
                <w:szCs w:val="32"/>
                <w:lang w:eastAsia="zh-CN"/>
              </w:rPr>
              <w:t>健康</w:t>
            </w:r>
            <w:r>
              <w:rPr>
                <w:rFonts w:hint="eastAsia" w:ascii="华文仿宋" w:hAnsi="华文仿宋" w:eastAsia="华文仿宋" w:cs="Times New Roman"/>
                <w:sz w:val="32"/>
                <w:szCs w:val="32"/>
              </w:rPr>
              <w:t>档案</w:t>
            </w:r>
            <w:r>
              <w:rPr>
                <w:rFonts w:hint="eastAsia" w:ascii="华文仿宋" w:hAnsi="华文仿宋" w:eastAsia="华文仿宋" w:cs="Times New Roman"/>
                <w:sz w:val="32"/>
                <w:szCs w:val="32"/>
                <w:lang w:val="en-US" w:eastAsia="zh-CN"/>
              </w:rPr>
              <w:t>已完成</w:t>
            </w:r>
            <w:r>
              <w:rPr>
                <w:rFonts w:hint="eastAsia" w:ascii="华文仿宋" w:hAnsi="华文仿宋" w:eastAsia="华文仿宋" w:cs="Times New Roman"/>
                <w:sz w:val="32"/>
                <w:szCs w:val="32"/>
              </w:rPr>
              <w:t>26308份，建档率达</w:t>
            </w:r>
            <w:r>
              <w:rPr>
                <w:rFonts w:hint="eastAsia" w:ascii="华文仿宋" w:hAnsi="华文仿宋" w:eastAsia="华文仿宋" w:cs="Times New Roman"/>
                <w:sz w:val="32"/>
                <w:szCs w:val="32"/>
                <w:lang w:val="en-US" w:eastAsia="zh-CN"/>
              </w:rPr>
              <w:t>90.92%</w:t>
            </w:r>
            <w:r>
              <w:rPr>
                <w:rFonts w:hint="eastAsia" w:ascii="华文仿宋" w:hAnsi="华文仿宋" w:eastAsia="华文仿宋" w:cs="Times New Roman"/>
                <w:sz w:val="32"/>
                <w:szCs w:val="32"/>
              </w:rPr>
              <w:t>；我院共接种新冠疫苗总人次为44637人次；免费接种一类疫苗2602人份, 二类疫苗 989人份</w:t>
            </w:r>
            <w:r>
              <w:rPr>
                <w:rFonts w:hint="eastAsia" w:ascii="华文仿宋" w:hAnsi="华文仿宋" w:eastAsia="华文仿宋" w:cs="Times New Roman"/>
                <w:sz w:val="32"/>
                <w:szCs w:val="32"/>
                <w:lang w:val="en-US" w:eastAsia="zh-CN"/>
              </w:rPr>
              <w:t>；</w:t>
            </w:r>
            <w:r>
              <w:rPr>
                <w:rFonts w:hint="eastAsia" w:ascii="华文仿宋" w:hAnsi="华文仿宋" w:eastAsia="华文仿宋" w:cs="Times New Roman"/>
                <w:sz w:val="32"/>
                <w:szCs w:val="32"/>
              </w:rPr>
              <w:t>辖区内0-6岁儿童有1794人，已建档1794人，建档率100%。；全年全镇共有产妇165人，出生新生儿168人，住院分娩率100 %，无孕产妇新生儿死亡现象，孕产妇系统管理 165人，对85例高危孕产妇进行了追踪系统管理并建立了健康档案。老年人2753人，体检率达72%，筛查出高血压166人，糖尿病577人，全镇共有高血压患者1996人，糖尿病患者577人，精神病患者128人，均已建档。同时发放了高血压、糠尿病健康处方6000多份，并完成了全镇三慢病人的随访工作。全镇共有28935人，已建纸质档案26308人份，建档率达90.92%，档案查阅15255人份，查阅率达57.98%。。</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jc w:val="both"/>
              <w:textAlignment w:val="auto"/>
              <w:rPr>
                <w:rFonts w:hint="eastAsia" w:ascii="华文仿宋" w:hAnsi="华文仿宋" w:eastAsia="华文仿宋" w:cs="Times New Roman"/>
                <w:sz w:val="32"/>
                <w:szCs w:val="32"/>
              </w:rPr>
            </w:pPr>
            <w:r>
              <w:rPr>
                <w:rFonts w:hint="eastAsia" w:ascii="华文仿宋" w:hAnsi="华文仿宋" w:eastAsia="华文仿宋" w:cs="Times New Roman"/>
                <w:sz w:val="32"/>
                <w:szCs w:val="32"/>
                <w:lang w:val="en-US" w:eastAsia="zh-CN"/>
              </w:rPr>
              <w:t>我院将全镇8个村、居委会根据每个村、居人口的多少划分成8个片，然后实行分片包干，一个团队负责一个片区的公卫及家庭医生签约服务工作，全镇共签约8680人，对团队成员给予了相应的劳务报酬。</w:t>
            </w:r>
          </w:p>
          <w:p>
            <w:pPr>
              <w:keepNext w:val="0"/>
              <w:keepLines w:val="0"/>
              <w:pageBreakBefore w:val="0"/>
              <w:widowControl w:val="0"/>
              <w:kinsoku/>
              <w:wordWrap/>
              <w:overflowPunct/>
              <w:topLinePunct w:val="0"/>
              <w:bidi w:val="0"/>
              <w:adjustRightInd w:val="0"/>
              <w:snapToGrid w:val="0"/>
              <w:spacing w:line="600" w:lineRule="atLeast"/>
              <w:ind w:firstLine="640" w:firstLineChars="200"/>
              <w:jc w:val="both"/>
              <w:textAlignment w:val="auto"/>
              <w:rPr>
                <w:rFonts w:hint="eastAsia" w:ascii="华文仿宋" w:hAnsi="华文仿宋" w:eastAsia="华文仿宋" w:cs="Times New Roman"/>
                <w:sz w:val="32"/>
                <w:szCs w:val="32"/>
                <w:lang w:val="en-US" w:eastAsia="zh-CN"/>
              </w:rPr>
            </w:pPr>
            <w:r>
              <w:rPr>
                <w:rFonts w:hint="eastAsia" w:ascii="华文仿宋" w:hAnsi="华文仿宋" w:eastAsia="华文仿宋" w:cs="Times New Roman"/>
                <w:sz w:val="32"/>
                <w:szCs w:val="32"/>
                <w:lang w:val="en-US" w:eastAsia="zh-CN"/>
              </w:rPr>
              <w:t>2021年</w:t>
            </w:r>
            <w:r>
              <w:rPr>
                <w:rFonts w:hint="eastAsia" w:ascii="华文仿宋" w:hAnsi="华文仿宋" w:eastAsia="华文仿宋" w:cs="Times New Roman"/>
                <w:sz w:val="32"/>
                <w:szCs w:val="32"/>
              </w:rPr>
              <w:t>健康宣教方面，我院在各村（居）开展慢性病、常见病防治及科学防病健康讲座12次，健康咨询9次，接受健康教育3900余人，共更换健康宣传窗108 余块，张贴糖尿病和高血压注意事项宣传画60余张，开展健康教育活动21次，发放健康处方24000多份，开展个体化健康教育676余人，参加健康教育4576多人次，通过健康宣教居民的健康意识有了明显提高。</w:t>
            </w:r>
          </w:p>
          <w:p>
            <w:pPr>
              <w:spacing w:line="620" w:lineRule="exact"/>
              <w:ind w:firstLine="640" w:firstLineChars="200"/>
              <w:rPr>
                <w:rFonts w:hint="eastAsia" w:ascii="黑体" w:hAnsi="宋体" w:eastAsia="黑体" w:cs="宋体"/>
                <w:sz w:val="32"/>
                <w:szCs w:val="32"/>
                <w:lang w:eastAsia="zh-CN"/>
              </w:rPr>
            </w:pPr>
            <w:r>
              <w:rPr>
                <w:rFonts w:hint="eastAsia" w:ascii="黑体" w:hAnsi="宋体" w:eastAsia="黑体" w:cs="宋体"/>
                <w:sz w:val="32"/>
                <w:szCs w:val="32"/>
                <w:lang w:eastAsia="zh-CN"/>
              </w:rPr>
              <w:t>五</w:t>
            </w:r>
            <w:r>
              <w:rPr>
                <w:rFonts w:hint="eastAsia" w:ascii="黑体" w:hAnsi="宋体" w:eastAsia="黑体" w:cs="宋体"/>
                <w:sz w:val="32"/>
                <w:szCs w:val="32"/>
              </w:rPr>
              <w:t>、</w:t>
            </w:r>
            <w:r>
              <w:rPr>
                <w:rFonts w:hint="eastAsia" w:ascii="黑体" w:hAnsi="宋体" w:eastAsia="黑体" w:cs="宋体"/>
                <w:sz w:val="32"/>
                <w:szCs w:val="32"/>
                <w:lang w:eastAsia="zh-CN"/>
              </w:rPr>
              <w:t>存在的主要问题及下一步工作规划</w:t>
            </w:r>
          </w:p>
          <w:p>
            <w:pPr>
              <w:spacing w:line="620" w:lineRule="exact"/>
              <w:ind w:firstLine="640" w:firstLineChars="200"/>
              <w:rPr>
                <w:rFonts w:hint="eastAsia" w:ascii="黑体" w:hAnsi="宋体" w:eastAsia="黑体" w:cs="宋体"/>
                <w:sz w:val="32"/>
                <w:szCs w:val="32"/>
              </w:rPr>
            </w:pPr>
            <w:r>
              <w:rPr>
                <w:rFonts w:hint="eastAsia" w:ascii="黑体" w:hAnsi="宋体" w:eastAsia="黑体" w:cs="宋体"/>
                <w:sz w:val="32"/>
                <w:szCs w:val="32"/>
                <w:lang w:eastAsia="zh-CN"/>
              </w:rPr>
              <w:t>（一）</w:t>
            </w:r>
            <w:r>
              <w:rPr>
                <w:rFonts w:hint="eastAsia" w:ascii="黑体" w:hAnsi="宋体" w:eastAsia="黑体" w:cs="宋体"/>
                <w:sz w:val="32"/>
                <w:szCs w:val="32"/>
              </w:rPr>
              <w:t>、存在的问题</w:t>
            </w:r>
          </w:p>
          <w:p>
            <w:pPr>
              <w:tabs>
                <w:tab w:val="center" w:pos="4153"/>
              </w:tabs>
              <w:spacing w:line="600" w:lineRule="exact"/>
              <w:ind w:firstLine="640" w:firstLineChars="200"/>
              <w:jc w:val="left"/>
              <w:rPr>
                <w:rFonts w:hint="eastAsia" w:ascii="仿宋_GB2312" w:hAnsi="宋体" w:eastAsia="仿宋_GB2312" w:cs="宋体"/>
                <w:bCs/>
                <w:sz w:val="32"/>
                <w:szCs w:val="32"/>
              </w:rPr>
            </w:pPr>
            <w:r>
              <w:rPr>
                <w:rFonts w:hint="eastAsia" w:ascii="仿宋_GB2312" w:hAnsi="宋体" w:eastAsia="仿宋_GB2312" w:cs="宋体"/>
                <w:bCs/>
                <w:sz w:val="32"/>
                <w:szCs w:val="32"/>
                <w:lang w:val="en-US" w:eastAsia="zh-CN"/>
              </w:rPr>
              <w:t>1、</w:t>
            </w:r>
            <w:r>
              <w:rPr>
                <w:rFonts w:hint="eastAsia" w:ascii="仿宋_GB2312" w:hAnsi="宋体" w:eastAsia="仿宋_GB2312" w:cs="宋体"/>
                <w:bCs/>
                <w:sz w:val="32"/>
                <w:szCs w:val="32"/>
              </w:rPr>
              <w:t>预算编制有待更严格执行。预算编制与实际支出项目有的存在差异。</w:t>
            </w:r>
            <w:r>
              <w:rPr>
                <w:rFonts w:hint="eastAsia" w:ascii="仿宋_GB2312" w:hAnsi="仿宋" w:eastAsia="仿宋_GB2312"/>
                <w:sz w:val="32"/>
                <w:szCs w:val="32"/>
                <w:lang w:val="en-US" w:eastAsia="zh-CN"/>
              </w:rPr>
              <w:t>有些工作未能找到适当的量化方式，对绩效管理量化评价方面略显不足。通过县财政局组织的预算绩效管理培训，逐步找到适合的方法对本单位的工作进行合理的分类量化，以便适应将来的预算绩效管理工作。</w:t>
            </w:r>
          </w:p>
          <w:p>
            <w:pPr>
              <w:tabs>
                <w:tab w:val="center" w:pos="4153"/>
              </w:tabs>
              <w:spacing w:line="540" w:lineRule="exact"/>
              <w:ind w:firstLine="640" w:firstLineChars="200"/>
              <w:rPr>
                <w:rFonts w:hint="eastAsia" w:ascii="仿宋_GB2312" w:hAnsi="宋体" w:eastAsia="仿宋_GB2312" w:cs="宋体"/>
                <w:bCs/>
                <w:sz w:val="32"/>
                <w:szCs w:val="32"/>
              </w:rPr>
            </w:pPr>
            <w:r>
              <w:rPr>
                <w:rFonts w:hint="eastAsia" w:ascii="仿宋_GB2312" w:hAnsi="宋体" w:eastAsia="仿宋_GB2312" w:cs="宋体"/>
                <w:bCs/>
                <w:sz w:val="32"/>
                <w:szCs w:val="32"/>
                <w:lang w:val="en-US" w:eastAsia="zh-CN"/>
              </w:rPr>
              <w:t>2、</w:t>
            </w:r>
            <w:r>
              <w:rPr>
                <w:rFonts w:hint="eastAsia" w:eastAsia="仿宋_GB2312"/>
                <w:sz w:val="32"/>
                <w:szCs w:val="32"/>
                <w:lang w:eastAsia="zh-CN"/>
              </w:rPr>
              <w:t>加强</w:t>
            </w:r>
            <w:r>
              <w:rPr>
                <w:rFonts w:eastAsia="仿宋_GB2312"/>
                <w:sz w:val="32"/>
                <w:szCs w:val="32"/>
              </w:rPr>
              <w:t>卫生院基础设施</w:t>
            </w:r>
            <w:r>
              <w:rPr>
                <w:rFonts w:hint="eastAsia" w:eastAsia="仿宋_GB2312"/>
                <w:sz w:val="32"/>
                <w:szCs w:val="32"/>
                <w:lang w:eastAsia="zh-CN"/>
              </w:rPr>
              <w:t>及</w:t>
            </w:r>
            <w:r>
              <w:rPr>
                <w:rFonts w:eastAsia="仿宋_GB2312"/>
                <w:sz w:val="32"/>
                <w:szCs w:val="32"/>
              </w:rPr>
              <w:t>能力建设</w:t>
            </w:r>
            <w:r>
              <w:rPr>
                <w:rFonts w:hint="eastAsia" w:eastAsia="仿宋_GB2312"/>
                <w:sz w:val="32"/>
                <w:szCs w:val="32"/>
                <w:lang w:eastAsia="zh-CN"/>
              </w:rPr>
              <w:t>，</w:t>
            </w:r>
            <w:r>
              <w:rPr>
                <w:rFonts w:eastAsia="仿宋_GB2312"/>
                <w:sz w:val="32"/>
                <w:szCs w:val="32"/>
              </w:rPr>
              <w:t>抓好医疗质量安全、医疗纠纷第三方调解机制、医疗机构布局、医疗废物集中处置等工作</w:t>
            </w:r>
            <w:r>
              <w:rPr>
                <w:rFonts w:hint="eastAsia" w:ascii="仿宋_GB2312" w:hAnsi="宋体" w:eastAsia="仿宋_GB2312" w:cs="宋体"/>
                <w:bCs/>
                <w:sz w:val="32"/>
                <w:szCs w:val="32"/>
              </w:rPr>
              <w:t>。</w:t>
            </w:r>
          </w:p>
          <w:p>
            <w:pPr>
              <w:tabs>
                <w:tab w:val="center" w:pos="4153"/>
              </w:tabs>
              <w:spacing w:line="540" w:lineRule="exact"/>
              <w:ind w:firstLine="643" w:firstLineChars="200"/>
              <w:rPr>
                <w:rFonts w:hint="eastAsia" w:ascii="黑体" w:hAnsi="宋体" w:eastAsia="黑体" w:cs="宋体"/>
                <w:sz w:val="32"/>
                <w:szCs w:val="32"/>
                <w:lang w:eastAsia="zh-CN"/>
              </w:rPr>
            </w:pPr>
            <w:r>
              <w:rPr>
                <w:rFonts w:hint="eastAsia" w:ascii="黑体" w:hAnsi="宋体" w:eastAsia="黑体" w:cs="宋体"/>
                <w:b/>
                <w:sz w:val="32"/>
                <w:szCs w:val="32"/>
                <w:lang w:eastAsia="zh-CN"/>
              </w:rPr>
              <w:t>（</w:t>
            </w:r>
            <w:r>
              <w:rPr>
                <w:rFonts w:hint="eastAsia" w:ascii="黑体" w:hAnsi="宋体" w:eastAsia="黑体" w:cs="宋体"/>
                <w:sz w:val="32"/>
                <w:szCs w:val="32"/>
                <w:lang w:eastAsia="zh-CN"/>
              </w:rPr>
              <w:t>二）、工作规划</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Autospacing="0" w:line="600" w:lineRule="atLeast"/>
              <w:ind w:firstLine="643" w:firstLineChars="200"/>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kern w:val="2"/>
                <w:sz w:val="32"/>
                <w:szCs w:val="32"/>
                <w:lang w:val="en-US" w:eastAsia="zh-CN" w:bidi="ar-SA"/>
              </w:rPr>
              <w:t>1.</w:t>
            </w:r>
            <w:r>
              <w:rPr>
                <w:rFonts w:hint="eastAsia" w:ascii="Times New Roman" w:hAnsi="Times New Roman" w:eastAsia="仿宋_GB2312" w:cs="Times New Roman"/>
                <w:color w:val="auto"/>
                <w:kern w:val="2"/>
                <w:sz w:val="32"/>
                <w:szCs w:val="32"/>
                <w:lang w:val="en-US" w:eastAsia="zh-CN" w:bidi="ar-SA"/>
              </w:rPr>
              <w:t>进一步加大宣传力度，让广大城乡居民更全面了解项目的益处，提高群众知晓率，鼓励群众积极参与，自愿配合医疗卫生服务工作的开展。</w:t>
            </w:r>
          </w:p>
          <w:p>
            <w:pPr>
              <w:tabs>
                <w:tab w:val="center" w:pos="4153"/>
              </w:tabs>
              <w:spacing w:line="540" w:lineRule="exact"/>
              <w:ind w:firstLine="630"/>
              <w:jc w:val="left"/>
              <w:rPr>
                <w:rFonts w:hint="eastAsia" w:ascii="仿宋_GB2312" w:hAnsi="宋体" w:eastAsia="仿宋_GB2312" w:cs="宋体"/>
                <w:b/>
                <w:sz w:val="32"/>
                <w:szCs w:val="32"/>
              </w:rPr>
            </w:pPr>
            <w:r>
              <w:rPr>
                <w:rFonts w:hint="eastAsia" w:ascii="宋体" w:hAnsi="宋体" w:eastAsia="宋体" w:cs="宋体"/>
                <w:b/>
                <w:bCs w:val="0"/>
                <w:sz w:val="32"/>
                <w:szCs w:val="32"/>
                <w:lang w:val="en-US" w:eastAsia="zh-CN"/>
              </w:rPr>
              <w:t>2.</w:t>
            </w:r>
            <w:r>
              <w:rPr>
                <w:rFonts w:hint="eastAsia" w:ascii="Times New Roman" w:hAnsi="Times New Roman" w:eastAsia="仿宋_GB2312" w:cs="Times New Roman"/>
                <w:color w:val="auto"/>
                <w:kern w:val="2"/>
                <w:sz w:val="32"/>
                <w:szCs w:val="32"/>
                <w:lang w:val="en-US" w:eastAsia="zh-CN" w:bidi="ar-SA"/>
              </w:rPr>
              <w:t>按照预算规定的项目和用途严格财务审核，经费支出严格按预算规定项目的财务支出内容进行财务核算，在预算金额内严格控制费用的支出。</w:t>
            </w:r>
          </w:p>
          <w:p>
            <w:pPr>
              <w:tabs>
                <w:tab w:val="center" w:pos="4153"/>
              </w:tabs>
              <w:spacing w:line="540" w:lineRule="exact"/>
              <w:ind w:firstLine="645"/>
              <w:jc w:val="left"/>
              <w:rPr>
                <w:rFonts w:hint="eastAsia" w:ascii="仿宋_GB2312" w:hAnsi="宋体" w:eastAsia="仿宋_GB2312" w:cs="宋体"/>
                <w:sz w:val="32"/>
                <w:szCs w:val="32"/>
                <w:shd w:val="clear" w:color="auto" w:fill="FFFFFF"/>
              </w:rPr>
            </w:pPr>
            <w:r>
              <w:rPr>
                <w:rFonts w:hint="eastAsia" w:ascii="宋体" w:hAnsi="宋体" w:eastAsia="宋体" w:cs="宋体"/>
                <w:b/>
                <w:bCs w:val="0"/>
                <w:sz w:val="32"/>
                <w:szCs w:val="32"/>
                <w:lang w:val="en-US" w:eastAsia="zh-CN"/>
              </w:rPr>
              <w:t>3.</w:t>
            </w:r>
            <w:r>
              <w:rPr>
                <w:rFonts w:hint="eastAsia" w:ascii="仿宋_GB2312" w:hAnsi="宋体" w:eastAsia="仿宋_GB2312" w:cs="宋体"/>
                <w:sz w:val="32"/>
                <w:szCs w:val="32"/>
                <w:shd w:val="clear" w:color="auto" w:fill="FFFFFF"/>
                <w:lang w:eastAsia="zh-CN"/>
              </w:rPr>
              <w:t>将</w:t>
            </w:r>
            <w:r>
              <w:rPr>
                <w:rFonts w:hint="eastAsia" w:ascii="仿宋_GB2312" w:hAnsi="宋体" w:eastAsia="仿宋_GB2312" w:cs="宋体"/>
                <w:sz w:val="32"/>
                <w:szCs w:val="32"/>
                <w:shd w:val="clear" w:color="auto" w:fill="FFFFFF"/>
              </w:rPr>
              <w:t>预算财务分析常态化，定期做好预算支出财务分析，做好部门整体支出预算评价工作。</w:t>
            </w:r>
          </w:p>
          <w:p>
            <w:pPr>
              <w:tabs>
                <w:tab w:val="center" w:pos="4153"/>
              </w:tabs>
              <w:spacing w:line="540" w:lineRule="exact"/>
              <w:ind w:firstLine="645"/>
              <w:jc w:val="left"/>
              <w:rPr>
                <w:rFonts w:hint="eastAsia" w:ascii="宋体" w:hAnsi="宋体" w:eastAsia="宋体" w:cs="宋体"/>
                <w:bCs/>
                <w:spacing w:val="-6"/>
                <w:sz w:val="32"/>
                <w:szCs w:val="32"/>
              </w:rPr>
            </w:pPr>
            <w:r>
              <w:rPr>
                <w:rFonts w:hint="eastAsia" w:ascii="宋体" w:hAnsi="宋体" w:eastAsia="宋体" w:cs="宋体"/>
                <w:b/>
                <w:bCs w:val="0"/>
                <w:sz w:val="32"/>
                <w:szCs w:val="32"/>
                <w:lang w:val="en-US" w:eastAsia="zh-CN"/>
              </w:rPr>
              <w:t>4.</w:t>
            </w:r>
            <w:r>
              <w:rPr>
                <w:rFonts w:hint="eastAsia" w:ascii="Times New Roman" w:hAnsi="Times New Roman" w:eastAsia="仿宋_GB2312" w:cs="Times New Roman"/>
                <w:color w:val="auto"/>
                <w:kern w:val="2"/>
                <w:sz w:val="32"/>
                <w:szCs w:val="32"/>
                <w:lang w:val="en-US" w:eastAsia="zh-CN" w:bidi="ar-SA"/>
              </w:rPr>
              <w:t>积极宣传和引导居民群众对医疗卫生服务的认知度和信任度，激发公众的参与度，从而积极献计献策。</w:t>
            </w:r>
            <w:r>
              <w:rPr>
                <w:rFonts w:hint="eastAsia" w:ascii="宋体" w:hAnsi="宋体" w:eastAsia="宋体" w:cs="宋体"/>
                <w:bCs/>
                <w:spacing w:val="-6"/>
                <w:sz w:val="32"/>
                <w:szCs w:val="32"/>
              </w:rPr>
              <w:t xml:space="preserve"> </w:t>
            </w:r>
          </w:p>
          <w:p>
            <w:pPr>
              <w:tabs>
                <w:tab w:val="center" w:pos="4153"/>
              </w:tabs>
              <w:spacing w:line="540" w:lineRule="exact"/>
              <w:ind w:firstLine="645"/>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5、继续巩固“全国百佳乡镇卫生院”成果，加强医疗安全服务意识与医德医风行风建设。</w:t>
            </w:r>
          </w:p>
          <w:p>
            <w:pPr>
              <w:tabs>
                <w:tab w:val="center" w:pos="4153"/>
              </w:tabs>
              <w:spacing w:line="540" w:lineRule="exact"/>
              <w:ind w:firstLine="645"/>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6、加强公共卫生工作管理力度，提高群众满意度，力争我院的公共卫生工作再上新台阶。</w:t>
            </w:r>
          </w:p>
          <w:p>
            <w:pPr>
              <w:tabs>
                <w:tab w:val="center" w:pos="4153"/>
              </w:tabs>
              <w:spacing w:line="540" w:lineRule="exact"/>
              <w:ind w:firstLine="645"/>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7、加强我院全体医务人员的教育管理，大力提倡医务人员微笑式服务、视病友为亲人，争取把每项工作做细做实做精。</w:t>
            </w:r>
          </w:p>
          <w:p>
            <w:pPr>
              <w:tabs>
                <w:tab w:val="center" w:pos="4153"/>
              </w:tabs>
              <w:spacing w:line="540" w:lineRule="exact"/>
              <w:ind w:firstLine="645"/>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8、下大力抓好卫生院服务功能建设，改善和优化就医环境。</w:t>
            </w:r>
          </w:p>
          <w:p>
            <w:pPr>
              <w:tabs>
                <w:tab w:val="center" w:pos="4153"/>
              </w:tabs>
              <w:spacing w:line="540" w:lineRule="exact"/>
              <w:ind w:firstLine="645"/>
              <w:jc w:val="left"/>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9、继续发展壮大中医药服务能力建设。</w:t>
            </w:r>
          </w:p>
          <w:p>
            <w:pPr>
              <w:tabs>
                <w:tab w:val="center" w:pos="4153"/>
              </w:tabs>
              <w:spacing w:line="540" w:lineRule="exact"/>
              <w:ind w:firstLine="645"/>
              <w:jc w:val="left"/>
              <w:rPr>
                <w:rFonts w:hint="default" w:ascii="仿宋_GB2312" w:hAnsi="宋体" w:eastAsia="仿宋_GB2312" w:cs="宋体"/>
                <w:sz w:val="32"/>
                <w:szCs w:val="32"/>
                <w:shd w:val="clear" w:color="auto" w:fill="FFFFFF"/>
                <w:lang w:val="en-US" w:eastAsia="zh-CN"/>
              </w:rPr>
            </w:pPr>
          </w:p>
          <w:p>
            <w:pPr>
              <w:spacing w:line="560" w:lineRule="exact"/>
              <w:ind w:right="-483" w:rightChars="-230" w:firstLine="600" w:firstLineChars="200"/>
              <w:rPr>
                <w:rFonts w:hint="eastAsia" w:ascii="Times New Roman" w:hAnsi="Times New Roman" w:eastAsia="仿宋_GB2312" w:cs="Times New Roman"/>
                <w:sz w:val="30"/>
                <w:szCs w:val="30"/>
                <w:lang w:eastAsia="zh-CN"/>
              </w:rPr>
            </w:pPr>
          </w:p>
          <w:p>
            <w:pPr>
              <w:tabs>
                <w:tab w:val="center" w:pos="4153"/>
              </w:tabs>
              <w:spacing w:line="540" w:lineRule="exact"/>
              <w:rPr>
                <w:rFonts w:hint="eastAsia" w:ascii="仿宋_GB2312" w:hAnsi="仿宋_GB2312" w:eastAsia="仿宋_GB2312"/>
                <w:bCs/>
                <w:spacing w:val="-26"/>
                <w:sz w:val="32"/>
                <w:szCs w:val="32"/>
                <w:lang w:eastAsia="zh-CN"/>
              </w:rPr>
            </w:pPr>
            <w:r>
              <w:rPr>
                <w:rFonts w:hint="eastAsia"/>
                <w:shd w:val="clear" w:color="auto" w:fill="FFFFFF"/>
              </w:rPr>
              <w:t xml:space="preserve">                                                       </w:t>
            </w:r>
            <w:r>
              <w:rPr>
                <w:rFonts w:hint="eastAsia" w:ascii="仿宋_GB2312" w:hAnsi="仿宋_GB2312" w:eastAsia="仿宋_GB2312"/>
                <w:bCs/>
                <w:spacing w:val="-26"/>
                <w:sz w:val="32"/>
                <w:szCs w:val="32"/>
              </w:rPr>
              <w:t>华容县</w:t>
            </w:r>
            <w:r>
              <w:rPr>
                <w:rFonts w:hint="eastAsia" w:ascii="仿宋_GB2312" w:hAnsi="仿宋_GB2312" w:eastAsia="仿宋_GB2312"/>
                <w:bCs/>
                <w:spacing w:val="-26"/>
                <w:sz w:val="32"/>
                <w:szCs w:val="32"/>
                <w:lang w:eastAsia="zh-CN"/>
              </w:rPr>
              <w:t>治河渡镇卫生院</w:t>
            </w:r>
          </w:p>
          <w:p>
            <w:pPr>
              <w:tabs>
                <w:tab w:val="center" w:pos="4153"/>
              </w:tabs>
              <w:spacing w:line="540" w:lineRule="exact"/>
              <w:ind w:firstLine="5896" w:firstLineChars="2200"/>
              <w:rPr>
                <w:rFonts w:hint="default" w:ascii="仿宋_GB2312" w:hAnsi="仿宋_GB2312" w:eastAsia="仿宋_GB2312"/>
                <w:bCs/>
                <w:spacing w:val="-26"/>
                <w:sz w:val="32"/>
                <w:szCs w:val="32"/>
                <w:lang w:val="en-US" w:eastAsia="zh-CN"/>
              </w:rPr>
            </w:pPr>
            <w:r>
              <w:rPr>
                <w:rFonts w:hint="eastAsia" w:ascii="仿宋_GB2312" w:hAnsi="仿宋_GB2312" w:eastAsia="仿宋_GB2312"/>
                <w:bCs/>
                <w:spacing w:val="-26"/>
                <w:sz w:val="32"/>
                <w:szCs w:val="32"/>
              </w:rPr>
              <w:t>20</w:t>
            </w:r>
            <w:r>
              <w:rPr>
                <w:rFonts w:hint="eastAsia" w:ascii="仿宋_GB2312" w:hAnsi="仿宋_GB2312" w:eastAsia="仿宋_GB2312"/>
                <w:bCs/>
                <w:spacing w:val="-26"/>
                <w:sz w:val="32"/>
                <w:szCs w:val="32"/>
                <w:lang w:val="en-US" w:eastAsia="zh-CN"/>
              </w:rPr>
              <w:t>22</w:t>
            </w:r>
            <w:r>
              <w:rPr>
                <w:rFonts w:hint="eastAsia" w:ascii="仿宋_GB2312" w:hAnsi="仿宋_GB2312" w:eastAsia="仿宋_GB2312"/>
                <w:bCs/>
                <w:spacing w:val="-26"/>
                <w:sz w:val="32"/>
                <w:szCs w:val="32"/>
              </w:rPr>
              <w:t>年</w:t>
            </w:r>
            <w:r>
              <w:rPr>
                <w:rFonts w:hint="eastAsia" w:ascii="仿宋_GB2312" w:hAnsi="仿宋_GB2312" w:eastAsia="仿宋_GB2312"/>
                <w:bCs/>
                <w:spacing w:val="-26"/>
                <w:sz w:val="32"/>
                <w:szCs w:val="32"/>
                <w:lang w:val="en-US" w:eastAsia="zh-CN"/>
              </w:rPr>
              <w:t>10</w:t>
            </w:r>
            <w:r>
              <w:rPr>
                <w:rFonts w:hint="eastAsia" w:ascii="仿宋_GB2312" w:hAnsi="仿宋_GB2312" w:eastAsia="仿宋_GB2312"/>
                <w:bCs/>
                <w:spacing w:val="-26"/>
                <w:sz w:val="32"/>
                <w:szCs w:val="32"/>
              </w:rPr>
              <w:t>月</w:t>
            </w:r>
          </w:p>
          <w:p>
            <w:pPr>
              <w:rPr>
                <w:rFonts w:eastAsia="楷体_GB2312"/>
                <w:bCs/>
                <w:sz w:val="28"/>
                <w:szCs w:val="28"/>
              </w:rPr>
            </w:pPr>
          </w:p>
        </w:tc>
      </w:tr>
    </w:tbl>
    <w:p>
      <w:pPr>
        <w:rPr>
          <w:rFonts w:hint="eastAsia" w:ascii="黑体" w:hAnsi="黑体" w:eastAsia="黑体"/>
          <w:sz w:val="32"/>
          <w:szCs w:val="32"/>
        </w:rPr>
      </w:pPr>
      <w:r>
        <w:rPr>
          <w:rFonts w:hint="eastAsia" w:ascii="黑体" w:hAnsi="黑体" w:eastAsia="黑体"/>
          <w:sz w:val="32"/>
          <w:szCs w:val="32"/>
        </w:rPr>
        <w:t>附件3-1</w:t>
      </w:r>
    </w:p>
    <w:p>
      <w:pPr>
        <w:jc w:val="center"/>
        <w:rPr>
          <w:rFonts w:hint="eastAsia" w:ascii="方正小标宋简体" w:eastAsia="方正小标宋简体"/>
          <w:sz w:val="38"/>
          <w:szCs w:val="38"/>
        </w:rPr>
      </w:pPr>
      <w:r>
        <w:rPr>
          <w:rFonts w:hint="eastAsia" w:ascii="方正小标宋简体" w:eastAsia="方正小标宋简体"/>
          <w:sz w:val="38"/>
          <w:szCs w:val="38"/>
        </w:rPr>
        <w:t>部门整体支出绩效评价评分表（参考样表）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2.5</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w:t>
            </w:r>
            <w:r>
              <w:rPr>
                <w:rFonts w:hint="eastAsia" w:ascii="仿宋_GB2312" w:hAnsi="宋体" w:eastAsia="仿宋_GB2312" w:cs="宋体"/>
                <w:kern w:val="0"/>
                <w:sz w:val="18"/>
                <w:szCs w:val="18"/>
                <w:lang w:val="en-US" w:eastAsia="zh-CN"/>
              </w:rPr>
              <w:t>7</w:t>
            </w:r>
            <w:r>
              <w:rPr>
                <w:rFonts w:hint="eastAsia" w:ascii="仿宋_GB2312" w:hAnsi="宋体" w:eastAsia="仿宋_GB2312" w:cs="宋体"/>
                <w:kern w:val="0"/>
                <w:sz w:val="18"/>
                <w:szCs w:val="18"/>
              </w:rPr>
              <w:t>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0</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产  出（25分</w:t>
            </w:r>
            <w:r>
              <w:rPr>
                <w:rFonts w:hint="eastAsia" w:ascii="仿宋_GB2312" w:hAnsi="宋体" w:eastAsia="仿宋_GB2312" w:cs="宋体"/>
                <w:kern w:val="0"/>
                <w:sz w:val="18"/>
                <w:szCs w:val="18"/>
                <w:lang w:eastAsia="zh-CN"/>
              </w:rPr>
              <w:t>）</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lang w:eastAsia="zh-CN"/>
              </w:rPr>
              <w:t>实施“三高四新”战略</w:t>
            </w:r>
            <w:r>
              <w:rPr>
                <w:rFonts w:hint="eastAsia" w:ascii="仿宋_GB2312" w:hAnsi="宋体" w:eastAsia="仿宋_GB2312" w:cs="宋体"/>
                <w:kern w:val="0"/>
                <w:sz w:val="18"/>
                <w:szCs w:val="18"/>
              </w:rPr>
              <w:t>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围绕部门和单位职责、年度重点工作任务，衡量评价部门和单位整体及核心业务实施效果</w:t>
            </w:r>
          </w:p>
          <w:p>
            <w:pPr>
              <w:widowControl/>
              <w:spacing w:line="240" w:lineRule="exact"/>
              <w:jc w:val="left"/>
              <w:rPr>
                <w:rFonts w:hint="eastAsia" w:ascii="仿宋_GB2312" w:hAnsi="宋体" w:eastAsia="仿宋_GB2312" w:cs="宋体"/>
                <w:kern w:val="0"/>
                <w:sz w:val="18"/>
                <w:szCs w:val="18"/>
                <w:lang w:eastAsia="zh-CN"/>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95.5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156" w:beforeLines="50"/>
        <w:contextualSpacing/>
        <w:rPr>
          <w:rFonts w:hint="eastAsia" w:ascii="仿宋_GB2312" w:hAnsi="宋体" w:eastAsia="仿宋_GB2312" w:cs="宋体"/>
          <w:kern w:val="0"/>
          <w:szCs w:val="21"/>
          <w:lang w:eastAsia="zh-CN"/>
        </w:rPr>
      </w:pPr>
      <w:r>
        <w:rPr>
          <w:rFonts w:hint="eastAsia" w:ascii="仿宋_GB2312" w:hAnsi="宋体" w:eastAsia="仿宋_GB2312" w:cs="宋体"/>
          <w:kern w:val="0"/>
          <w:szCs w:val="21"/>
        </w:rPr>
        <w:t>备注：部门（单位）</w:t>
      </w:r>
      <w:r>
        <w:rPr>
          <w:rFonts w:hint="eastAsia" w:ascii="仿宋_GB2312" w:hAnsi="宋体" w:eastAsia="仿宋_GB2312" w:cs="宋体"/>
          <w:kern w:val="0"/>
          <w:szCs w:val="21"/>
          <w:lang w:eastAsia="zh-CN"/>
        </w:rPr>
        <w:t>可</w:t>
      </w:r>
      <w:r>
        <w:rPr>
          <w:rFonts w:hint="eastAsia" w:ascii="仿宋_GB2312" w:hAnsi="宋体" w:eastAsia="仿宋_GB2312" w:cs="宋体"/>
          <w:kern w:val="0"/>
          <w:szCs w:val="21"/>
        </w:rPr>
        <w:t>根据本部门实际情况</w:t>
      </w:r>
      <w:r>
        <w:rPr>
          <w:rFonts w:hint="eastAsia" w:ascii="仿宋_GB2312" w:hAnsi="宋体" w:eastAsia="仿宋_GB2312" w:cs="宋体"/>
          <w:kern w:val="0"/>
          <w:szCs w:val="21"/>
          <w:lang w:eastAsia="zh-CN"/>
        </w:rPr>
        <w:t>，对评价指标体系</w:t>
      </w:r>
      <w:r>
        <w:rPr>
          <w:rFonts w:hint="eastAsia" w:ascii="仿宋_GB2312" w:eastAsia="仿宋_GB2312"/>
        </w:rPr>
        <w:t>进一步完善、量化、细化个性指标，形成本</w:t>
      </w:r>
      <w:r>
        <w:rPr>
          <w:rFonts w:hint="eastAsia" w:ascii="仿宋_GB2312" w:eastAsia="仿宋_GB2312"/>
          <w:lang w:eastAsia="zh-CN"/>
        </w:rPr>
        <w:t>部门</w:t>
      </w:r>
      <w:r>
        <w:rPr>
          <w:rFonts w:hint="eastAsia" w:ascii="仿宋_GB2312" w:eastAsia="仿宋_GB2312"/>
        </w:rPr>
        <w:t>的指标体系</w:t>
      </w:r>
      <w:r>
        <w:rPr>
          <w:rFonts w:hint="eastAsia" w:ascii="仿宋_GB2312" w:eastAsia="仿宋_GB2312"/>
          <w:lang w:eastAsia="zh-CN"/>
        </w:rPr>
        <w:t>。</w:t>
      </w:r>
    </w:p>
    <w:p>
      <w:pPr>
        <w:adjustRightInd w:val="0"/>
        <w:snapToGrid w:val="0"/>
        <w:spacing w:before="156" w:beforeLines="50"/>
        <w:ind w:firstLine="960" w:firstLineChars="300"/>
        <w:contextualSpacing/>
        <w:rPr>
          <w:rFonts w:hint="eastAsia"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黑体">
    <w:panose1 w:val="02010609060101010101"/>
    <w:charset w:val="86"/>
    <w:family w:val="script"/>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方正小标宋简体">
    <w:altName w:val="宋体"/>
    <w:panose1 w:val="02010601030101010101"/>
    <w:charset w:val="86"/>
    <w:family w:val="auto"/>
    <w:pitch w:val="default"/>
    <w:sig w:usb0="00000000" w:usb1="00000000" w:usb2="00000010" w:usb3="00000000" w:csb0="00040000" w:csb1="00000000"/>
  </w:font>
  <w:font w:name="方正小标">
    <w:altName w:val="宋体"/>
    <w:panose1 w:val="00000000000000000000"/>
    <w:charset w:val="00"/>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18</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58573971">
    <w:nsid w:val="EBF30B93"/>
    <w:multiLevelType w:val="singleLevel"/>
    <w:tmpl w:val="EBF30B93"/>
    <w:lvl w:ilvl="0" w:tentative="1">
      <w:start w:val="2"/>
      <w:numFmt w:val="chineseCounting"/>
      <w:suff w:val="nothing"/>
      <w:lvlText w:val="（%1）"/>
      <w:lvlJc w:val="left"/>
      <w:rPr>
        <w:rFonts w:hint="eastAsia"/>
      </w:rPr>
    </w:lvl>
  </w:abstractNum>
  <w:num w:numId="1">
    <w:abstractNumId w:val="39585739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2I2MWMyZjIzOThiNzlmZjZkNzUzYjQwYWI4MjIifQ=="/>
  </w:docVars>
  <w:rsids>
    <w:rsidRoot w:val="2CE55C20"/>
    <w:rsid w:val="007B2063"/>
    <w:rsid w:val="083749E7"/>
    <w:rsid w:val="0CAD24E9"/>
    <w:rsid w:val="0CB679B8"/>
    <w:rsid w:val="0DE528CD"/>
    <w:rsid w:val="0FE95EB3"/>
    <w:rsid w:val="10054735"/>
    <w:rsid w:val="1336279F"/>
    <w:rsid w:val="15253159"/>
    <w:rsid w:val="18725427"/>
    <w:rsid w:val="1AA40DB2"/>
    <w:rsid w:val="23344139"/>
    <w:rsid w:val="24B15CB8"/>
    <w:rsid w:val="254E2FC7"/>
    <w:rsid w:val="25B607B7"/>
    <w:rsid w:val="263C173A"/>
    <w:rsid w:val="289D055E"/>
    <w:rsid w:val="29BB1C74"/>
    <w:rsid w:val="2A770606"/>
    <w:rsid w:val="2AEF5518"/>
    <w:rsid w:val="2C9F197B"/>
    <w:rsid w:val="2CA33441"/>
    <w:rsid w:val="2CE55C20"/>
    <w:rsid w:val="2ED959B4"/>
    <w:rsid w:val="2F287302"/>
    <w:rsid w:val="30426D13"/>
    <w:rsid w:val="350727B3"/>
    <w:rsid w:val="3A255BB6"/>
    <w:rsid w:val="3A43255A"/>
    <w:rsid w:val="3D6201A1"/>
    <w:rsid w:val="3EC46785"/>
    <w:rsid w:val="3F375A43"/>
    <w:rsid w:val="3F8A6044"/>
    <w:rsid w:val="43535202"/>
    <w:rsid w:val="43A702D9"/>
    <w:rsid w:val="44592EA4"/>
    <w:rsid w:val="477245B4"/>
    <w:rsid w:val="49617FA5"/>
    <w:rsid w:val="4BAD6FBB"/>
    <w:rsid w:val="4D171D42"/>
    <w:rsid w:val="4E4F0BB0"/>
    <w:rsid w:val="51D13AD5"/>
    <w:rsid w:val="572958E7"/>
    <w:rsid w:val="57CB5CDA"/>
    <w:rsid w:val="59E35ED0"/>
    <w:rsid w:val="5ACC2442"/>
    <w:rsid w:val="5BE95901"/>
    <w:rsid w:val="5C9A1694"/>
    <w:rsid w:val="677156E7"/>
    <w:rsid w:val="6A0A15CD"/>
    <w:rsid w:val="6B321631"/>
    <w:rsid w:val="6D452F22"/>
    <w:rsid w:val="6DC85BA0"/>
    <w:rsid w:val="6DF352BD"/>
    <w:rsid w:val="705E3E6D"/>
    <w:rsid w:val="706C6358"/>
    <w:rsid w:val="71C1048A"/>
    <w:rsid w:val="7396188C"/>
    <w:rsid w:val="73A6715E"/>
    <w:rsid w:val="73F35F5B"/>
    <w:rsid w:val="77AA0998"/>
    <w:rsid w:val="79C04582"/>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3234</Words>
  <Characters>3520</Characters>
  <Lines>0</Lines>
  <Paragraphs>0</Paragraphs>
  <TotalTime>0</TotalTime>
  <ScaleCrop>false</ScaleCrop>
  <LinksUpToDate>false</LinksUpToDate>
  <CharactersWithSpaces>4022</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2019-05-08T01:00:00Z</dcterms:created>
  <dc:creator>Administrator</dc:creator>
  <cp:lastModifiedBy>czj</cp:lastModifiedBy>
  <cp:lastPrinted>2021-07-12T08:27:00Z</cp:lastPrinted>
  <dcterms:modified xsi:type="dcterms:W3CDTF">2022-11-08T09:02:25Z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377A56B318954603893BD5B869B7BB42</vt:lpwstr>
  </property>
</Properties>
</file>