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华容县2021年度部门整体支出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4" w:firstLineChars="150"/>
        <w:rPr>
          <w:rFonts w:eastAsia="仿宋_GB2312"/>
          <w:sz w:val="32"/>
          <w:szCs w:val="32"/>
          <w:u w:val="single"/>
        </w:rPr>
      </w:pPr>
      <w:r>
        <w:rPr>
          <w:rFonts w:hint="eastAsia" w:eastAsia="仿宋_GB2312"/>
          <w:sz w:val="32"/>
          <w:szCs w:val="32"/>
        </w:rPr>
        <w:t>部门(单位)名称：华容县三封寺镇三封中学</w:t>
      </w:r>
    </w:p>
    <w:p>
      <w:pPr>
        <w:spacing w:beforeLines="50" w:line="348" w:lineRule="auto"/>
        <w:ind w:firstLine="474"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码：205006</w:t>
      </w:r>
    </w:p>
    <w:p>
      <w:pPr>
        <w:spacing w:beforeLines="50" w:line="348" w:lineRule="auto"/>
        <w:ind w:firstLine="474"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4"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2" w:firstLineChars="690"/>
        <w:rPr>
          <w:rFonts w:eastAsia="仿宋_GB2312"/>
          <w:sz w:val="32"/>
        </w:rPr>
      </w:pPr>
    </w:p>
    <w:p>
      <w:pPr>
        <w:spacing w:line="720" w:lineRule="exact"/>
        <w:ind w:firstLine="2182" w:firstLineChars="690"/>
        <w:rPr>
          <w:rFonts w:eastAsia="仿宋_GB2312"/>
          <w:sz w:val="32"/>
        </w:rPr>
      </w:pPr>
    </w:p>
    <w:p>
      <w:pPr>
        <w:spacing w:line="720" w:lineRule="exact"/>
        <w:ind w:firstLine="2182" w:firstLineChars="690"/>
        <w:rPr>
          <w:rFonts w:eastAsia="仿宋_GB2312"/>
          <w:sz w:val="32"/>
        </w:rPr>
      </w:pPr>
    </w:p>
    <w:p>
      <w:pPr>
        <w:spacing w:line="348" w:lineRule="auto"/>
        <w:jc w:val="center"/>
        <w:rPr>
          <w:rFonts w:eastAsia="仿宋_GB2312"/>
          <w:sz w:val="32"/>
        </w:rPr>
      </w:pPr>
      <w:r>
        <w:rPr>
          <w:rFonts w:hint="eastAsia" w:eastAsia="仿宋_GB2312"/>
          <w:sz w:val="32"/>
        </w:rPr>
        <w:t>报告日期：2022年  10月  10日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华容县财政</w:t>
      </w:r>
      <w:r>
        <w:rPr>
          <w:rFonts w:hint="eastAsia" w:eastAsia="仿宋_GB2312"/>
          <w:sz w:val="32"/>
          <w:szCs w:val="32"/>
        </w:rPr>
        <w:t>局（制）</w:t>
      </w:r>
    </w:p>
    <w:tbl>
      <w:tblPr>
        <w:tblStyle w:val="8"/>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丁章华</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13874066558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153</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1.宣传贯彻执行党和国家的教育方针、教育政策、教育法律和法规，贯彻执行上级教育行政部门的各项规章制度。</w:t>
            </w:r>
          </w:p>
          <w:p>
            <w:pPr>
              <w:autoSpaceDN w:val="0"/>
              <w:spacing w:line="32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2.在政府和上级教育主管部门的领导下，争取资金改善办学条件，为师生的学习和工作提供优美和谐的环境。</w:t>
            </w:r>
          </w:p>
          <w:p>
            <w:pPr>
              <w:autoSpaceDN w:val="0"/>
              <w:spacing w:line="32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3.根据县级人民政府制定的教育事业发展规划，结合实际制定并组织实施本校的教育事业发展规划。按照干部和教师的职数、编制和管理权限，负责对本校的干部和教师进行管理，制定切实可行的学校工作规章制度，提高教育教学质量为目的，对干部职工的工作开展客观、公正的评价和考核。</w:t>
            </w:r>
          </w:p>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 w:hAnsi="仿宋" w:eastAsia="仿宋" w:cs="仿宋"/>
                <w:color w:val="000000"/>
                <w:sz w:val="24"/>
              </w:rPr>
              <w:t>4.按照九年义务教育课程计划，开齐课程，开足课时，认真实施中小学的教育教学管理，全面推进素质教育，全面提高教育教学质量。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ind w:firstLine="480" w:firstLineChars="200"/>
              <w:jc w:val="left"/>
              <w:textAlignment w:val="center"/>
              <w:rPr>
                <w:rFonts w:ascii="仿宋" w:hAnsi="仿宋" w:eastAsia="仿宋" w:cs="仿宋_GB2312"/>
                <w:color w:val="000000"/>
                <w:sz w:val="24"/>
              </w:rPr>
            </w:pPr>
            <w:r>
              <w:rPr>
                <w:rStyle w:val="11"/>
                <w:rFonts w:ascii="仿宋" w:hAnsi="仿宋" w:eastAsia="仿宋"/>
                <w:sz w:val="24"/>
              </w:rPr>
              <w:t>1</w:t>
            </w:r>
            <w:r>
              <w:rPr>
                <w:rStyle w:val="11"/>
                <w:rFonts w:hint="eastAsia" w:ascii="仿宋" w:hAnsi="仿宋" w:eastAsia="仿宋"/>
                <w:sz w:val="24"/>
              </w:rPr>
              <w:t>、召开了班主任工作经验交流会；组织了</w:t>
            </w:r>
            <w:r>
              <w:rPr>
                <w:rStyle w:val="11"/>
                <w:rFonts w:ascii="仿宋" w:hAnsi="仿宋" w:eastAsia="仿宋"/>
                <w:sz w:val="24"/>
              </w:rPr>
              <w:t>“</w:t>
            </w:r>
            <w:r>
              <w:rPr>
                <w:rStyle w:val="11"/>
                <w:rFonts w:hint="eastAsia" w:ascii="仿宋" w:hAnsi="仿宋" w:eastAsia="仿宋"/>
                <w:sz w:val="24"/>
              </w:rPr>
              <w:t>教师大家访</w:t>
            </w:r>
            <w:r>
              <w:rPr>
                <w:rStyle w:val="11"/>
                <w:rFonts w:ascii="仿宋" w:hAnsi="仿宋" w:eastAsia="仿宋"/>
                <w:sz w:val="24"/>
              </w:rPr>
              <w:t>”</w:t>
            </w:r>
            <w:r>
              <w:rPr>
                <w:rStyle w:val="11"/>
                <w:rFonts w:hint="eastAsia" w:ascii="仿宋" w:hAnsi="仿宋" w:eastAsia="仿宋"/>
                <w:sz w:val="24"/>
              </w:rPr>
              <w:t>活动；充分发挥学生会团委会的值日监督作用，强化班级量化管理；</w:t>
            </w:r>
            <w:r>
              <w:rPr>
                <w:rStyle w:val="11"/>
                <w:rFonts w:ascii="仿宋" w:hAnsi="仿宋" w:eastAsia="仿宋"/>
                <w:sz w:val="24"/>
              </w:rPr>
              <w:t xml:space="preserve"> 2</w:t>
            </w:r>
            <w:r>
              <w:rPr>
                <w:rStyle w:val="11"/>
                <w:rFonts w:hint="eastAsia" w:ascii="仿宋" w:hAnsi="仿宋" w:eastAsia="仿宋"/>
                <w:sz w:val="24"/>
              </w:rPr>
              <w:t>、坚持每周一次的升旗仪式；开展了</w:t>
            </w:r>
            <w:r>
              <w:rPr>
                <w:rStyle w:val="11"/>
                <w:rFonts w:ascii="仿宋" w:hAnsi="仿宋" w:eastAsia="仿宋"/>
                <w:sz w:val="24"/>
              </w:rPr>
              <w:t>“</w:t>
            </w:r>
            <w:r>
              <w:rPr>
                <w:rStyle w:val="11"/>
                <w:rFonts w:hint="eastAsia" w:ascii="仿宋" w:hAnsi="仿宋" w:eastAsia="仿宋"/>
                <w:sz w:val="24"/>
              </w:rPr>
              <w:t>厉行节约，反对浪费</w:t>
            </w:r>
            <w:r>
              <w:rPr>
                <w:rStyle w:val="11"/>
                <w:rFonts w:ascii="仿宋" w:hAnsi="仿宋" w:eastAsia="仿宋"/>
                <w:sz w:val="24"/>
              </w:rPr>
              <w:t>”</w:t>
            </w:r>
            <w:r>
              <w:rPr>
                <w:rStyle w:val="11"/>
                <w:rFonts w:hint="eastAsia" w:ascii="仿宋" w:hAnsi="仿宋" w:eastAsia="仿宋"/>
                <w:sz w:val="24"/>
              </w:rPr>
              <w:t>、</w:t>
            </w:r>
            <w:r>
              <w:rPr>
                <w:rStyle w:val="11"/>
                <w:rFonts w:ascii="仿宋" w:hAnsi="仿宋" w:eastAsia="仿宋"/>
                <w:sz w:val="24"/>
              </w:rPr>
              <w:t>“</w:t>
            </w:r>
            <w:r>
              <w:rPr>
                <w:rStyle w:val="11"/>
                <w:rFonts w:hint="eastAsia" w:ascii="仿宋" w:hAnsi="仿宋" w:eastAsia="仿宋"/>
                <w:sz w:val="24"/>
              </w:rPr>
              <w:t>光盘行动；积极开展劳动教育等。</w:t>
            </w:r>
            <w:r>
              <w:rPr>
                <w:rStyle w:val="11"/>
                <w:rFonts w:ascii="仿宋" w:hAnsi="仿宋" w:eastAsia="仿宋"/>
                <w:sz w:val="24"/>
              </w:rPr>
              <w:t xml:space="preserve"> 3</w:t>
            </w:r>
            <w:r>
              <w:rPr>
                <w:rStyle w:val="11"/>
                <w:rFonts w:hint="eastAsia" w:ascii="仿宋" w:hAnsi="仿宋" w:eastAsia="仿宋"/>
                <w:sz w:val="24"/>
              </w:rPr>
              <w:t>、认真组织了</w:t>
            </w:r>
            <w:r>
              <w:rPr>
                <w:rStyle w:val="11"/>
                <w:rFonts w:ascii="仿宋" w:hAnsi="仿宋" w:eastAsia="仿宋"/>
                <w:sz w:val="24"/>
              </w:rPr>
              <w:t>“</w:t>
            </w:r>
            <w:r>
              <w:rPr>
                <w:rStyle w:val="11"/>
                <w:rFonts w:hint="eastAsia" w:ascii="仿宋" w:hAnsi="仿宋" w:eastAsia="仿宋"/>
                <w:sz w:val="24"/>
              </w:rPr>
              <w:t>开学第一课</w:t>
            </w:r>
            <w:r>
              <w:rPr>
                <w:rStyle w:val="11"/>
                <w:rFonts w:ascii="仿宋" w:hAnsi="仿宋" w:eastAsia="仿宋"/>
                <w:sz w:val="24"/>
              </w:rPr>
              <w:t>”</w:t>
            </w:r>
            <w:r>
              <w:rPr>
                <w:rStyle w:val="11"/>
                <w:rFonts w:hint="eastAsia" w:ascii="仿宋" w:hAnsi="仿宋" w:eastAsia="仿宋"/>
                <w:sz w:val="24"/>
              </w:rPr>
              <w:t>；开展防溺水、禁毒宣传、</w:t>
            </w:r>
            <w:r>
              <w:rPr>
                <w:rStyle w:val="11"/>
                <w:rFonts w:ascii="仿宋" w:hAnsi="仿宋" w:eastAsia="仿宋"/>
                <w:sz w:val="24"/>
              </w:rPr>
              <w:t>“</w:t>
            </w:r>
            <w:r>
              <w:rPr>
                <w:rStyle w:val="11"/>
                <w:rFonts w:hint="eastAsia" w:ascii="仿宋" w:hAnsi="仿宋" w:eastAsia="仿宋"/>
                <w:sz w:val="24"/>
              </w:rPr>
              <w:t>厉行节约反对浪费</w:t>
            </w:r>
            <w:r>
              <w:rPr>
                <w:rStyle w:val="11"/>
                <w:rFonts w:ascii="仿宋" w:hAnsi="仿宋" w:eastAsia="仿宋"/>
                <w:sz w:val="24"/>
              </w:rPr>
              <w:t>”</w:t>
            </w:r>
            <w:r>
              <w:rPr>
                <w:rStyle w:val="11"/>
                <w:rFonts w:hint="eastAsia" w:ascii="仿宋" w:hAnsi="仿宋" w:eastAsia="仿宋"/>
                <w:sz w:val="24"/>
              </w:rPr>
              <w:t>等主题教育。开展</w:t>
            </w:r>
            <w:r>
              <w:rPr>
                <w:rStyle w:val="11"/>
                <w:rFonts w:ascii="仿宋" w:hAnsi="仿宋" w:eastAsia="仿宋"/>
                <w:sz w:val="24"/>
              </w:rPr>
              <w:t>“</w:t>
            </w:r>
            <w:r>
              <w:rPr>
                <w:rStyle w:val="11"/>
                <w:rFonts w:hint="eastAsia" w:ascii="仿宋" w:hAnsi="仿宋" w:eastAsia="仿宋"/>
                <w:sz w:val="24"/>
              </w:rPr>
              <w:t>迎国庆</w:t>
            </w:r>
            <w:r>
              <w:rPr>
                <w:rStyle w:val="11"/>
                <w:rFonts w:ascii="仿宋" w:hAnsi="仿宋" w:eastAsia="仿宋"/>
                <w:sz w:val="24"/>
              </w:rPr>
              <w:t>”</w:t>
            </w:r>
            <w:r>
              <w:rPr>
                <w:rStyle w:val="11"/>
                <w:rFonts w:hint="eastAsia" w:ascii="仿宋" w:hAnsi="仿宋" w:eastAsia="仿宋"/>
                <w:sz w:val="24"/>
              </w:rPr>
              <w:t>系列活动、冬季运动会、</w:t>
            </w:r>
            <w:r>
              <w:rPr>
                <w:rStyle w:val="11"/>
                <w:rFonts w:ascii="仿宋" w:hAnsi="仿宋" w:eastAsia="仿宋"/>
                <w:sz w:val="24"/>
              </w:rPr>
              <w:t>“</w:t>
            </w:r>
            <w:r>
              <w:rPr>
                <w:rStyle w:val="11"/>
                <w:rFonts w:hint="eastAsia" w:ascii="仿宋" w:hAnsi="仿宋" w:eastAsia="仿宋"/>
                <w:sz w:val="24"/>
              </w:rPr>
              <w:t>庆元旦</w:t>
            </w:r>
            <w:r>
              <w:rPr>
                <w:rStyle w:val="11"/>
                <w:rFonts w:ascii="仿宋" w:hAnsi="仿宋" w:eastAsia="仿宋"/>
                <w:sz w:val="24"/>
              </w:rPr>
              <w:t>”</w:t>
            </w:r>
            <w:r>
              <w:rPr>
                <w:rStyle w:val="11"/>
                <w:rFonts w:hint="eastAsia" w:ascii="仿宋" w:hAnsi="仿宋" w:eastAsia="仿宋"/>
                <w:sz w:val="24"/>
              </w:rPr>
              <w:t>文艺汇演等系列活动。</w:t>
            </w:r>
            <w:r>
              <w:rPr>
                <w:rStyle w:val="11"/>
                <w:rFonts w:ascii="仿宋" w:hAnsi="仿宋" w:eastAsia="仿宋"/>
                <w:sz w:val="24"/>
              </w:rPr>
              <w:t xml:space="preserve"> 4</w:t>
            </w:r>
            <w:r>
              <w:rPr>
                <w:rStyle w:val="11"/>
                <w:rFonts w:hint="eastAsia" w:ascii="仿宋" w:hAnsi="仿宋" w:eastAsia="仿宋"/>
                <w:sz w:val="24"/>
              </w:rPr>
              <w:t>、开展两次安全讲座，五次安全隐患排查。</w:t>
            </w:r>
            <w:r>
              <w:rPr>
                <w:rStyle w:val="11"/>
                <w:rFonts w:ascii="仿宋" w:hAnsi="仿宋" w:eastAsia="仿宋"/>
                <w:sz w:val="24"/>
              </w:rPr>
              <w:t xml:space="preserve"> 5</w:t>
            </w:r>
            <w:r>
              <w:rPr>
                <w:rStyle w:val="11"/>
                <w:rFonts w:hint="eastAsia" w:ascii="仿宋" w:hAnsi="仿宋" w:eastAsia="仿宋"/>
                <w:sz w:val="24"/>
              </w:rPr>
              <w:t>、</w:t>
            </w:r>
            <w:r>
              <w:rPr>
                <w:rStyle w:val="11"/>
                <w:rFonts w:ascii="仿宋" w:hAnsi="仿宋" w:eastAsia="仿宋"/>
                <w:sz w:val="24"/>
              </w:rPr>
              <w:t xml:space="preserve"> </w:t>
            </w:r>
            <w:r>
              <w:rPr>
                <w:rStyle w:val="11"/>
                <w:rFonts w:hint="eastAsia" w:ascii="仿宋" w:hAnsi="仿宋" w:eastAsia="仿宋"/>
                <w:sz w:val="24"/>
              </w:rPr>
              <w:t>动员全体教师课余到学生家里走访，促进家校沟通，融洽关系。</w:t>
            </w:r>
            <w:r>
              <w:rPr>
                <w:rStyle w:val="11"/>
                <w:rFonts w:ascii="仿宋" w:hAnsi="仿宋" w:eastAsia="仿宋"/>
                <w:sz w:val="24"/>
              </w:rPr>
              <w:t xml:space="preserve"> 6</w:t>
            </w:r>
            <w:r>
              <w:rPr>
                <w:rStyle w:val="11"/>
                <w:rFonts w:hint="eastAsia" w:ascii="仿宋" w:hAnsi="仿宋" w:eastAsia="仿宋"/>
                <w:sz w:val="24"/>
              </w:rPr>
              <w:t>、争取校友乡友资源，做大做强三封教育基金会，三封寺镇党委政府带头捐款，今年新募集</w:t>
            </w:r>
            <w:r>
              <w:rPr>
                <w:rStyle w:val="11"/>
                <w:rFonts w:ascii="仿宋" w:hAnsi="仿宋" w:eastAsia="仿宋"/>
                <w:sz w:val="24"/>
              </w:rPr>
              <w:t>50</w:t>
            </w:r>
            <w:r>
              <w:rPr>
                <w:rStyle w:val="11"/>
                <w:rFonts w:hint="eastAsia" w:ascii="仿宋" w:hAnsi="仿宋" w:eastAsia="仿宋"/>
                <w:sz w:val="24"/>
              </w:rPr>
              <w:t>万元，将会达到一百万元。</w:t>
            </w:r>
            <w:r>
              <w:rPr>
                <w:rStyle w:val="11"/>
                <w:rFonts w:ascii="仿宋" w:hAnsi="仿宋" w:eastAsia="仿宋"/>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ind w:firstLine="480" w:firstLineChars="200"/>
              <w:rPr>
                <w:rFonts w:ascii="仿宋" w:hAnsi="仿宋" w:eastAsia="仿宋" w:cs="仿宋_GB2312"/>
                <w:color w:val="000000"/>
                <w:sz w:val="24"/>
              </w:rPr>
            </w:pPr>
            <w:r>
              <w:rPr>
                <w:rFonts w:hint="eastAsia" w:ascii="仿宋" w:hAnsi="仿宋" w:eastAsia="仿宋" w:cs="仿宋"/>
                <w:sz w:val="24"/>
              </w:rPr>
              <w:t>三封中学2021年整体运行良好，无事故发生，本年度在各级领导的关怀下，在全镇教师的共同努力下，圆满地完成了上级部署的各项工作，并取得了一些来之不易的成绩</w:t>
            </w:r>
            <w:r>
              <w:rPr>
                <w:rStyle w:val="11"/>
                <w:rFonts w:hint="eastAsia" w:ascii="仿宋" w:hAnsi="仿宋" w:eastAsia="仿宋"/>
                <w:sz w:val="24"/>
              </w:rPr>
              <w:t>：学校安全工作先进单位、食品安全示范校、校车安全管理优胜单位、献血先进单位、中小学运动会三封中学体育代表队获团体总分第六名的好成绩等。刘怀容、熊杰等老师在初中毕业学科复习研讨会活动中执教的课被评为优质课；在县田径运动会上师生获得近三十项佳绩；在书香校园活动中有近十人获佳绩；在课题论文方面近二十人获佳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华容县三封寺镇三封中学</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2768.02</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2738.02</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30</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华容县三封寺镇三封中学</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2768.02</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2311.32</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2142.94</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168.38</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456.7</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华容县三封寺镇三封中学</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0.54</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0.54</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华容县三封寺镇三封中学</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1272.73</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1272.73</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center"/>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1.教育质量全面提升。</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2.安全管理全面强化。</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3.队伍建设全面加强。</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4.教育管理全面规范。</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5.发展保障全面深化。</w:t>
            </w:r>
          </w:p>
          <w:p>
            <w:pPr>
              <w:autoSpaceDN w:val="0"/>
              <w:spacing w:line="320" w:lineRule="exact"/>
              <w:jc w:val="center"/>
              <w:textAlignment w:val="center"/>
              <w:rPr>
                <w:rFonts w:ascii="楷体_GB2312" w:hAnsi="楷体_GB2312" w:eastAsia="楷体_GB2312" w:cs="楷体_GB2312"/>
                <w:b/>
                <w:bCs/>
                <w:sz w:val="32"/>
                <w:szCs w:val="32"/>
              </w:rPr>
            </w:pPr>
          </w:p>
        </w:tc>
        <w:tc>
          <w:tcPr>
            <w:tcW w:w="4585" w:type="dxa"/>
            <w:gridSpan w:val="9"/>
            <w:vAlign w:val="center"/>
          </w:tcPr>
          <w:p>
            <w:pPr>
              <w:autoSpaceDN w:val="0"/>
              <w:spacing w:line="320" w:lineRule="exact"/>
              <w:ind w:firstLine="216" w:firstLineChars="98"/>
              <w:textAlignment w:val="center"/>
              <w:rPr>
                <w:rFonts w:cs="仿宋_GB2312" w:asciiTheme="minorEastAsia" w:hAnsiTheme="minorEastAsia" w:eastAsiaTheme="minorEastAsia"/>
                <w:color w:val="000000"/>
                <w:sz w:val="24"/>
              </w:rPr>
            </w:pPr>
            <w:r>
              <w:rPr>
                <w:rFonts w:hint="eastAsia" w:ascii="仿宋" w:hAnsi="仿宋" w:eastAsia="仿宋" w:cs="仿宋"/>
                <w:color w:val="000000"/>
                <w:sz w:val="22"/>
                <w:szCs w:val="22"/>
              </w:rPr>
              <w:t>学校始终坚持“民主理校、制度管校、依法治校”的办学思想和“学生成才，家长放心，社会满意””的发展理念，努力打造“平安校园”、“书香校园”、“清洁校园”。 学校立足于“勤奋、务实、开拓、进取”的校训，一切教育教学工作始终围绕安全这一生存线、围绕教学质量这一生命线进行。近三年学</w:t>
            </w:r>
            <w:r>
              <w:rPr>
                <w:rStyle w:val="11"/>
                <w:rFonts w:hint="eastAsia" w:ascii="仿宋" w:hAnsi="仿宋" w:eastAsia="仿宋"/>
                <w:sz w:val="24"/>
              </w:rPr>
              <w:t>校安全工作先进单位、食品安全示范校、校车安全管理优胜单位、献血先进单位</w:t>
            </w:r>
            <w:r>
              <w:rPr>
                <w:rFonts w:hint="eastAsia" w:ascii="仿宋" w:hAnsi="仿宋" w:eastAsia="仿宋" w:cs="仿宋"/>
                <w:color w:val="000000"/>
                <w:sz w:val="22"/>
                <w:szCs w:val="22"/>
              </w:rPr>
              <w:t>等多项荣誉称号。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20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（部门工作实绩，包含上级部门和县委县政府布置的重点工作、实事任务等，根据部门实际进行调整细化）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bCs/>
                <w:sz w:val="24"/>
              </w:rPr>
              <w:t>教学质量</w:t>
            </w:r>
          </w:p>
        </w:tc>
        <w:tc>
          <w:tcPr>
            <w:tcW w:w="2684" w:type="dxa"/>
            <w:gridSpan w:val="6"/>
            <w:vAlign w:val="center"/>
          </w:tcPr>
          <w:p>
            <w:pPr>
              <w:autoSpaceDN w:val="0"/>
              <w:spacing w:line="320" w:lineRule="exact"/>
              <w:jc w:val="left"/>
              <w:textAlignment w:val="center"/>
              <w:rPr>
                <w:rFonts w:cs="仿宋_GB2312" w:asciiTheme="minorEastAsia" w:hAnsiTheme="minorEastAsia" w:eastAsiaTheme="minorEastAsia"/>
                <w:b/>
                <w:color w:val="000000"/>
                <w:sz w:val="24"/>
              </w:rPr>
            </w:pPr>
            <w:r>
              <w:rPr>
                <w:rFonts w:hint="eastAsia" w:ascii="仿宋" w:hAnsi="仿宋" w:eastAsia="仿宋" w:cs="仿宋"/>
              </w:rPr>
              <w:t>教学质量方面，在2021年中考，我镇华容一中上线28人，委培生1人，职高招生成绩喜人，职高入学92人。10月，在全县中小学田径运动会上，初中羽毛球团体总分第六名，初中男篮第六名，小学足球团体总分第六名的好成绩。教育教学质量抽考位居乡镇组前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2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安全管理</w:t>
            </w:r>
          </w:p>
        </w:tc>
        <w:tc>
          <w:tcPr>
            <w:tcW w:w="2684" w:type="dxa"/>
            <w:gridSpan w:val="6"/>
            <w:vAlign w:val="center"/>
          </w:tcPr>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1.新冠疫情的防控：从2月28日开始，每天晨检午检消毒、体温监测、防控知识普及教育。</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2.安全教育方面，本学期对全体学生进行了行为安全、交通安全、消防安全、食品安全、防欺凌、防溺水、防中暑等。</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3.开展了文明校园创建活动。</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4.开展了“珍爱生命  远离毒品”主题禁毒活动。</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5.开展了“新时代好少年评选活动”。</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6.开展了“富美”主题教育，如征文、演讲、网上知识竞赛等。</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7.召开了年度班主任经验交流会。</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8.11月8日，进行了全校紧急疏散演练。11月，进行了法制与禁毒知识讲座，全体师生进行了禁毒预防教育数字化平台注册、学习和进行2轮的禁毒知识竞赛活动，进行了网上《学宪法》活动。</w:t>
            </w:r>
          </w:p>
          <w:p>
            <w:pPr>
              <w:ind w:firstLine="440" w:firstLineChars="200"/>
              <w:rPr>
                <w:rFonts w:cs="仿宋_GB2312" w:asciiTheme="minorEastAsia" w:hAnsiTheme="minorEastAsia" w:eastAsiaTheme="minorEastAsia"/>
                <w:b/>
                <w:color w:val="000000"/>
                <w:sz w:val="24"/>
              </w:rPr>
            </w:pPr>
            <w:r>
              <w:rPr>
                <w:rFonts w:hint="eastAsia" w:ascii="仿宋" w:hAnsi="仿宋" w:eastAsia="仿宋" w:cs="仿宋"/>
                <w:bCs/>
                <w:color w:val="000000"/>
                <w:sz w:val="22"/>
                <w:szCs w:val="22"/>
              </w:rPr>
              <w:t>9.12月30日，开展了庆元旦文艺汇演活动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队伍建设</w:t>
            </w:r>
          </w:p>
        </w:tc>
        <w:tc>
          <w:tcPr>
            <w:tcW w:w="2684" w:type="dxa"/>
            <w:gridSpan w:val="6"/>
            <w:vAlign w:val="center"/>
          </w:tcPr>
          <w:p>
            <w:pPr>
              <w:autoSpaceDN w:val="0"/>
              <w:spacing w:line="320" w:lineRule="exact"/>
              <w:ind w:firstLine="330" w:firstLineChars="150"/>
              <w:jc w:val="left"/>
              <w:textAlignment w:val="center"/>
              <w:rPr>
                <w:rFonts w:ascii="仿宋" w:hAnsi="仿宋" w:eastAsia="仿宋" w:cs="仿宋"/>
                <w:bCs/>
                <w:color w:val="000000"/>
                <w:sz w:val="22"/>
                <w:szCs w:val="22"/>
              </w:rPr>
            </w:pPr>
            <w:r>
              <w:rPr>
                <w:rFonts w:hint="eastAsia" w:ascii="仿宋" w:hAnsi="仿宋" w:eastAsia="仿宋" w:cs="仿宋"/>
                <w:bCs/>
                <w:color w:val="000000"/>
                <w:sz w:val="22"/>
                <w:szCs w:val="22"/>
              </w:rPr>
              <w:t>1.加强班子队伍建设，以黄利为组长，分工明确，团结务实。</w:t>
            </w:r>
          </w:p>
          <w:p>
            <w:pPr>
              <w:autoSpaceDN w:val="0"/>
              <w:spacing w:line="320" w:lineRule="exact"/>
              <w:ind w:firstLine="330" w:firstLineChars="150"/>
              <w:jc w:val="left"/>
              <w:textAlignment w:val="center"/>
              <w:rPr>
                <w:rFonts w:ascii="仿宋" w:hAnsi="仿宋" w:eastAsia="仿宋" w:cs="仿宋"/>
                <w:bCs/>
                <w:color w:val="000000"/>
                <w:sz w:val="22"/>
                <w:szCs w:val="22"/>
              </w:rPr>
            </w:pPr>
            <w:r>
              <w:rPr>
                <w:rFonts w:hint="eastAsia" w:ascii="仿宋" w:hAnsi="仿宋" w:eastAsia="仿宋" w:cs="仿宋"/>
                <w:bCs/>
                <w:color w:val="000000"/>
                <w:sz w:val="22"/>
                <w:szCs w:val="22"/>
              </w:rPr>
              <w:t>2.加强师德教育。所有教师签订了禁补禁销工作责任状，签订了“治陋习，树新风责任状”。</w:t>
            </w:r>
          </w:p>
          <w:p>
            <w:pPr>
              <w:autoSpaceDN w:val="0"/>
              <w:spacing w:line="320" w:lineRule="exact"/>
              <w:ind w:firstLine="440" w:firstLineChars="200"/>
              <w:jc w:val="left"/>
              <w:textAlignment w:val="center"/>
              <w:rPr>
                <w:rFonts w:ascii="仿宋" w:hAnsi="仿宋" w:eastAsia="仿宋" w:cs="仿宋"/>
                <w:bCs/>
                <w:color w:val="000000"/>
                <w:sz w:val="22"/>
                <w:szCs w:val="22"/>
              </w:rPr>
            </w:pPr>
            <w:r>
              <w:rPr>
                <w:rFonts w:hint="eastAsia" w:ascii="仿宋" w:hAnsi="仿宋" w:eastAsia="仿宋" w:cs="仿宋"/>
                <w:bCs/>
                <w:color w:val="000000"/>
                <w:sz w:val="22"/>
                <w:szCs w:val="22"/>
              </w:rPr>
              <w:t>3.加强教师业务学习。每月一次的教师业务学习和教师听评课活动。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textDirection w:val="lrTb"/>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任务完成时间</w:t>
            </w:r>
          </w:p>
        </w:tc>
        <w:tc>
          <w:tcPr>
            <w:tcW w:w="2684" w:type="dxa"/>
            <w:gridSpan w:val="6"/>
            <w:textDirection w:val="lrTb"/>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lang w:val="en-US" w:eastAsia="zh-CN"/>
              </w:rPr>
              <w:t>2022年全年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4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textDirection w:val="lrTb"/>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预算控</w:t>
            </w:r>
            <w:bookmarkStart w:id="0" w:name="_GoBack"/>
            <w:bookmarkEnd w:id="0"/>
            <w:r>
              <w:rPr>
                <w:rFonts w:hint="eastAsia" w:ascii="仿宋_GB2312" w:hAnsi="仿宋_GB2312" w:eastAsia="仿宋_GB2312" w:cs="仿宋_GB2312"/>
                <w:color w:val="000000"/>
                <w:sz w:val="24"/>
                <w:lang w:val="en-US" w:eastAsia="zh-CN"/>
              </w:rPr>
              <w:t>制数</w:t>
            </w:r>
          </w:p>
        </w:tc>
        <w:tc>
          <w:tcPr>
            <w:tcW w:w="2684" w:type="dxa"/>
            <w:gridSpan w:val="6"/>
            <w:textDirection w:val="lrTb"/>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2748万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89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 w:hAnsi="仿宋" w:eastAsia="仿宋" w:cs="仿宋"/>
                <w:sz w:val="22"/>
                <w:szCs w:val="22"/>
              </w:rPr>
            </w:pPr>
            <w:r>
              <w:rPr>
                <w:rFonts w:hint="eastAsia" w:ascii="仿宋" w:hAnsi="仿宋" w:eastAsia="仿宋" w:cs="仿宋"/>
                <w:sz w:val="22"/>
                <w:szCs w:val="22"/>
              </w:rPr>
              <w:t>办学条件不断改善</w:t>
            </w: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textAlignment w:val="center"/>
              <w:rPr>
                <w:rFonts w:cs="仿宋_GB2312" w:asciiTheme="minorEastAsia" w:hAnsiTheme="minorEastAsia" w:eastAsiaTheme="minorEastAsia"/>
                <w:b/>
                <w:color w:val="000000"/>
                <w:sz w:val="24"/>
              </w:rPr>
            </w:pPr>
            <w:r>
              <w:rPr>
                <w:rFonts w:hint="eastAsia" w:ascii="仿宋" w:hAnsi="仿宋" w:eastAsia="仿宋" w:cs="仿宋"/>
                <w:bCs/>
                <w:color w:val="000000"/>
                <w:sz w:val="22"/>
                <w:szCs w:val="22"/>
              </w:rPr>
              <w:t>今年来，争取校舍安全保障、薄弱环节改善等上级专项资金完成我校校舍维修改造项目，营造良好的办学环境。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满意度95%以上</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sz w:val="24"/>
              </w:rPr>
              <w:t>满意度95%以上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黄利</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校长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三封中学</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秦锡勇</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副校长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三封中学</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付佳炎</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后勤主任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三封中学</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丁章华</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会计</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三封中学</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填报人（签名）：丁章华                  联系电话：13874066558</w:t>
      </w:r>
    </w:p>
    <w:tbl>
      <w:tblPr>
        <w:tblStyle w:val="8"/>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1.宣传贯彻执行党和国家的教育方针、教育政策、教育法律和法规，贯彻执行上级教育行政部门的各项规章制度。</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2.在政府和上级教育主管部门的领导下，争取资金改善办学条件，为师生的学习和工作提供优美和谐的环境。</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3.根据县级人民政府制定的教育事业发展规划，结合实际制定并组织实施本校的教育事业发展规划。按照干部和教师的职数、编制和管理权限，负责对本校的干部和教师进行管理，制定切实可行的学校工作规章制度，提高教育教学质量为目的，对干部职工的工作开展客观、公正的评价和考核。</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4.按照九年义务教育课程计划，开齐课程，开足课时，认真实施中小学的教育教学管理，全面推进素质教育，全面提高教育教学质量。</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tabs>
                <w:tab w:val="left" w:pos="3105"/>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度财政拨款基本支出2281.32万元，其中：人员经费2142.94万元，主要包括：（基本工资、津贴补贴、奖金、社会保障缴费、伙食补助费、其他工资福利支出、离休费、退休费、生活补助、医疗费、住房公积金、其他对个人和家庭的补助支出等）；公用经费138.38万元，主要包括：（办公费、印刷费、咨询费、电费、邮电费、差旅费、因公出国（境）费、维修（护）费、租赁费、会议费、培训费、公务接待费、劳务费、其他交通费用、其他商品和服务支出、办公设备购置、其他支出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公”经费支出情况：严格按照财政局下发文件标准执行，严格控制支出，2021年，“三公”经费支出为0.54万元，比上年减少0.00万元，下降0%，增减变化的主要原因是：厉行节约，严格管控。公务用车购置及运行维护费完成0元，与上年无变化，原因是公车无。</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2021年度教育专项资金安排支出456.7万元，主要包括：义教公用经费、义教校舍维修等，以上经费全部落实到位，用于我校基本运转及相关专项工作实施。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按照财务管理及专项使用有关规定，相关专项资金按照专项的使用范围，做到了不挪项、不挪用、不超预算使用专项经费，并按照"量入为出，量体裁衣、节约使用"的原则，做到有计划地使用各专项资金。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我校财政专项资金逐年增加，为规避财政风险，提高财政专项资金使用效益，确保财政专项资金安全运行，对财政专项资金管理做法如下：</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做到“四个坚持”即:坚持专项资金实行开票、经办、审核、审批、记账等职责严格分离;坚持支出先报批、后经办，经严格审核后，再审批付款，最后交会计人员制单、记账;坚持专项资金凭用款计划、项目进度及专户存款情况，审核拨付资金;坚持把好票据签章关，严格票据销号，对已开完的票据及时销号，防止票据丢失、挪用公款，严禁一人保管支付款项所需要的全部印章。二是专项资金实行使用公示制，资金使用明细全部上网公开，提高了财政专项资金使用的透明度，有力保证了专款专用。三是规范了财政专项资金会计基础工作，提高了会计信息质量，为政府决策提供了参考依据。</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1.完善财务制度，规范经费管理；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认真贯彻中央及省委相关规定，县委县政府厉行节约的精神，进一步规范我校财务管理，结合县教体局《关于进一步规范教体系统财务管理若干问题的意见》及相关财务制度汇编，将财务管理更加细化具体，责任更加清晰明了。</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2.严格执行预算，控制经费支出；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相关专项资金严格按照预算执行，按照专项的使用范围，做到了不挪项、不挪用、不超预算使用专项经费，并按照"量入为出，量体裁衣、节约使用"的原则，做到有计划地使用各专项资金。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3.完善专项监管，建立长效机制</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一是提高全局意识，提高经费使用效益，节约从一点一滴做起；二是加强三公经费的管理，严格控制三公经费总量，把好审核关，加强对招待费、租车费的管理；三是严格执行政府采购，建设项目及大型专项支出、设备购置，一律经校委会研究决定，并按政府采购规定程序实施。</w:t>
            </w:r>
          </w:p>
          <w:p>
            <w:pPr>
              <w:tabs>
                <w:tab w:val="left" w:pos="4200"/>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严格执行了专项的相关规定，我校的教育专项资金的拨付和使用管理，严格按照上级有关部门规定执行，收支两条线，做到了专款专用。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2021年，我校在县委、县政府的坚强领导和县教体局的正确指导下，坚持安全和质量“两条主线”，我校教育教学各项工作持续、稳步发展。</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校坚决执行经费预算管理，确保预算不增长，支出不超预算。在厉行节约、反对铺张浪费等方面，采取了有力措施，并取得了明显成效。校长室成员率先垂范、高度重视下，全体教职工积极配合，三公经费得到了很好的控制。</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接下来我校将继续严格执行经费年初预算，按照上级的要求，强化制度建设，完善预算分配机制，进一步加强经费预算的执行管理，不断提高支出的经济性、效率性、有效性和可持续性。</w:t>
            </w:r>
          </w:p>
          <w:p>
            <w:pPr>
              <w:spacing w:line="560" w:lineRule="exact"/>
              <w:ind w:firstLine="560" w:firstLineChars="200"/>
              <w:rPr>
                <w:rFonts w:ascii="黑体" w:hAnsi="黑体" w:eastAsia="仿宋_GB2312" w:cs="黑体"/>
                <w:bCs/>
                <w:sz w:val="28"/>
                <w:szCs w:val="28"/>
              </w:rPr>
            </w:pPr>
            <w:r>
              <w:rPr>
                <w:rFonts w:hint="eastAsia" w:ascii="仿宋_GB2312" w:hAnsi="仿宋_GB2312" w:eastAsia="仿宋_GB2312" w:cs="仿宋_GB2312"/>
                <w:bCs/>
                <w:sz w:val="28"/>
                <w:szCs w:val="28"/>
              </w:rPr>
              <w:t>根据定量分析及定性分析，综合考评得分为97分，评价等次确定为优。</w:t>
            </w:r>
          </w:p>
          <w:p>
            <w:pPr>
              <w:tabs>
                <w:tab w:val="left" w:pos="3810"/>
              </w:tabs>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r>
              <w:rPr>
                <w:rFonts w:ascii="黑体" w:hAnsi="黑体" w:eastAsia="黑体" w:cs="黑体"/>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对项目资金开支分类需要进一步科学化、规范化，费用开支和绩效产出测得结果不够准确，需要进一步量化。预算管理、绩效管理、资金管理需要加强。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要从预算项目入手，以往预算不够科学，是根据文件依据来预算，与实际工作有差别，希望财政部门设计有效预算方法。</w:t>
            </w: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jc w:val="righ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华容县三封寺镇三封中学</w:t>
            </w:r>
          </w:p>
          <w:p>
            <w:pPr>
              <w:spacing w:line="560" w:lineRule="exact"/>
              <w:ind w:right="420" w:firstLine="560" w:firstLineChars="200"/>
              <w:jc w:val="right"/>
              <w:rPr>
                <w:rFonts w:eastAsia="楷体_GB2312"/>
                <w:bCs/>
                <w:sz w:val="28"/>
                <w:szCs w:val="28"/>
              </w:rPr>
            </w:pPr>
            <w:r>
              <w:rPr>
                <w:rFonts w:hint="eastAsia" w:ascii="仿宋_GB2312" w:hAnsi="仿宋_GB2312" w:eastAsia="仿宋_GB2312" w:cs="仿宋_GB2312"/>
                <w:bCs/>
                <w:sz w:val="28"/>
                <w:szCs w:val="28"/>
              </w:rPr>
              <w:t>2022年10月10日</w:t>
            </w:r>
          </w:p>
        </w:tc>
      </w:tr>
    </w:tbl>
    <w:p>
      <w:pPr>
        <w:spacing w:line="348" w:lineRule="auto"/>
        <w:rPr>
          <w:rFonts w:eastAsia="楷体_GB2312"/>
          <w:bCs/>
          <w:sz w:val="28"/>
          <w:szCs w:val="28"/>
        </w:rPr>
      </w:pPr>
    </w:p>
    <w:p>
      <w:pPr>
        <w:rPr>
          <w:rFonts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pPr>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8"/>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1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24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公务卡刷卡率达70％以上的，得3分。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公务卡使用不够</w:t>
            </w:r>
          </w:p>
        </w:tc>
      </w:tr>
      <w:tr>
        <w:tblPrEx>
          <w:tblLayout w:type="fixed"/>
          <w:tblCellMar>
            <w:top w:w="0" w:type="dxa"/>
            <w:left w:w="108" w:type="dxa"/>
            <w:bottom w:w="0" w:type="dxa"/>
            <w:right w:w="108" w:type="dxa"/>
          </w:tblCellMar>
        </w:tblPrEx>
        <w:trPr>
          <w:trHeight w:val="10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p>
        </w:tc>
      </w:tr>
    </w:tbl>
    <w:p>
      <w:pPr/>
    </w:p>
    <w:tbl>
      <w:tblPr>
        <w:tblStyle w:val="8"/>
        <w:tblW w:w="9937" w:type="dxa"/>
        <w:jc w:val="center"/>
        <w:tblInd w:w="0" w:type="dxa"/>
        <w:tblLayout w:type="fixed"/>
        <w:tblCellMar>
          <w:top w:w="0" w:type="dxa"/>
          <w:left w:w="108" w:type="dxa"/>
          <w:bottom w:w="0" w:type="dxa"/>
          <w:right w:w="108" w:type="dxa"/>
        </w:tblCellMar>
      </w:tblPr>
      <w:tblGrid>
        <w:gridCol w:w="980"/>
        <w:gridCol w:w="943"/>
        <w:gridCol w:w="1395"/>
        <w:gridCol w:w="4190"/>
        <w:gridCol w:w="621"/>
        <w:gridCol w:w="723"/>
        <w:gridCol w:w="1085"/>
      </w:tblGrid>
      <w:tr>
        <w:tblPrEx>
          <w:tblLayout w:type="fixed"/>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②资产配置合理；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资产处置不及时</w:t>
            </w:r>
          </w:p>
        </w:tc>
      </w:tr>
      <w:tr>
        <w:tblPrEx>
          <w:tblLayout w:type="fixed"/>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4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实施“三高四新”战略目标任务完成情况</w:t>
            </w:r>
          </w:p>
        </w:tc>
        <w:tc>
          <w:tcPr>
            <w:tcW w:w="419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围绕部门和单位职责、年度重点工作任务，衡量评价部门和单位整体及核心业务实施效果</w:t>
            </w:r>
          </w:p>
          <w:p>
            <w:pPr>
              <w:widowControl/>
              <w:spacing w:line="240" w:lineRule="exact"/>
              <w:jc w:val="left"/>
              <w:rPr>
                <w:rFonts w:ascii="仿宋_GB2312" w:hAnsi="宋体" w:eastAsia="仿宋_GB2312" w:cs="宋体"/>
                <w:kern w:val="0"/>
                <w:sz w:val="18"/>
                <w:szCs w:val="18"/>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108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3"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8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51"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97</w:t>
            </w:r>
          </w:p>
        </w:tc>
        <w:tc>
          <w:tcPr>
            <w:tcW w:w="41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97</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Lines="50"/>
        <w:contextualSpacing/>
        <w:rPr>
          <w:rFonts w:ascii="仿宋_GB2312" w:hAnsi="宋体" w:eastAsia="仿宋_GB2312" w:cs="宋体"/>
          <w:kern w:val="0"/>
          <w:szCs w:val="21"/>
        </w:rPr>
      </w:pPr>
      <w:r>
        <w:rPr>
          <w:rFonts w:hint="eastAsia" w:ascii="仿宋_GB2312" w:hAnsi="宋体" w:eastAsia="仿宋_GB2312" w:cs="宋体"/>
          <w:kern w:val="0"/>
          <w:szCs w:val="21"/>
        </w:rPr>
        <w:t>备注：部门（单位）可根据本部门实际情况，对评价指标体系</w:t>
      </w:r>
      <w:r>
        <w:rPr>
          <w:rFonts w:hint="eastAsia" w:ascii="仿宋_GB2312" w:eastAsia="仿宋_GB2312"/>
        </w:rPr>
        <w:t>进一步完善、量化、细化个性指标，形成本部门的指标体系。</w:t>
      </w:r>
    </w:p>
    <w:p>
      <w:pPr>
        <w:adjustRightInd w:val="0"/>
        <w:snapToGrid w:val="0"/>
        <w:spacing w:beforeLines="50"/>
        <w:ind w:firstLine="960" w:firstLineChars="300"/>
        <w:contextualSpacing/>
        <w:rPr>
          <w:rFonts w:eastAsia="仿宋_GB2312"/>
          <w:sz w:val="32"/>
        </w:rPr>
      </w:pP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黑体">
    <w:panose1 w:val="02010609060101010101"/>
    <w:charset w:val="86"/>
    <w:family w:val="swiss"/>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E4002EFF" w:usb1="C000247B" w:usb2="00000009" w:usb3="00000000" w:csb0="200001FF" w:csb1="00000000"/>
  </w:font>
  <w:font w:name="黑体">
    <w:panose1 w:val="02010609060101010101"/>
    <w:charset w:val="86"/>
    <w:family w:val="script"/>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E4002EFF" w:usb1="C000247B" w:usb2="00000009" w:usb3="00000000" w:csb0="200001FF"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 w:name="楷体_GB2312">
    <w:altName w:val="楷体"/>
    <w:panose1 w:val="00000000000000000000"/>
    <w:charset w:val="86"/>
    <w:family w:val="decorative"/>
    <w:pitch w:val="default"/>
    <w:sig w:usb0="00000000" w:usb1="0000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E4002EFF" w:usb1="C000247B" w:usb2="00000009" w:usb3="00000000" w:csb0="200001FF"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5</w:t>
    </w:r>
    <w:r>
      <w:rPr>
        <w:sz w:val="24"/>
        <w:szCs w:val="24"/>
      </w:rPr>
      <w:fldChar w:fldCharType="end"/>
    </w:r>
    <w:r>
      <w:rPr>
        <w:rStyle w:val="7"/>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Y3OThhNTgwMTJjZWIxODU4ZWI5Y2EwOWQ3ZDU2ZmEifQ=="/>
  </w:docVars>
  <w:rsids>
    <w:rsidRoot w:val="2CE55C20"/>
    <w:rsid w:val="000846BF"/>
    <w:rsid w:val="000F56A2"/>
    <w:rsid w:val="001130D1"/>
    <w:rsid w:val="00152F58"/>
    <w:rsid w:val="001977BF"/>
    <w:rsid w:val="002307CD"/>
    <w:rsid w:val="00256AC9"/>
    <w:rsid w:val="002C03BE"/>
    <w:rsid w:val="003253B0"/>
    <w:rsid w:val="003B117D"/>
    <w:rsid w:val="003D2DAF"/>
    <w:rsid w:val="003D6EBF"/>
    <w:rsid w:val="004974DC"/>
    <w:rsid w:val="004D5B8F"/>
    <w:rsid w:val="00514555"/>
    <w:rsid w:val="00554E81"/>
    <w:rsid w:val="00571708"/>
    <w:rsid w:val="005C578D"/>
    <w:rsid w:val="005D3707"/>
    <w:rsid w:val="005F63AE"/>
    <w:rsid w:val="00674982"/>
    <w:rsid w:val="0072107B"/>
    <w:rsid w:val="00752981"/>
    <w:rsid w:val="00760F56"/>
    <w:rsid w:val="0077289F"/>
    <w:rsid w:val="007923F8"/>
    <w:rsid w:val="007B2063"/>
    <w:rsid w:val="00834A05"/>
    <w:rsid w:val="0088008F"/>
    <w:rsid w:val="008E5330"/>
    <w:rsid w:val="00961F6C"/>
    <w:rsid w:val="009A794F"/>
    <w:rsid w:val="009C7356"/>
    <w:rsid w:val="00A155F3"/>
    <w:rsid w:val="00A179A4"/>
    <w:rsid w:val="00A4796B"/>
    <w:rsid w:val="00AD3150"/>
    <w:rsid w:val="00B17936"/>
    <w:rsid w:val="00B942D0"/>
    <w:rsid w:val="00C134D9"/>
    <w:rsid w:val="00C95F3A"/>
    <w:rsid w:val="00CC64B6"/>
    <w:rsid w:val="00CE1E68"/>
    <w:rsid w:val="00D07145"/>
    <w:rsid w:val="00DC0B75"/>
    <w:rsid w:val="00E22C34"/>
    <w:rsid w:val="00EA2C5F"/>
    <w:rsid w:val="00F16A8B"/>
    <w:rsid w:val="00F763A5"/>
    <w:rsid w:val="00F775E5"/>
    <w:rsid w:val="00F86D74"/>
    <w:rsid w:val="00F95470"/>
    <w:rsid w:val="00FB4166"/>
    <w:rsid w:val="00FB41B5"/>
    <w:rsid w:val="00FC66FF"/>
    <w:rsid w:val="00FD0670"/>
    <w:rsid w:val="00FF7317"/>
    <w:rsid w:val="02951B05"/>
    <w:rsid w:val="06710E08"/>
    <w:rsid w:val="06902037"/>
    <w:rsid w:val="06C15190"/>
    <w:rsid w:val="083749E7"/>
    <w:rsid w:val="09F764BA"/>
    <w:rsid w:val="0CB679B8"/>
    <w:rsid w:val="0D5C7CE3"/>
    <w:rsid w:val="0DE528CD"/>
    <w:rsid w:val="1336279F"/>
    <w:rsid w:val="14B46A8F"/>
    <w:rsid w:val="16151959"/>
    <w:rsid w:val="18725427"/>
    <w:rsid w:val="254E2FC7"/>
    <w:rsid w:val="257B7155"/>
    <w:rsid w:val="25B607B7"/>
    <w:rsid w:val="25BA7E69"/>
    <w:rsid w:val="263C173A"/>
    <w:rsid w:val="289D055E"/>
    <w:rsid w:val="2AD530BE"/>
    <w:rsid w:val="2AE535D8"/>
    <w:rsid w:val="2C7300A6"/>
    <w:rsid w:val="2C9F197B"/>
    <w:rsid w:val="2CA33441"/>
    <w:rsid w:val="2CE55C20"/>
    <w:rsid w:val="2F287302"/>
    <w:rsid w:val="2F61560E"/>
    <w:rsid w:val="30426D13"/>
    <w:rsid w:val="31EC7616"/>
    <w:rsid w:val="3303324A"/>
    <w:rsid w:val="346445BC"/>
    <w:rsid w:val="3A43255A"/>
    <w:rsid w:val="3BED2D63"/>
    <w:rsid w:val="3D6201A1"/>
    <w:rsid w:val="3EC46785"/>
    <w:rsid w:val="3F8A6044"/>
    <w:rsid w:val="43A702D9"/>
    <w:rsid w:val="44592EA4"/>
    <w:rsid w:val="45FB5A1D"/>
    <w:rsid w:val="477245B4"/>
    <w:rsid w:val="49617FA5"/>
    <w:rsid w:val="49C36269"/>
    <w:rsid w:val="4D171D42"/>
    <w:rsid w:val="4D384845"/>
    <w:rsid w:val="4E4F0BB0"/>
    <w:rsid w:val="5BE95901"/>
    <w:rsid w:val="5BF10A58"/>
    <w:rsid w:val="5F2F71B3"/>
    <w:rsid w:val="5F607AD9"/>
    <w:rsid w:val="64A82DBC"/>
    <w:rsid w:val="6A0A15CD"/>
    <w:rsid w:val="6B113DA1"/>
    <w:rsid w:val="6D452F22"/>
    <w:rsid w:val="6DF352BD"/>
    <w:rsid w:val="6F2629DE"/>
    <w:rsid w:val="705E3E6D"/>
    <w:rsid w:val="71C1048A"/>
    <w:rsid w:val="7390077F"/>
    <w:rsid w:val="7396188C"/>
    <w:rsid w:val="73F35F5B"/>
    <w:rsid w:val="741048D5"/>
    <w:rsid w:val="75041948"/>
    <w:rsid w:val="778D7AB3"/>
    <w:rsid w:val="782B3C13"/>
    <w:rsid w:val="79C04582"/>
    <w:rsid w:val="7D1F0DA2"/>
    <w:rsid w:val="7FE622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unhideWhenUsed/>
    <w:qFormat/>
    <w:uiPriority w:val="0"/>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qFormat/>
    <w:uiPriority w:val="0"/>
  </w:style>
  <w:style w:type="character" w:customStyle="1" w:styleId="9">
    <w:name w:val="标题 3 Char Char"/>
    <w:qFormat/>
    <w:uiPriority w:val="0"/>
    <w:rPr>
      <w:rFonts w:eastAsia="楷体_GB2312"/>
      <w:b/>
      <w:kern w:val="2"/>
      <w:sz w:val="32"/>
      <w:szCs w:val="24"/>
      <w:lang w:val="en-US" w:eastAsia="zh-CN" w:bidi="ar-SA"/>
    </w:rPr>
  </w:style>
  <w:style w:type="paragraph" w:customStyle="1" w:styleId="10">
    <w:name w:val="List Paragraph"/>
    <w:basedOn w:val="1"/>
    <w:unhideWhenUsed/>
    <w:uiPriority w:val="99"/>
    <w:pPr>
      <w:ind w:firstLine="420" w:firstLineChars="200"/>
    </w:pPr>
  </w:style>
  <w:style w:type="character" w:customStyle="1" w:styleId="11">
    <w:name w:val="font61"/>
    <w:basedOn w:val="6"/>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1099</Words>
  <Characters>6270</Characters>
  <Lines>52</Lines>
  <Paragraphs>14</Paragraphs>
  <TotalTime>0</TotalTime>
  <ScaleCrop>false</ScaleCrop>
  <LinksUpToDate>false</LinksUpToDate>
  <CharactersWithSpaces>7355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2022-10-12T01:25:00Z</dcterms:created>
  <dc:creator>Administrator</dc:creator>
  <cp:lastModifiedBy>czj</cp:lastModifiedBy>
  <cp:lastPrinted>2022-10-12T07:12:00Z</cp:lastPrinted>
  <dcterms:modified xsi:type="dcterms:W3CDTF">2022-11-04T03:13:38Z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377A56B318954603893BD5B869B7BB42</vt:lpwstr>
  </property>
</Properties>
</file>