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华容县2021年度部门整体支出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hint="default" w:eastAsia="仿宋_GB2312"/>
          <w:sz w:val="32"/>
          <w:szCs w:val="32"/>
          <w:u w:val="single"/>
          <w:lang w:val="en-US" w:eastAsia="zh-CN"/>
        </w:rPr>
      </w:pPr>
      <w:r>
        <w:rPr>
          <w:rFonts w:hint="eastAsia" w:eastAsia="仿宋_GB2312"/>
          <w:sz w:val="32"/>
          <w:szCs w:val="32"/>
        </w:rPr>
        <w:t>部门(单位)名称：</w:t>
      </w:r>
      <w:r>
        <w:rPr>
          <w:rFonts w:hint="eastAsia" w:eastAsia="仿宋_GB2312"/>
          <w:sz w:val="32"/>
          <w:szCs w:val="32"/>
          <w:lang w:val="en-US" w:eastAsia="zh-CN"/>
        </w:rPr>
        <w:t>华容县团洲乡团洲中学</w:t>
      </w:r>
    </w:p>
    <w:p>
      <w:pPr>
        <w:spacing w:beforeLines="50" w:line="348" w:lineRule="auto"/>
        <w:ind w:firstLine="476" w:firstLineChars="150"/>
        <w:rPr>
          <w:rFonts w:hint="eastAsia" w:eastAsia="仿宋_GB2312"/>
          <w:spacing w:val="30"/>
          <w:sz w:val="32"/>
          <w:szCs w:val="32"/>
          <w:lang w:val="en-US" w:eastAsia="zh-CN"/>
        </w:rPr>
      </w:pPr>
      <w:r>
        <w:rPr>
          <w:rFonts w:hint="eastAsia" w:eastAsia="仿宋_GB2312"/>
          <w:sz w:val="32"/>
          <w:szCs w:val="32"/>
        </w:rPr>
        <w:t>预</w:t>
      </w:r>
      <w:r>
        <w:rPr>
          <w:rFonts w:hint="eastAsia" w:eastAsia="仿宋_GB2312"/>
          <w:spacing w:val="30"/>
          <w:sz w:val="32"/>
          <w:szCs w:val="32"/>
        </w:rPr>
        <w:t xml:space="preserve"> 算 编 码：2050</w:t>
      </w:r>
      <w:r>
        <w:rPr>
          <w:rFonts w:hint="eastAsia" w:eastAsia="仿宋_GB2312"/>
          <w:spacing w:val="30"/>
          <w:sz w:val="32"/>
          <w:szCs w:val="32"/>
          <w:lang w:val="en-US" w:eastAsia="zh-CN"/>
        </w:rPr>
        <w:t>26</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 xml:space="preserve">报告日期：2022年  </w:t>
      </w:r>
      <w:r>
        <w:rPr>
          <w:rFonts w:hint="eastAsia" w:eastAsia="仿宋_GB2312"/>
          <w:sz w:val="32"/>
          <w:lang w:val="en-US" w:eastAsia="zh-CN"/>
        </w:rPr>
        <w:t>10</w:t>
      </w:r>
      <w:r>
        <w:rPr>
          <w:rFonts w:hint="eastAsia" w:eastAsia="仿宋_GB2312"/>
          <w:sz w:val="32"/>
        </w:rPr>
        <w:t xml:space="preserve">月  </w:t>
      </w:r>
      <w:r>
        <w:rPr>
          <w:rFonts w:hint="eastAsia" w:eastAsia="仿宋_GB2312"/>
          <w:sz w:val="32"/>
          <w:lang w:val="en-US" w:eastAsia="zh-CN"/>
        </w:rPr>
        <w:t>8</w:t>
      </w:r>
      <w:r>
        <w:rPr>
          <w:rFonts w:hint="eastAsia" w:eastAsia="仿宋_GB2312"/>
          <w:sz w:val="32"/>
        </w:rPr>
        <w:t>日</w:t>
      </w:r>
    </w:p>
    <w:p>
      <w:pPr>
        <w:autoSpaceDN w:val="0"/>
        <w:jc w:val="center"/>
        <w:textAlignment w:val="center"/>
        <w:rPr>
          <w:rFonts w:eastAsia="仿宋_GB2312"/>
          <w:sz w:val="32"/>
          <w:szCs w:val="32"/>
        </w:rPr>
        <w:sectPr>
          <w:footerReference r:id="rId3" w:type="default"/>
          <w:footerReference r:id="rId4" w:type="even"/>
          <w:pgSz w:w="11906" w:h="16838"/>
          <w:pgMar w:top="1588" w:right="1588" w:bottom="1588" w:left="1588" w:header="851" w:footer="992" w:gutter="0"/>
          <w:pgNumType w:start="1"/>
          <w:cols w:space="720" w:num="1"/>
          <w:docGrid w:type="linesAndChars" w:linePitch="602" w:charSpace="-782"/>
        </w:sectPr>
      </w:pPr>
      <w:r>
        <w:rPr>
          <w:rFonts w:hint="eastAsia" w:eastAsia="仿宋_GB2312"/>
          <w:sz w:val="32"/>
        </w:rPr>
        <w:t>华容县财政</w:t>
      </w:r>
      <w:r>
        <w:rPr>
          <w:rFonts w:hint="eastAsia" w:eastAsia="仿宋_GB2312"/>
          <w:sz w:val="32"/>
          <w:szCs w:val="32"/>
        </w:rPr>
        <w:t>局（制）</w:t>
      </w:r>
    </w:p>
    <w:tbl>
      <w:tblPr>
        <w:tblStyle w:val="6"/>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noWrap/>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刘汉文</w:t>
            </w:r>
          </w:p>
        </w:tc>
        <w:tc>
          <w:tcPr>
            <w:tcW w:w="1479"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noWrap/>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15274092359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noWrap/>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56</w:t>
            </w:r>
          </w:p>
        </w:tc>
        <w:tc>
          <w:tcPr>
            <w:tcW w:w="1479"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noWrap/>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654"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noWrap/>
            <w:vAlign w:val="center"/>
          </w:tcPr>
          <w:p>
            <w:pPr>
              <w:autoSpaceDN w:val="0"/>
              <w:spacing w:line="320" w:lineRule="exact"/>
              <w:ind w:firstLine="480" w:firstLineChars="200"/>
              <w:jc w:val="left"/>
              <w:textAlignment w:val="center"/>
              <w:rPr>
                <w:rFonts w:hint="eastAsia" w:ascii="仿宋" w:hAnsi="仿宋" w:eastAsia="仿宋" w:cs="仿宋"/>
                <w:color w:val="000000"/>
                <w:sz w:val="24"/>
              </w:rPr>
            </w:pPr>
            <w:r>
              <w:rPr>
                <w:rFonts w:hint="eastAsia" w:ascii="仿宋" w:hAnsi="仿宋" w:eastAsia="仿宋" w:cs="仿宋"/>
                <w:color w:val="000000"/>
                <w:sz w:val="24"/>
              </w:rPr>
              <w:t>1.宣传贯彻执行党和国家的教育方针、教育政策、教育法律和法规，贯彻执行上级教育行政部门的各项规章制度。</w:t>
            </w:r>
          </w:p>
          <w:p>
            <w:pPr>
              <w:autoSpaceDN w:val="0"/>
              <w:spacing w:line="320" w:lineRule="exact"/>
              <w:ind w:firstLine="480" w:firstLineChars="200"/>
              <w:jc w:val="left"/>
              <w:textAlignment w:val="center"/>
              <w:rPr>
                <w:rFonts w:hint="eastAsia" w:ascii="仿宋" w:hAnsi="仿宋" w:eastAsia="仿宋" w:cs="仿宋"/>
                <w:color w:val="000000"/>
                <w:sz w:val="24"/>
              </w:rPr>
            </w:pPr>
            <w:r>
              <w:rPr>
                <w:rFonts w:hint="eastAsia" w:ascii="仿宋" w:hAnsi="仿宋" w:eastAsia="仿宋" w:cs="仿宋"/>
                <w:color w:val="000000"/>
                <w:sz w:val="24"/>
              </w:rPr>
              <w:t>2.在政府和上级教育主管部门的领导下，争取资金改善办学条件，为师生的学习和工作提供优美和谐的环境。</w:t>
            </w:r>
          </w:p>
          <w:p>
            <w:pPr>
              <w:autoSpaceDN w:val="0"/>
              <w:spacing w:line="320" w:lineRule="exact"/>
              <w:ind w:firstLine="480" w:firstLineChars="200"/>
              <w:jc w:val="left"/>
              <w:textAlignment w:val="center"/>
              <w:rPr>
                <w:rFonts w:hint="eastAsia" w:ascii="仿宋" w:hAnsi="仿宋" w:eastAsia="仿宋" w:cs="仿宋"/>
                <w:color w:val="000000"/>
                <w:sz w:val="24"/>
              </w:rPr>
            </w:pPr>
            <w:r>
              <w:rPr>
                <w:rFonts w:hint="eastAsia" w:ascii="仿宋" w:hAnsi="仿宋" w:eastAsia="仿宋" w:cs="仿宋"/>
                <w:color w:val="000000"/>
                <w:sz w:val="24"/>
              </w:rPr>
              <w:t>3.根据县级人民政府制定的教育事业发展规划，结合实际制定并组织实施本校的教育事业发展规划。按照干部和教师的职数、编制和管理权限，负责对本校的干部和教师进行管理，制定切实可行的学校工作规章制度，提高教育教学质量为目的，对干部职工的工作开展客观、公正的评价和考核。</w:t>
            </w:r>
          </w:p>
          <w:p>
            <w:pPr>
              <w:autoSpaceDN w:val="0"/>
              <w:spacing w:line="320" w:lineRule="exact"/>
              <w:ind w:firstLine="480" w:firstLineChars="200"/>
              <w:jc w:val="left"/>
              <w:textAlignment w:val="center"/>
              <w:rPr>
                <w:rFonts w:ascii="仿宋_GB2312" w:hAnsi="仿宋_GB2312" w:eastAsia="仿宋_GB2312" w:cs="仿宋_GB2312"/>
                <w:color w:val="000000"/>
                <w:sz w:val="24"/>
              </w:rPr>
            </w:pPr>
            <w:r>
              <w:rPr>
                <w:rFonts w:hint="eastAsia" w:ascii="仿宋" w:hAnsi="仿宋" w:eastAsia="仿宋" w:cs="仿宋"/>
                <w:color w:val="000000"/>
                <w:sz w:val="24"/>
              </w:rPr>
              <w:t>4.按照九年义务教育课程计划，开齐课程，开足课时，认真实施中小学的教育教学管理，全面推进素质教育，全面提高教育教学质量。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654"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noWrap/>
            <w:vAlign w:val="center"/>
          </w:tcPr>
          <w:p>
            <w:pPr>
              <w:numPr>
                <w:ilvl w:val="0"/>
                <w:numId w:val="1"/>
              </w:numPr>
              <w:autoSpaceDN w:val="0"/>
              <w:spacing w:line="320" w:lineRule="exact"/>
              <w:ind w:firstLine="440" w:firstLineChars="200"/>
              <w:jc w:val="left"/>
              <w:textAlignment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保教育稳定：激活教师内生动力。积极争取县委县政府支持，逐步提高教师绩效工资标准。完善教师免费体检制度，实行全体教师“一年一检”。加大教师表彰奖励力度，对优秀教师、教育工作者进行表彰。</w:t>
            </w:r>
          </w:p>
          <w:p>
            <w:pPr>
              <w:numPr>
                <w:ilvl w:val="0"/>
                <w:numId w:val="1"/>
              </w:numPr>
              <w:autoSpaceDN w:val="0"/>
              <w:spacing w:line="320" w:lineRule="exact"/>
              <w:ind w:firstLine="440" w:firstLineChars="200"/>
              <w:jc w:val="left"/>
              <w:textAlignment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2.补在即短板：一是提质量。以立德树人为根本任务，突出“五育”并举，建好劳动教育基地和学校实验室，培养学生综合素质。以“四项管理”示范校创建为抓手，切实规范教学常规管理，促进“教、学、研”健康规范科学发展。建立“校联体”工作长效机制，实现联体学校管理、师资、资源的良性互动，推动城乡教育均衡发展。</w:t>
            </w:r>
          </w:p>
          <w:p>
            <w:pPr>
              <w:autoSpaceDN w:val="0"/>
              <w:spacing w:line="320" w:lineRule="exact"/>
              <w:ind w:firstLine="440" w:firstLineChars="200"/>
              <w:jc w:val="left"/>
              <w:textAlignment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二是优队伍。加大培训力度，组织教师外出学习，提升队伍整体素质。</w:t>
            </w:r>
          </w:p>
          <w:p>
            <w:pPr>
              <w:autoSpaceDN w:val="0"/>
              <w:spacing w:line="320" w:lineRule="exact"/>
              <w:ind w:firstLine="440" w:firstLineChars="200"/>
              <w:jc w:val="left"/>
              <w:textAlignment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三是强保障。大力发展教育基金，充分发挥教育基金会的奖教、助教作用。</w:t>
            </w:r>
          </w:p>
          <w:p>
            <w:pPr>
              <w:autoSpaceDN w:val="0"/>
              <w:spacing w:line="320" w:lineRule="exact"/>
              <w:ind w:firstLine="440" w:firstLineChars="200"/>
              <w:jc w:val="left"/>
              <w:textAlignment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3.谋长远发展：一是持续开展“师德师风建设年”活动；二是抓实学生心理健康教育，建好、用好学校心理咨询室；三是完善家长学校建设，引导家长树立正确的家庭教育理念。</w:t>
            </w:r>
          </w:p>
          <w:p>
            <w:pPr>
              <w:autoSpaceDN w:val="0"/>
              <w:spacing w:line="320" w:lineRule="exact"/>
              <w:jc w:val="left"/>
              <w:textAlignment w:val="center"/>
              <w:rPr>
                <w:rFonts w:ascii="仿宋_GB2312" w:hAnsi="仿宋_GB2312" w:eastAsia="仿宋_GB2312" w:cs="仿宋_GB2312"/>
                <w:color w:val="000000"/>
                <w:sz w:val="24"/>
              </w:rPr>
            </w:pPr>
            <w:r>
              <w:rPr>
                <w:rFonts w:hint="eastAsia" w:ascii="宋体" w:hAnsi="宋体" w:eastAsia="宋体" w:cs="宋体"/>
                <w:b w:val="0"/>
                <w:bCs w:val="0"/>
                <w:sz w:val="28"/>
                <w:szCs w:val="28"/>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noWrap/>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noWrap/>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rPr>
                <w:rFonts w:hint="eastAsia" w:ascii="仿宋" w:hAnsi="仿宋" w:eastAsia="仿宋" w:cs="仿宋"/>
                <w:b w:val="0"/>
                <w:bCs w:val="0"/>
                <w:lang w:val="en-US" w:eastAsia="zh-CN"/>
              </w:rPr>
            </w:pPr>
            <w:r>
              <w:rPr>
                <w:rFonts w:hint="eastAsia" w:ascii="仿宋" w:hAnsi="仿宋" w:eastAsia="仿宋" w:cs="仿宋"/>
                <w:b w:val="0"/>
                <w:bCs w:val="0"/>
              </w:rPr>
              <w:t>学校始终坚持“民主理校、制度管校、依法治校”的办学思想和“学生成才，家长放心，社会满意””的发展理念，努力打造“平安校园”、“书香校园”、“清洁校园”。 学校立足于“勤奋、务实、开拓、进取”的校训，一切教育教学工作始终围绕安全这一生存线、围绕教学质量这一生命线进行。近三年学校获得岳阳市</w:t>
            </w:r>
            <w:r>
              <w:rPr>
                <w:rFonts w:hint="eastAsia" w:ascii="仿宋" w:hAnsi="仿宋" w:eastAsia="仿宋" w:cs="仿宋"/>
                <w:b w:val="0"/>
                <w:bCs w:val="0"/>
                <w:lang w:eastAsia="zh-CN"/>
              </w:rPr>
              <w:t>“</w:t>
            </w:r>
            <w:r>
              <w:rPr>
                <w:rFonts w:hint="eastAsia" w:ascii="仿宋" w:hAnsi="仿宋" w:eastAsia="仿宋" w:cs="仿宋"/>
                <w:b w:val="0"/>
                <w:bCs w:val="0"/>
              </w:rPr>
              <w:t>岳阳市科技创新学校</w:t>
            </w:r>
            <w:r>
              <w:rPr>
                <w:rFonts w:hint="eastAsia" w:ascii="仿宋" w:hAnsi="仿宋" w:eastAsia="仿宋" w:cs="仿宋"/>
                <w:b w:val="0"/>
                <w:bCs w:val="0"/>
                <w:lang w:eastAsia="zh-CN"/>
              </w:rPr>
              <w:t>”</w:t>
            </w:r>
            <w:r>
              <w:rPr>
                <w:rFonts w:hint="eastAsia" w:ascii="仿宋" w:hAnsi="仿宋" w:eastAsia="仿宋" w:cs="仿宋"/>
                <w:b w:val="0"/>
                <w:bCs w:val="0"/>
              </w:rPr>
              <w:t>荣誉称号。</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1.教学质量方面，在2021年中考，我校职高招生成绩喜人，职高入学27人，占比37%，10月，在全县中小学田径运动会上，初中男足获第三名。11月份华容县小学生说话竞赛获得县二等奖1个，两个快乐计划扎实推进。</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2.教研教改成绩显著，我校承办了毕业科目研讨课的部分科目研讨任务，何箐箐、付丹、段雨晴、周舟等教师获得初中毕业复习研讨优质课的荣誉。学生获得县级以上荣誉16人次，学校获得县级以上荣誉6个。</w:t>
            </w:r>
          </w:p>
          <w:p>
            <w:pPr>
              <w:keepNext w:val="0"/>
              <w:keepLines w:val="0"/>
              <w:pageBreakBefore w:val="0"/>
              <w:numPr>
                <w:ilvl w:val="0"/>
                <w:numId w:val="0"/>
              </w:numPr>
              <w:kinsoku/>
              <w:wordWrap/>
              <w:overflowPunct/>
              <w:topLinePunct w:val="0"/>
              <w:autoSpaceDE/>
              <w:autoSpaceDN/>
              <w:bidi w:val="0"/>
              <w:adjustRightInd/>
              <w:snapToGrid/>
              <w:ind w:firstLine="420" w:firstLineChars="200"/>
              <w:rPr>
                <w:rFonts w:ascii="仿宋_GB2312" w:hAnsi="仿宋_GB2312" w:eastAsia="仿宋_GB2312" w:cs="仿宋_GB2312"/>
                <w:color w:val="000000"/>
                <w:sz w:val="24"/>
              </w:rPr>
            </w:pPr>
            <w:r>
              <w:rPr>
                <w:rFonts w:hint="eastAsia" w:ascii="仿宋" w:hAnsi="仿宋" w:eastAsia="仿宋" w:cs="仿宋"/>
                <w:b w:val="0"/>
                <w:bCs w:val="0"/>
                <w:sz w:val="21"/>
                <w:szCs w:val="21"/>
                <w:lang w:val="en-US" w:eastAsia="zh-CN"/>
              </w:rPr>
              <w:t>3.科技创新方面，在湖南省第43届青少年科技创新大赛中，我校有科技创意作品1项，，科技创新成果作品1项，科幻画作品2个参赛。科技创意作品获优胜奖。我校还积极组织参加了岳阳市第22届模型拼装赛，人工智能创新挑战赛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noWrap/>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华容县团洲中学</w:t>
            </w:r>
          </w:p>
        </w:tc>
        <w:tc>
          <w:tcPr>
            <w:tcW w:w="1080" w:type="dxa"/>
            <w:tcBorders>
              <w:right w:val="single" w:color="auto" w:sz="4" w:space="0"/>
            </w:tcBorders>
            <w:noWrap/>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1311.16</w:t>
            </w:r>
          </w:p>
        </w:tc>
        <w:tc>
          <w:tcPr>
            <w:tcW w:w="1355" w:type="dxa"/>
            <w:gridSpan w:val="2"/>
            <w:tcBorders>
              <w:left w:val="single" w:color="auto" w:sz="4" w:space="0"/>
            </w:tcBorders>
            <w:noWrap/>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noWrap/>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1287.53</w:t>
            </w:r>
          </w:p>
        </w:tc>
        <w:tc>
          <w:tcPr>
            <w:tcW w:w="1705" w:type="dxa"/>
            <w:gridSpan w:val="2"/>
            <w:noWrap/>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800" w:type="dxa"/>
            <w:gridSpan w:val="4"/>
            <w:noWrap/>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23.63</w:t>
            </w:r>
          </w:p>
        </w:tc>
        <w:tc>
          <w:tcPr>
            <w:tcW w:w="1080" w:type="dxa"/>
            <w:gridSpan w:val="3"/>
            <w:noWrap/>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ign w:val="center"/>
          </w:tcPr>
          <w:p>
            <w:pPr>
              <w:spacing w:line="320" w:lineRule="exact"/>
              <w:rPr>
                <w:rFonts w:ascii="仿宋_GB2312" w:hAnsi="仿宋_GB2312" w:eastAsia="仿宋_GB2312" w:cs="仿宋_GB2312"/>
                <w:sz w:val="24"/>
              </w:rPr>
            </w:pPr>
          </w:p>
        </w:tc>
        <w:tc>
          <w:tcPr>
            <w:tcW w:w="1080" w:type="dxa"/>
            <w:tcBorders>
              <w:right w:val="single" w:color="auto" w:sz="4" w:space="0"/>
            </w:tcBorders>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noWrap/>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noWrap/>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华容县团洲中学</w:t>
            </w:r>
          </w:p>
        </w:tc>
        <w:tc>
          <w:tcPr>
            <w:tcW w:w="1080" w:type="dxa"/>
            <w:tcBorders>
              <w:right w:val="single" w:color="auto" w:sz="4" w:space="0"/>
            </w:tcBorders>
            <w:noWrap/>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1311.16</w:t>
            </w:r>
          </w:p>
        </w:tc>
        <w:tc>
          <w:tcPr>
            <w:tcW w:w="1355" w:type="dxa"/>
            <w:gridSpan w:val="2"/>
            <w:tcBorders>
              <w:left w:val="single" w:color="auto" w:sz="4" w:space="0"/>
            </w:tcBorders>
            <w:noWrap/>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1168.84</w:t>
            </w:r>
          </w:p>
        </w:tc>
        <w:tc>
          <w:tcPr>
            <w:tcW w:w="1080" w:type="dxa"/>
            <w:gridSpan w:val="2"/>
            <w:noWrap/>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1058.82</w:t>
            </w:r>
          </w:p>
        </w:tc>
        <w:tc>
          <w:tcPr>
            <w:tcW w:w="2160" w:type="dxa"/>
            <w:gridSpan w:val="4"/>
            <w:noWrap/>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110.02</w:t>
            </w:r>
          </w:p>
        </w:tc>
        <w:tc>
          <w:tcPr>
            <w:tcW w:w="1080" w:type="dxa"/>
            <w:noWrap/>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142.32</w:t>
            </w:r>
          </w:p>
        </w:tc>
        <w:tc>
          <w:tcPr>
            <w:tcW w:w="720" w:type="dxa"/>
            <w:gridSpan w:val="3"/>
            <w:tcBorders>
              <w:right w:val="single" w:color="auto" w:sz="4" w:space="0"/>
            </w:tcBorders>
            <w:noWrap/>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625"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ign w:val="center"/>
          </w:tcPr>
          <w:p>
            <w:pPr>
              <w:spacing w:line="320" w:lineRule="exact"/>
              <w:jc w:val="left"/>
              <w:rPr>
                <w:rFonts w:ascii="仿宋_GB2312" w:hAnsi="仿宋_GB2312" w:eastAsia="仿宋_GB2312" w:cs="仿宋_GB2312"/>
                <w:color w:val="000000"/>
                <w:sz w:val="24"/>
              </w:rPr>
            </w:pP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noWrap/>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lang w:val="en-US" w:eastAsia="zh-CN"/>
              </w:rPr>
              <w:t>华容县团洲中学</w:t>
            </w:r>
          </w:p>
        </w:tc>
        <w:tc>
          <w:tcPr>
            <w:tcW w:w="1080" w:type="dxa"/>
            <w:tcBorders>
              <w:right w:val="single" w:color="auto" w:sz="4" w:space="0"/>
            </w:tcBorders>
            <w:noWrap/>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0.36</w:t>
            </w:r>
          </w:p>
        </w:tc>
        <w:tc>
          <w:tcPr>
            <w:tcW w:w="1355" w:type="dxa"/>
            <w:gridSpan w:val="2"/>
            <w:tcBorders>
              <w:left w:val="single" w:color="auto" w:sz="4" w:space="0"/>
            </w:tcBorders>
            <w:noWrap/>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0.36</w:t>
            </w:r>
          </w:p>
        </w:tc>
        <w:tc>
          <w:tcPr>
            <w:tcW w:w="1080" w:type="dxa"/>
            <w:gridSpan w:val="2"/>
            <w:noWrap/>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160" w:type="dxa"/>
            <w:gridSpan w:val="4"/>
            <w:noWrap/>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425" w:type="dxa"/>
            <w:gridSpan w:val="5"/>
            <w:noWrap/>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ign w:val="center"/>
          </w:tcPr>
          <w:p>
            <w:pPr>
              <w:spacing w:line="320" w:lineRule="exact"/>
              <w:jc w:val="left"/>
              <w:rPr>
                <w:rFonts w:ascii="仿宋_GB2312" w:hAnsi="仿宋_GB2312" w:eastAsia="仿宋_GB2312" w:cs="仿宋_GB2312"/>
                <w:sz w:val="24"/>
              </w:rPr>
            </w:pP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noWrap/>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lang w:val="en-US" w:eastAsia="zh-CN"/>
              </w:rPr>
              <w:t>华容县团洲中学</w:t>
            </w:r>
          </w:p>
        </w:tc>
        <w:tc>
          <w:tcPr>
            <w:tcW w:w="1080" w:type="dxa"/>
            <w:tcBorders>
              <w:right w:val="single" w:color="auto" w:sz="4" w:space="0"/>
            </w:tcBorders>
            <w:noWrap/>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1043.45</w:t>
            </w:r>
          </w:p>
        </w:tc>
        <w:tc>
          <w:tcPr>
            <w:tcW w:w="2435" w:type="dxa"/>
            <w:gridSpan w:val="4"/>
            <w:tcBorders>
              <w:left w:val="single" w:color="auto" w:sz="4" w:space="0"/>
            </w:tcBorders>
            <w:noWrap/>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1043.45</w:t>
            </w:r>
          </w:p>
        </w:tc>
        <w:tc>
          <w:tcPr>
            <w:tcW w:w="3644"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noWrap/>
            <w:vAlign w:val="center"/>
          </w:tcPr>
          <w:p>
            <w:pPr>
              <w:spacing w:line="320" w:lineRule="exact"/>
              <w:jc w:val="center"/>
              <w:rPr>
                <w:rFonts w:hint="eastAsia" w:ascii="仿宋_GB2312" w:hAnsi="仿宋_GB2312" w:eastAsia="仿宋_GB2312" w:cs="仿宋_GB2312"/>
                <w:color w:val="000000"/>
                <w:sz w:val="24"/>
                <w:lang w:val="en-US" w:eastAsia="zh-CN"/>
              </w:rPr>
            </w:pPr>
          </w:p>
        </w:tc>
        <w:tc>
          <w:tcPr>
            <w:tcW w:w="1080" w:type="dxa"/>
            <w:tcBorders>
              <w:right w:val="single" w:color="auto" w:sz="4" w:space="0"/>
            </w:tcBorders>
            <w:noWrap/>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tc>
        <w:tc>
          <w:tcPr>
            <w:tcW w:w="2435" w:type="dxa"/>
            <w:gridSpan w:val="4"/>
            <w:tcBorders>
              <w:left w:val="single" w:color="auto" w:sz="4" w:space="0"/>
            </w:tcBorders>
            <w:noWrap/>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tc>
        <w:tc>
          <w:tcPr>
            <w:tcW w:w="3644" w:type="dxa"/>
            <w:gridSpan w:val="7"/>
            <w:noWrap/>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noWrap/>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3774" w:type="dxa"/>
            <w:gridSpan w:val="7"/>
            <w:noWrap/>
            <w:vAlign w:val="center"/>
          </w:tcPr>
          <w:p>
            <w:pPr>
              <w:autoSpaceDN w:val="0"/>
              <w:spacing w:line="320" w:lineRule="exact"/>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1.教育质量全面提升。</w:t>
            </w:r>
          </w:p>
          <w:p>
            <w:pPr>
              <w:autoSpaceDN w:val="0"/>
              <w:spacing w:line="320" w:lineRule="exact"/>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2.安全管理全面强化。</w:t>
            </w:r>
          </w:p>
          <w:p>
            <w:pPr>
              <w:autoSpaceDN w:val="0"/>
              <w:spacing w:line="320" w:lineRule="exact"/>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3.队伍建设全面加强。</w:t>
            </w:r>
          </w:p>
          <w:p>
            <w:pPr>
              <w:autoSpaceDN w:val="0"/>
              <w:spacing w:line="320" w:lineRule="exact"/>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4.教育管理全面规范。</w:t>
            </w:r>
          </w:p>
          <w:p>
            <w:pPr>
              <w:autoSpaceDN w:val="0"/>
              <w:spacing w:line="320" w:lineRule="exact"/>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5.发展保障全面深化。</w:t>
            </w:r>
          </w:p>
          <w:p>
            <w:pPr>
              <w:autoSpaceDN w:val="0"/>
              <w:spacing w:line="320" w:lineRule="exact"/>
              <w:jc w:val="center"/>
              <w:textAlignment w:val="center"/>
              <w:rPr>
                <w:rFonts w:ascii="楷体_GB2312" w:hAnsi="楷体_GB2312" w:eastAsia="楷体_GB2312" w:cs="楷体_GB2312"/>
                <w:b/>
                <w:bCs/>
                <w:sz w:val="32"/>
                <w:szCs w:val="32"/>
              </w:rPr>
            </w:pPr>
          </w:p>
        </w:tc>
        <w:tc>
          <w:tcPr>
            <w:tcW w:w="4585" w:type="dxa"/>
            <w:gridSpan w:val="9"/>
            <w:noWrap/>
            <w:vAlign w:val="center"/>
          </w:tcPr>
          <w:p>
            <w:pPr>
              <w:autoSpaceDN w:val="0"/>
              <w:spacing w:line="320" w:lineRule="exact"/>
              <w:ind w:firstLine="215" w:firstLineChars="98"/>
              <w:textAlignment w:val="center"/>
              <w:rPr>
                <w:rFonts w:hint="eastAsia" w:eastAsia="仿宋" w:cs="仿宋_GB2312" w:asciiTheme="minorEastAsia" w:hAnsiTheme="minorEastAsia"/>
                <w:color w:val="000000"/>
                <w:sz w:val="24"/>
                <w:lang w:eastAsia="zh-CN"/>
              </w:rPr>
            </w:pPr>
            <w:r>
              <w:rPr>
                <w:rFonts w:hint="eastAsia" w:ascii="仿宋" w:hAnsi="仿宋" w:eastAsia="仿宋" w:cs="仿宋"/>
                <w:color w:val="000000"/>
                <w:sz w:val="22"/>
                <w:szCs w:val="22"/>
              </w:rPr>
              <w:t>学校始终坚持“民主理校、制度管校、依法治校”的办学思想和“学生成才，家长放心，社会满意””的发展理念，努力打造“平安校园”、“书香校园”、“清洁校园”。 学校立足于“勤奋、务实、开拓、进取”的校训，一切教育教学工作始终围绕安全这一生存线、围绕教学质量这一生命线进行。近三年学校获得</w:t>
            </w:r>
            <w:r>
              <w:rPr>
                <w:rFonts w:hint="eastAsia" w:ascii="仿宋" w:hAnsi="仿宋" w:eastAsia="仿宋" w:cs="仿宋"/>
                <w:color w:val="000000"/>
                <w:sz w:val="22"/>
                <w:szCs w:val="22"/>
                <w:lang w:eastAsia="zh-CN"/>
              </w:rPr>
              <w:t>华容县“安全管理先进单位”“职校招生先进单位”等多项荣誉称号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noWrap/>
            <w:vAlign w:val="center"/>
          </w:tcPr>
          <w:p>
            <w:pPr>
              <w:autoSpaceDN w:val="0"/>
              <w:spacing w:line="320" w:lineRule="exact"/>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00"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restart"/>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（部门工作实绩，包含上级部门和县委县政府布置的重点工作、实事任务等，根据部门实际进行调整细化）</w:t>
            </w:r>
          </w:p>
        </w:tc>
        <w:tc>
          <w:tcPr>
            <w:tcW w:w="1417"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b w:val="0"/>
                <w:bCs/>
                <w:sz w:val="24"/>
              </w:rPr>
              <w:t>教学质量</w:t>
            </w:r>
          </w:p>
        </w:tc>
        <w:tc>
          <w:tcPr>
            <w:tcW w:w="2684" w:type="dxa"/>
            <w:gridSpan w:val="6"/>
            <w:noWrap/>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1.教学质量方面，在2021年中考，我校职高招生成绩喜人，职高入学27人，占比37%，10月，在全县中小学田径运动会上，初中男足获第三名。11月份华容县小学生说话竞赛获得县二等奖1个，两个快乐计划扎实推进。</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2.教研教改成绩显著，我校承办了毕业科目研讨课的部分科目研讨任务，何箐箐、付丹、段雨晴、周舟等教师获得初中毕业复习研讨优质课的荣誉。学生获得县级以上荣誉16人次，学校获得县级以上荣誉6个。</w:t>
            </w:r>
          </w:p>
          <w:p>
            <w:pPr>
              <w:autoSpaceDN w:val="0"/>
              <w:spacing w:line="320" w:lineRule="exact"/>
              <w:jc w:val="left"/>
              <w:textAlignment w:val="center"/>
              <w:rPr>
                <w:rFonts w:cs="仿宋_GB2312" w:asciiTheme="minorEastAsia" w:hAnsiTheme="minorEastAsia" w:eastAsiaTheme="minorEastAsia"/>
                <w:b/>
                <w:color w:val="000000"/>
                <w:sz w:val="24"/>
              </w:rPr>
            </w:pPr>
            <w:r>
              <w:rPr>
                <w:rFonts w:hint="eastAsia" w:ascii="仿宋" w:hAnsi="仿宋" w:eastAsia="仿宋" w:cs="仿宋"/>
                <w:b w:val="0"/>
                <w:bCs w:val="0"/>
                <w:sz w:val="21"/>
                <w:szCs w:val="21"/>
                <w:lang w:val="en-US" w:eastAsia="zh-CN"/>
              </w:rPr>
              <w:t>3.科技创新方面，在湖南省第43届青少年科技创新大赛中，我校有科技创意作品1项，，科技创新成果作品1项，科幻画作品2个参赛。科技创意作品获优胜奖。我校还积极组织参加了岳阳市第22届模型拼装赛，人工智能创新挑战赛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25"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320" w:lineRule="exact"/>
              <w:rPr>
                <w:rFonts w:ascii="仿宋_GB2312" w:hAnsi="仿宋_GB2312" w:eastAsia="仿宋_GB2312" w:cs="仿宋_GB2312"/>
                <w:sz w:val="24"/>
              </w:rPr>
            </w:pPr>
          </w:p>
        </w:tc>
        <w:tc>
          <w:tcPr>
            <w:tcW w:w="1417" w:type="dxa"/>
            <w:gridSpan w:val="2"/>
            <w:vMerge w:val="restart"/>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noWrap/>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安全管理</w:t>
            </w:r>
          </w:p>
        </w:tc>
        <w:tc>
          <w:tcPr>
            <w:tcW w:w="2684" w:type="dxa"/>
            <w:gridSpan w:val="6"/>
            <w:noWrap/>
            <w:vAlign w:val="center"/>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b w:val="0"/>
                <w:bCs/>
                <w:color w:val="000000"/>
                <w:sz w:val="22"/>
                <w:szCs w:val="22"/>
              </w:rPr>
            </w:pPr>
            <w:r>
              <w:rPr>
                <w:rFonts w:hint="eastAsia" w:ascii="仿宋" w:hAnsi="仿宋" w:eastAsia="仿宋" w:cs="仿宋"/>
                <w:b w:val="0"/>
                <w:bCs/>
                <w:color w:val="000000"/>
                <w:sz w:val="22"/>
                <w:szCs w:val="22"/>
              </w:rPr>
              <w:t>1.新冠疫情的防控：从2月28日开始，每天晨检午检消毒、体温监测、防控知识普及教育。</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b w:val="0"/>
                <w:bCs/>
                <w:color w:val="000000"/>
                <w:sz w:val="22"/>
                <w:szCs w:val="22"/>
              </w:rPr>
            </w:pPr>
            <w:r>
              <w:rPr>
                <w:rFonts w:hint="eastAsia" w:ascii="仿宋" w:hAnsi="仿宋" w:eastAsia="仿宋" w:cs="仿宋"/>
                <w:b w:val="0"/>
                <w:bCs/>
                <w:color w:val="000000"/>
                <w:sz w:val="22"/>
                <w:szCs w:val="22"/>
              </w:rPr>
              <w:t>2.安全教育方面，本学期对全体学生进行了行为安全、交通安全、消防安全、食品安全、防欺凌、防溺水、防中暑等。</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b w:val="0"/>
                <w:bCs/>
                <w:color w:val="000000"/>
                <w:sz w:val="22"/>
                <w:szCs w:val="22"/>
              </w:rPr>
            </w:pPr>
            <w:r>
              <w:rPr>
                <w:rFonts w:hint="eastAsia" w:ascii="仿宋" w:hAnsi="仿宋" w:eastAsia="仿宋" w:cs="仿宋"/>
                <w:b w:val="0"/>
                <w:bCs/>
                <w:color w:val="000000"/>
                <w:sz w:val="22"/>
                <w:szCs w:val="22"/>
                <w:lang w:val="en-US" w:eastAsia="zh-CN"/>
              </w:rPr>
              <w:t>3</w:t>
            </w:r>
            <w:r>
              <w:rPr>
                <w:rFonts w:hint="eastAsia" w:ascii="仿宋" w:hAnsi="仿宋" w:eastAsia="仿宋" w:cs="仿宋"/>
                <w:b w:val="0"/>
                <w:bCs/>
                <w:color w:val="000000"/>
                <w:sz w:val="22"/>
                <w:szCs w:val="22"/>
              </w:rPr>
              <w:t>.开展了“珍爱生命  远离毒品主题禁毒活动”。</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b w:val="0"/>
                <w:bCs/>
                <w:color w:val="000000"/>
                <w:sz w:val="22"/>
                <w:szCs w:val="22"/>
              </w:rPr>
            </w:pPr>
            <w:r>
              <w:rPr>
                <w:rFonts w:hint="eastAsia" w:ascii="仿宋" w:hAnsi="仿宋" w:eastAsia="仿宋" w:cs="仿宋"/>
                <w:b w:val="0"/>
                <w:bCs/>
                <w:color w:val="000000"/>
                <w:sz w:val="22"/>
                <w:szCs w:val="22"/>
                <w:lang w:val="en-US" w:eastAsia="zh-CN"/>
              </w:rPr>
              <w:t>4</w:t>
            </w:r>
            <w:r>
              <w:rPr>
                <w:rFonts w:hint="eastAsia" w:ascii="仿宋" w:hAnsi="仿宋" w:eastAsia="仿宋" w:cs="仿宋"/>
                <w:b w:val="0"/>
                <w:bCs/>
                <w:color w:val="000000"/>
                <w:sz w:val="22"/>
                <w:szCs w:val="22"/>
              </w:rPr>
              <w:t>.开展了“新时代好少年评选活动”。</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b w:val="0"/>
                <w:bCs/>
                <w:color w:val="000000"/>
                <w:sz w:val="22"/>
                <w:szCs w:val="22"/>
              </w:rPr>
            </w:pPr>
            <w:r>
              <w:rPr>
                <w:rFonts w:hint="eastAsia" w:ascii="仿宋" w:hAnsi="仿宋" w:eastAsia="仿宋" w:cs="仿宋"/>
                <w:b w:val="0"/>
                <w:bCs/>
                <w:color w:val="000000"/>
                <w:sz w:val="22"/>
                <w:szCs w:val="22"/>
                <w:lang w:val="en-US" w:eastAsia="zh-CN"/>
              </w:rPr>
              <w:t>6</w:t>
            </w:r>
            <w:r>
              <w:rPr>
                <w:rFonts w:hint="eastAsia" w:ascii="仿宋" w:hAnsi="仿宋" w:eastAsia="仿宋" w:cs="仿宋"/>
                <w:b w:val="0"/>
                <w:bCs/>
                <w:color w:val="000000"/>
                <w:sz w:val="22"/>
                <w:szCs w:val="22"/>
              </w:rPr>
              <w:t>.召开了年度班主任经验交流会。</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b w:val="0"/>
                <w:bCs/>
                <w:color w:val="000000"/>
                <w:sz w:val="22"/>
                <w:szCs w:val="22"/>
              </w:rPr>
            </w:pPr>
            <w:r>
              <w:rPr>
                <w:rFonts w:hint="eastAsia" w:ascii="仿宋" w:hAnsi="仿宋" w:eastAsia="仿宋" w:cs="仿宋"/>
                <w:b w:val="0"/>
                <w:bCs/>
                <w:color w:val="000000"/>
                <w:sz w:val="22"/>
                <w:szCs w:val="22"/>
                <w:lang w:val="en-US" w:eastAsia="zh-CN"/>
              </w:rPr>
              <w:t>7</w:t>
            </w:r>
            <w:r>
              <w:rPr>
                <w:rFonts w:hint="eastAsia" w:ascii="仿宋" w:hAnsi="仿宋" w:eastAsia="仿宋" w:cs="仿宋"/>
                <w:b w:val="0"/>
                <w:bCs/>
                <w:color w:val="000000"/>
                <w:sz w:val="22"/>
                <w:szCs w:val="22"/>
              </w:rPr>
              <w:t>.进行了</w:t>
            </w:r>
            <w:r>
              <w:rPr>
                <w:rFonts w:hint="eastAsia" w:ascii="仿宋" w:hAnsi="仿宋" w:eastAsia="仿宋" w:cs="仿宋"/>
                <w:b w:val="0"/>
                <w:bCs/>
                <w:color w:val="000000"/>
                <w:sz w:val="22"/>
                <w:szCs w:val="22"/>
                <w:lang w:eastAsia="zh-CN"/>
              </w:rPr>
              <w:t>每学期部少于</w:t>
            </w:r>
            <w:r>
              <w:rPr>
                <w:rFonts w:hint="eastAsia" w:ascii="仿宋" w:hAnsi="仿宋" w:eastAsia="仿宋" w:cs="仿宋"/>
                <w:b w:val="0"/>
                <w:bCs/>
                <w:color w:val="000000"/>
                <w:sz w:val="22"/>
                <w:szCs w:val="22"/>
                <w:lang w:val="en-US" w:eastAsia="zh-CN"/>
              </w:rPr>
              <w:t>2次的</w:t>
            </w:r>
            <w:r>
              <w:rPr>
                <w:rFonts w:hint="eastAsia" w:ascii="仿宋" w:hAnsi="仿宋" w:eastAsia="仿宋" w:cs="仿宋"/>
                <w:b w:val="0"/>
                <w:bCs/>
                <w:color w:val="000000"/>
                <w:sz w:val="22"/>
                <w:szCs w:val="22"/>
              </w:rPr>
              <w:t>全校紧急疏散演练。</w:t>
            </w:r>
            <w:r>
              <w:rPr>
                <w:rFonts w:hint="eastAsia" w:ascii="仿宋" w:hAnsi="仿宋" w:eastAsia="仿宋" w:cs="仿宋"/>
                <w:b w:val="0"/>
                <w:bCs/>
                <w:color w:val="000000"/>
                <w:sz w:val="22"/>
                <w:szCs w:val="22"/>
                <w:lang w:eastAsia="zh-CN"/>
              </w:rPr>
              <w:t>每学期都</w:t>
            </w:r>
            <w:r>
              <w:rPr>
                <w:rFonts w:hint="eastAsia" w:ascii="仿宋" w:hAnsi="仿宋" w:eastAsia="仿宋" w:cs="仿宋"/>
                <w:b w:val="0"/>
                <w:bCs/>
                <w:color w:val="000000"/>
                <w:sz w:val="22"/>
                <w:szCs w:val="22"/>
              </w:rPr>
              <w:t>并进行了法制与禁毒知识讲座，全体师生进行了禁毒预防教育数字化平台注册、学习和2轮的禁毒知识竞赛活动，进行了网上《学宪法》活动。</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eastAsia="仿宋" w:cs="仿宋_GB2312" w:asciiTheme="minorEastAsia" w:hAnsiTheme="minorEastAsia"/>
                <w:b/>
                <w:color w:val="000000"/>
                <w:sz w:val="24"/>
                <w:lang w:eastAsia="zh-CN"/>
              </w:rPr>
            </w:pPr>
            <w:r>
              <w:rPr>
                <w:rFonts w:hint="eastAsia" w:ascii="仿宋" w:hAnsi="仿宋" w:eastAsia="仿宋" w:cs="仿宋"/>
                <w:b w:val="0"/>
                <w:bCs/>
                <w:color w:val="000000"/>
                <w:sz w:val="22"/>
                <w:szCs w:val="22"/>
                <w:lang w:val="en-US" w:eastAsia="zh-CN"/>
              </w:rPr>
              <w:t>8</w:t>
            </w:r>
            <w:r>
              <w:rPr>
                <w:rFonts w:hint="eastAsia" w:ascii="仿宋" w:hAnsi="仿宋" w:eastAsia="仿宋" w:cs="仿宋"/>
                <w:b w:val="0"/>
                <w:bCs/>
                <w:color w:val="000000"/>
                <w:sz w:val="22"/>
                <w:szCs w:val="22"/>
              </w:rPr>
              <w:t>.学校开展了</w:t>
            </w:r>
            <w:r>
              <w:rPr>
                <w:rFonts w:hint="eastAsia" w:ascii="仿宋" w:hAnsi="仿宋" w:eastAsia="仿宋" w:cs="仿宋"/>
                <w:b w:val="0"/>
                <w:bCs/>
                <w:color w:val="000000"/>
                <w:sz w:val="22"/>
                <w:szCs w:val="22"/>
                <w:lang w:eastAsia="zh-CN"/>
              </w:rPr>
              <w:t>春季和</w:t>
            </w:r>
            <w:r>
              <w:rPr>
                <w:rFonts w:hint="eastAsia" w:ascii="仿宋" w:hAnsi="仿宋" w:eastAsia="仿宋" w:cs="仿宋"/>
                <w:b w:val="0"/>
                <w:bCs/>
                <w:color w:val="000000"/>
                <w:sz w:val="22"/>
                <w:szCs w:val="22"/>
              </w:rPr>
              <w:t>冬季田径运动会。</w:t>
            </w:r>
            <w:r>
              <w:rPr>
                <w:rFonts w:hint="eastAsia" w:ascii="仿宋" w:hAnsi="仿宋" w:eastAsia="仿宋" w:cs="仿宋"/>
                <w:b w:val="0"/>
                <w:bCs/>
                <w:color w:val="000000"/>
                <w:sz w:val="22"/>
                <w:szCs w:val="22"/>
                <w:lang w:eastAsia="zh-CN"/>
              </w:rPr>
              <w:t>每学期还</w:t>
            </w:r>
            <w:r>
              <w:rPr>
                <w:rFonts w:hint="eastAsia" w:ascii="仿宋" w:hAnsi="仿宋" w:eastAsia="仿宋" w:cs="仿宋"/>
                <w:b w:val="0"/>
                <w:bCs/>
                <w:color w:val="000000"/>
                <w:sz w:val="22"/>
                <w:szCs w:val="22"/>
              </w:rPr>
              <w:t>进行了长达两周的师生书画展</w:t>
            </w:r>
            <w:r>
              <w:rPr>
                <w:rFonts w:hint="eastAsia" w:ascii="仿宋" w:hAnsi="仿宋" w:eastAsia="仿宋" w:cs="仿宋"/>
                <w:b w:val="0"/>
                <w:bCs/>
                <w:color w:val="000000"/>
                <w:sz w:val="22"/>
                <w:szCs w:val="22"/>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320" w:lineRule="exact"/>
              <w:rPr>
                <w:rFonts w:ascii="仿宋_GB2312" w:hAnsi="仿宋_GB2312" w:eastAsia="仿宋_GB2312" w:cs="仿宋_GB2312"/>
                <w:sz w:val="24"/>
              </w:rPr>
            </w:pPr>
          </w:p>
        </w:tc>
        <w:tc>
          <w:tcPr>
            <w:tcW w:w="1417" w:type="dxa"/>
            <w:gridSpan w:val="2"/>
            <w:vMerge w:val="continue"/>
            <w:noWrap/>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noWrap/>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队伍建设</w:t>
            </w:r>
          </w:p>
        </w:tc>
        <w:tc>
          <w:tcPr>
            <w:tcW w:w="2684" w:type="dxa"/>
            <w:gridSpan w:val="6"/>
            <w:noWrap/>
            <w:vAlign w:val="center"/>
          </w:tcPr>
          <w:p>
            <w:pPr>
              <w:autoSpaceDN w:val="0"/>
              <w:spacing w:line="320" w:lineRule="exact"/>
              <w:jc w:val="left"/>
              <w:textAlignment w:val="center"/>
              <w:rPr>
                <w:rFonts w:hint="eastAsia" w:ascii="仿宋" w:hAnsi="仿宋" w:eastAsia="仿宋" w:cs="仿宋"/>
                <w:b w:val="0"/>
                <w:bCs/>
                <w:color w:val="000000"/>
                <w:sz w:val="22"/>
                <w:szCs w:val="22"/>
              </w:rPr>
            </w:pPr>
            <w:r>
              <w:rPr>
                <w:rFonts w:hint="eastAsia" w:ascii="仿宋" w:hAnsi="仿宋" w:eastAsia="仿宋" w:cs="仿宋"/>
                <w:b w:val="0"/>
                <w:bCs/>
                <w:color w:val="000000"/>
                <w:sz w:val="22"/>
                <w:szCs w:val="22"/>
                <w:lang w:val="en-US" w:eastAsia="zh-CN"/>
              </w:rPr>
              <w:t xml:space="preserve">    </w:t>
            </w:r>
            <w:r>
              <w:rPr>
                <w:rFonts w:hint="eastAsia" w:ascii="仿宋" w:hAnsi="仿宋" w:eastAsia="仿宋" w:cs="仿宋"/>
                <w:b w:val="0"/>
                <w:bCs/>
                <w:color w:val="000000"/>
                <w:sz w:val="22"/>
                <w:szCs w:val="22"/>
              </w:rPr>
              <w:t>1.加强师德教育。所有教师签订了禁补禁销工作责任状，签订了“治陋习，树新风责任状”。</w:t>
            </w:r>
          </w:p>
          <w:p>
            <w:pPr>
              <w:autoSpaceDN w:val="0"/>
              <w:spacing w:line="320" w:lineRule="exact"/>
              <w:ind w:firstLine="440" w:firstLineChars="200"/>
              <w:jc w:val="left"/>
              <w:textAlignment w:val="center"/>
              <w:rPr>
                <w:rFonts w:hint="eastAsia" w:ascii="仿宋" w:hAnsi="仿宋" w:eastAsia="仿宋" w:cs="仿宋"/>
                <w:b w:val="0"/>
                <w:bCs/>
                <w:color w:val="000000"/>
                <w:sz w:val="22"/>
                <w:szCs w:val="22"/>
              </w:rPr>
            </w:pPr>
            <w:r>
              <w:rPr>
                <w:rFonts w:hint="eastAsia" w:ascii="仿宋" w:hAnsi="仿宋" w:eastAsia="仿宋" w:cs="仿宋"/>
                <w:b w:val="0"/>
                <w:bCs/>
                <w:color w:val="000000"/>
                <w:sz w:val="22"/>
                <w:szCs w:val="22"/>
              </w:rPr>
              <w:t>2.11月19日，全体党员观看了国防教育《守护相思树》光影铸魂电影。12月10日、11日，学校组织干部教师观看《长津湖》、《门  锁》、《你的世界如果没有我》等影片，对干部群众进行主题思想教育。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67"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320" w:lineRule="exact"/>
              <w:rPr>
                <w:rFonts w:ascii="仿宋_GB2312" w:hAnsi="仿宋_GB2312" w:eastAsia="仿宋_GB2312" w:cs="仿宋_GB2312"/>
                <w:sz w:val="24"/>
              </w:rPr>
            </w:pPr>
          </w:p>
        </w:tc>
        <w:tc>
          <w:tcPr>
            <w:tcW w:w="1417" w:type="dxa"/>
            <w:gridSpan w:val="2"/>
            <w:vMerge w:val="restart"/>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noWrap/>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无</w:t>
            </w:r>
          </w:p>
        </w:tc>
        <w:tc>
          <w:tcPr>
            <w:tcW w:w="2684" w:type="dxa"/>
            <w:gridSpan w:val="6"/>
            <w:noWrap/>
            <w:vAlign w:val="center"/>
          </w:tcPr>
          <w:p>
            <w:pPr>
              <w:autoSpaceDN w:val="0"/>
              <w:spacing w:line="320" w:lineRule="exact"/>
              <w:jc w:val="center"/>
              <w:textAlignment w:val="center"/>
              <w:rPr>
                <w:rFonts w:cs="仿宋_GB2312" w:asciiTheme="minorEastAsia" w:hAnsiTheme="minorEastAsia" w:eastAsiaTheme="minorEastAsia"/>
                <w:b/>
                <w:color w:val="000000"/>
                <w:sz w:val="24"/>
              </w:rPr>
            </w:pPr>
            <w:r>
              <w:rPr>
                <w:rFonts w:hint="eastAsia" w:ascii="仿宋_GB2312" w:hAnsi="仿宋_GB2312" w:eastAsia="仿宋_GB2312" w:cs="仿宋_GB2312"/>
                <w:color w:val="000000"/>
                <w:sz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42"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320" w:lineRule="exact"/>
              <w:rPr>
                <w:rFonts w:ascii="仿宋_GB2312" w:hAnsi="仿宋_GB2312" w:eastAsia="仿宋_GB2312" w:cs="仿宋_GB2312"/>
                <w:sz w:val="24"/>
              </w:rPr>
            </w:pPr>
          </w:p>
        </w:tc>
        <w:tc>
          <w:tcPr>
            <w:tcW w:w="1417"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无</w:t>
            </w:r>
          </w:p>
        </w:tc>
        <w:tc>
          <w:tcPr>
            <w:tcW w:w="2684" w:type="dxa"/>
            <w:gridSpan w:val="6"/>
            <w:noWrap/>
            <w:vAlign w:val="center"/>
          </w:tcPr>
          <w:p>
            <w:pPr>
              <w:autoSpaceDN w:val="0"/>
              <w:spacing w:line="320" w:lineRule="exact"/>
              <w:jc w:val="center"/>
              <w:textAlignment w:val="center"/>
              <w:rPr>
                <w:rFonts w:cs="仿宋_GB2312" w:asciiTheme="minorEastAsia" w:hAnsiTheme="minorEastAsia" w:eastAsiaTheme="minorEastAsia"/>
                <w:b/>
                <w:color w:val="000000"/>
                <w:sz w:val="24"/>
              </w:rPr>
            </w:pPr>
            <w:r>
              <w:rPr>
                <w:rFonts w:hint="eastAsia" w:ascii="仿宋_GB2312" w:hAnsi="仿宋_GB2312" w:eastAsia="仿宋_GB2312" w:cs="仿宋_GB2312"/>
                <w:color w:val="000000"/>
                <w:sz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895"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restart"/>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noWrap/>
            <w:vAlign w:val="center"/>
          </w:tcPr>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办学条件不断改善</w:t>
            </w: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6"/>
            <w:noWrap/>
            <w:vAlign w:val="center"/>
          </w:tcPr>
          <w:p>
            <w:pPr>
              <w:autoSpaceDN w:val="0"/>
              <w:spacing w:line="320" w:lineRule="exact"/>
              <w:jc w:val="both"/>
              <w:textAlignment w:val="center"/>
              <w:rPr>
                <w:rFonts w:hint="default" w:cs="仿宋_GB2312" w:asciiTheme="minorEastAsia" w:hAnsiTheme="minorEastAsia" w:eastAsiaTheme="minorEastAsia"/>
                <w:b/>
                <w:color w:val="000000"/>
                <w:sz w:val="24"/>
                <w:lang w:val="en-US" w:eastAsia="zh-CN"/>
              </w:rPr>
            </w:pPr>
            <w:r>
              <w:rPr>
                <w:rFonts w:hint="eastAsia" w:ascii="仿宋" w:hAnsi="仿宋" w:eastAsia="仿宋" w:cs="仿宋"/>
                <w:b w:val="0"/>
                <w:bCs/>
                <w:color w:val="000000"/>
                <w:sz w:val="22"/>
                <w:szCs w:val="22"/>
                <w:lang w:val="en-US" w:eastAsia="zh-CN"/>
              </w:rPr>
              <w:t>今年来，争取校舍安全保障、薄弱环节改善等上级专项资金</w:t>
            </w:r>
            <w:r>
              <w:rPr>
                <w:rFonts w:hint="eastAsia" w:ascii="仿宋_GB2312" w:hAnsi="仿宋_GB2312" w:eastAsia="仿宋_GB2312" w:cs="仿宋_GB2312"/>
                <w:color w:val="000000"/>
                <w:sz w:val="24"/>
                <w:lang w:val="en-US" w:eastAsia="zh-CN"/>
              </w:rPr>
              <w:t>142.32</w:t>
            </w:r>
            <w:r>
              <w:rPr>
                <w:rFonts w:hint="eastAsia" w:ascii="仿宋" w:hAnsi="仿宋" w:eastAsia="仿宋" w:cs="仿宋"/>
                <w:b w:val="0"/>
                <w:bCs/>
                <w:color w:val="000000"/>
                <w:sz w:val="22"/>
                <w:szCs w:val="22"/>
                <w:lang w:val="en-US" w:eastAsia="zh-CN"/>
              </w:rPr>
              <w:t>万元，完成我校校舍维修及</w:t>
            </w:r>
            <w:bookmarkStart w:id="0" w:name="_GoBack"/>
            <w:bookmarkEnd w:id="0"/>
            <w:r>
              <w:rPr>
                <w:rFonts w:hint="eastAsia" w:ascii="仿宋" w:hAnsi="仿宋" w:eastAsia="仿宋" w:cs="仿宋"/>
                <w:b w:val="0"/>
                <w:bCs/>
                <w:color w:val="000000"/>
                <w:sz w:val="22"/>
                <w:szCs w:val="22"/>
                <w:lang w:val="en-US" w:eastAsia="zh-CN"/>
              </w:rPr>
              <w:t>运动场改造项目。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320" w:lineRule="exact"/>
              <w:rPr>
                <w:rFonts w:ascii="仿宋_GB2312" w:hAnsi="仿宋_GB2312" w:eastAsia="仿宋_GB2312" w:cs="仿宋_GB2312"/>
                <w:sz w:val="24"/>
              </w:rPr>
            </w:pPr>
          </w:p>
        </w:tc>
        <w:tc>
          <w:tcPr>
            <w:tcW w:w="1417"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noWrap/>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无</w:t>
            </w:r>
          </w:p>
        </w:tc>
        <w:tc>
          <w:tcPr>
            <w:tcW w:w="2684" w:type="dxa"/>
            <w:gridSpan w:val="6"/>
            <w:noWrap/>
            <w:vAlign w:val="center"/>
          </w:tcPr>
          <w:p>
            <w:pPr>
              <w:autoSpaceDN w:val="0"/>
              <w:spacing w:line="320" w:lineRule="exact"/>
              <w:jc w:val="center"/>
              <w:textAlignment w:val="center"/>
              <w:rPr>
                <w:rFonts w:cs="仿宋_GB2312" w:asciiTheme="minorEastAsia" w:hAnsiTheme="minorEastAsia" w:eastAsiaTheme="minorEastAsia"/>
                <w:b/>
                <w:color w:val="000000"/>
                <w:kern w:val="2"/>
                <w:sz w:val="24"/>
                <w:szCs w:val="24"/>
                <w:lang w:val="en-US" w:eastAsia="zh-CN" w:bidi="ar-SA"/>
              </w:rPr>
            </w:pPr>
            <w:r>
              <w:rPr>
                <w:rFonts w:hint="eastAsia" w:ascii="仿宋_GB2312" w:hAnsi="仿宋_GB2312" w:eastAsia="仿宋_GB2312" w:cs="仿宋_GB2312"/>
                <w:color w:val="000000"/>
                <w:sz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320" w:lineRule="exact"/>
              <w:rPr>
                <w:rFonts w:ascii="仿宋_GB2312" w:hAnsi="仿宋_GB2312" w:eastAsia="仿宋_GB2312" w:cs="仿宋_GB2312"/>
                <w:sz w:val="24"/>
              </w:rPr>
            </w:pPr>
          </w:p>
        </w:tc>
        <w:tc>
          <w:tcPr>
            <w:tcW w:w="1417"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noWrap/>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无</w:t>
            </w:r>
          </w:p>
        </w:tc>
        <w:tc>
          <w:tcPr>
            <w:tcW w:w="2684" w:type="dxa"/>
            <w:gridSpan w:val="6"/>
            <w:noWrap/>
            <w:vAlign w:val="center"/>
          </w:tcPr>
          <w:p>
            <w:pPr>
              <w:autoSpaceDN w:val="0"/>
              <w:spacing w:line="320" w:lineRule="exact"/>
              <w:jc w:val="center"/>
              <w:textAlignment w:val="center"/>
              <w:rPr>
                <w:rFonts w:cs="仿宋_GB2312" w:asciiTheme="minorEastAsia" w:hAnsiTheme="minorEastAsia" w:eastAsiaTheme="minorEastAsia"/>
                <w:b/>
                <w:color w:val="000000"/>
                <w:kern w:val="2"/>
                <w:sz w:val="24"/>
                <w:szCs w:val="24"/>
                <w:lang w:val="en-US" w:eastAsia="zh-CN" w:bidi="ar-SA"/>
              </w:rPr>
            </w:pPr>
            <w:r>
              <w:rPr>
                <w:rFonts w:hint="eastAsia" w:ascii="仿宋_GB2312" w:hAnsi="仿宋_GB2312" w:eastAsia="仿宋_GB2312" w:cs="仿宋_GB2312"/>
                <w:color w:val="000000"/>
                <w:sz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320" w:lineRule="exact"/>
              <w:rPr>
                <w:rFonts w:ascii="仿宋_GB2312" w:hAnsi="仿宋_GB2312" w:eastAsia="仿宋_GB2312" w:cs="仿宋_GB2312"/>
                <w:sz w:val="24"/>
              </w:rPr>
            </w:pPr>
          </w:p>
        </w:tc>
        <w:tc>
          <w:tcPr>
            <w:tcW w:w="1417"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满意度95%以上</w:t>
            </w:r>
          </w:p>
        </w:tc>
        <w:tc>
          <w:tcPr>
            <w:tcW w:w="2684" w:type="dxa"/>
            <w:gridSpan w:val="6"/>
            <w:noWrap/>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sz w:val="24"/>
              </w:rPr>
              <w:t>满意度95%以上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ign w:val="center"/>
          </w:tcPr>
          <w:p>
            <w:pPr>
              <w:rPr>
                <w:rFonts w:hint="default" w:ascii="仿宋_GB2312" w:hAnsi="仿宋_GB2312" w:eastAsia="仿宋_GB2312" w:cs="仿宋_GB2312"/>
                <w:color w:val="000000"/>
                <w:sz w:val="24"/>
                <w:lang w:val="en-US" w:eastAsia="zh-CN"/>
              </w:rPr>
            </w:pPr>
            <w:r>
              <w:rPr>
                <w:rFonts w:hint="eastAsia" w:eastAsia="仿宋_GB2312"/>
                <w:sz w:val="24"/>
                <w:lang w:val="en-US" w:eastAsia="zh-CN"/>
              </w:rPr>
              <w:t>涂大平</w:t>
            </w:r>
          </w:p>
        </w:tc>
        <w:tc>
          <w:tcPr>
            <w:tcW w:w="3561" w:type="dxa"/>
            <w:gridSpan w:val="6"/>
            <w:noWrap/>
            <w:vAlign w:val="center"/>
          </w:tcPr>
          <w:p>
            <w:pPr>
              <w:jc w:val="center"/>
              <w:rPr>
                <w:rFonts w:hint="eastAsia" w:ascii="仿宋_GB2312" w:hAnsi="仿宋_GB2312" w:eastAsia="仿宋_GB2312" w:cs="仿宋_GB2312"/>
                <w:color w:val="000000"/>
                <w:sz w:val="24"/>
                <w:lang w:eastAsia="zh-CN"/>
              </w:rPr>
            </w:pPr>
            <w:r>
              <w:rPr>
                <w:rFonts w:hint="eastAsia" w:eastAsia="仿宋_GB2312"/>
                <w:sz w:val="24"/>
                <w:lang w:val="en-US" w:eastAsia="zh-CN"/>
              </w:rPr>
              <w:t>校长</w:t>
            </w:r>
          </w:p>
        </w:tc>
        <w:tc>
          <w:tcPr>
            <w:tcW w:w="1479" w:type="dxa"/>
            <w:noWrap/>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团洲中学</w:t>
            </w:r>
          </w:p>
        </w:tc>
        <w:tc>
          <w:tcPr>
            <w:tcW w:w="3106" w:type="dxa"/>
            <w:gridSpan w:val="8"/>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ign w:val="center"/>
          </w:tcPr>
          <w:p>
            <w:pPr>
              <w:rPr>
                <w:rFonts w:hint="default" w:ascii="仿宋_GB2312" w:hAnsi="仿宋_GB2312" w:eastAsia="仿宋_GB2312" w:cs="仿宋_GB2312"/>
                <w:color w:val="000000"/>
                <w:sz w:val="24"/>
                <w:lang w:val="en-US" w:eastAsia="zh-CN"/>
              </w:rPr>
            </w:pPr>
            <w:r>
              <w:rPr>
                <w:rFonts w:hint="eastAsia" w:eastAsia="仿宋_GB2312"/>
                <w:sz w:val="24"/>
                <w:lang w:val="en-US" w:eastAsia="zh-CN"/>
              </w:rPr>
              <w:t>周四喜</w:t>
            </w:r>
          </w:p>
        </w:tc>
        <w:tc>
          <w:tcPr>
            <w:tcW w:w="3561" w:type="dxa"/>
            <w:gridSpan w:val="6"/>
            <w:noWrap/>
            <w:vAlign w:val="center"/>
          </w:tcPr>
          <w:p>
            <w:pPr>
              <w:jc w:val="center"/>
              <w:rPr>
                <w:rFonts w:hint="eastAsia" w:ascii="仿宋_GB2312" w:hAnsi="仿宋_GB2312" w:eastAsia="仿宋_GB2312" w:cs="仿宋_GB2312"/>
                <w:color w:val="000000"/>
                <w:sz w:val="24"/>
                <w:lang w:eastAsia="zh-CN"/>
              </w:rPr>
            </w:pPr>
            <w:r>
              <w:rPr>
                <w:rFonts w:hint="eastAsia" w:eastAsia="仿宋_GB2312"/>
                <w:sz w:val="24"/>
                <w:lang w:val="en-US" w:eastAsia="zh-CN"/>
              </w:rPr>
              <w:t>后勤副校长</w:t>
            </w:r>
          </w:p>
        </w:tc>
        <w:tc>
          <w:tcPr>
            <w:tcW w:w="1479"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团洲中学</w:t>
            </w:r>
          </w:p>
        </w:tc>
        <w:tc>
          <w:tcPr>
            <w:tcW w:w="3106" w:type="dxa"/>
            <w:gridSpan w:val="8"/>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ign w:val="center"/>
          </w:tcPr>
          <w:p>
            <w:pPr>
              <w:rPr>
                <w:rFonts w:hint="eastAsia" w:ascii="仿宋_GB2312" w:hAnsi="仿宋_GB2312" w:eastAsia="仿宋_GB2312" w:cs="仿宋_GB2312"/>
                <w:color w:val="000000"/>
                <w:sz w:val="24"/>
                <w:lang w:eastAsia="zh-CN"/>
              </w:rPr>
            </w:pPr>
            <w:r>
              <w:rPr>
                <w:rFonts w:hint="eastAsia" w:eastAsia="仿宋_GB2312"/>
                <w:sz w:val="24"/>
                <w:lang w:val="en-US" w:eastAsia="zh-CN"/>
              </w:rPr>
              <w:t>李志高</w:t>
            </w:r>
          </w:p>
        </w:tc>
        <w:tc>
          <w:tcPr>
            <w:tcW w:w="3561" w:type="dxa"/>
            <w:gridSpan w:val="6"/>
            <w:noWrap/>
            <w:vAlign w:val="center"/>
          </w:tcPr>
          <w:p>
            <w:pPr>
              <w:jc w:val="center"/>
              <w:rPr>
                <w:rFonts w:hint="default" w:ascii="仿宋_GB2312" w:hAnsi="仿宋_GB2312" w:eastAsia="仿宋_GB2312" w:cs="仿宋_GB2312"/>
                <w:color w:val="000000"/>
                <w:sz w:val="24"/>
                <w:lang w:val="en-US" w:eastAsia="zh-CN"/>
              </w:rPr>
            </w:pPr>
            <w:r>
              <w:rPr>
                <w:rFonts w:hint="eastAsia" w:eastAsia="仿宋_GB2312"/>
                <w:sz w:val="24"/>
                <w:lang w:val="en-US" w:eastAsia="zh-CN"/>
              </w:rPr>
              <w:t>工会主席</w:t>
            </w:r>
          </w:p>
        </w:tc>
        <w:tc>
          <w:tcPr>
            <w:tcW w:w="1479"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团洲中学</w:t>
            </w:r>
          </w:p>
        </w:tc>
        <w:tc>
          <w:tcPr>
            <w:tcW w:w="3106" w:type="dxa"/>
            <w:gridSpan w:val="8"/>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ign w:val="center"/>
          </w:tcPr>
          <w:p>
            <w:pPr>
              <w:autoSpaceDN w:val="0"/>
              <w:spacing w:line="320" w:lineRule="exact"/>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刘汉文</w:t>
            </w:r>
          </w:p>
        </w:tc>
        <w:tc>
          <w:tcPr>
            <w:tcW w:w="3561" w:type="dxa"/>
            <w:gridSpan w:val="6"/>
            <w:noWrap/>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会计</w:t>
            </w:r>
          </w:p>
        </w:tc>
        <w:tc>
          <w:tcPr>
            <w:tcW w:w="1479"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团洲中学</w:t>
            </w:r>
          </w:p>
        </w:tc>
        <w:tc>
          <w:tcPr>
            <w:tcW w:w="3106" w:type="dxa"/>
            <w:gridSpan w:val="8"/>
            <w:noWrap/>
            <w:vAlign w:val="center"/>
          </w:tcPr>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noWrap/>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noWrap/>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 xml:space="preserve">填报人（签名）： </w:t>
      </w:r>
      <w:r>
        <w:rPr>
          <w:rFonts w:hint="eastAsia" w:eastAsia="仿宋_GB2312" w:cs="仿宋_GB2312"/>
          <w:bCs/>
          <w:sz w:val="28"/>
          <w:szCs w:val="28"/>
          <w:lang w:val="en-US" w:eastAsia="zh-CN"/>
        </w:rPr>
        <w:t>刘汉文</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15274092359</w:t>
      </w:r>
    </w:p>
    <w:tbl>
      <w:tblPr>
        <w:tblStyle w:val="6"/>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noWrap/>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1.宣传贯彻执行党和国家的教育方针、教育政策、教育法律和法规，贯彻执行上级教育行政部门的各项规章制度。</w:t>
            </w:r>
          </w:p>
          <w:p>
            <w:pPr>
              <w:spacing w:line="56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2.在政府和上级教育主管部门的领导下，争取资金改善办学条件，为师生的学习和工作提供优美和谐的环境。</w:t>
            </w:r>
          </w:p>
          <w:p>
            <w:pPr>
              <w:spacing w:line="56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3.根据县级人民政府制定的教育事业发展规划，结合实际制定并组织实施本校的教育事业发展规划。按照干部和教师的职数、编制和管理权限，负责对本校的干部和教师进行管理，制定切实可行的学校工作规章制度，提高教育教学质量为目的，对干部职工的工作开展客观、公正的评价和考核。</w:t>
            </w:r>
          </w:p>
          <w:p>
            <w:pPr>
              <w:spacing w:line="56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4.按照九年义务教育课程计划，开齐课程，开足课时，认真实施中小学的教育教学管理，全面推进素质教育，全面提高教育教学质量。</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tabs>
                <w:tab w:val="left" w:pos="3105"/>
              </w:tabs>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r>
              <w:rPr>
                <w:rFonts w:ascii="仿宋_GB2312" w:hAnsi="仿宋_GB2312" w:eastAsia="仿宋_GB2312" w:cs="仿宋_GB2312"/>
                <w:bCs/>
                <w:sz w:val="28"/>
                <w:szCs w:val="28"/>
              </w:rPr>
              <w:tab/>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2021年度财政拨款基本支出</w:t>
            </w:r>
            <w:r>
              <w:rPr>
                <w:rFonts w:hint="eastAsia" w:ascii="仿宋_GB2312" w:hAnsi="仿宋_GB2312" w:eastAsia="仿宋_GB2312" w:cs="仿宋_GB2312"/>
                <w:bCs/>
                <w:sz w:val="28"/>
                <w:szCs w:val="28"/>
                <w:lang w:val="en-US" w:eastAsia="zh-CN"/>
              </w:rPr>
              <w:t>1145.21</w:t>
            </w:r>
            <w:r>
              <w:rPr>
                <w:rFonts w:hint="eastAsia" w:ascii="仿宋_GB2312" w:hAnsi="仿宋_GB2312" w:eastAsia="仿宋_GB2312" w:cs="仿宋_GB2312"/>
                <w:bCs/>
                <w:sz w:val="28"/>
                <w:szCs w:val="28"/>
              </w:rPr>
              <w:t>万元，其中：人员经费1042万元，主要包括：（基本工资、津贴补贴、奖金、社会保障缴费、伙食补助费、其他工资福利支出、离休费、退休费、生活补助、医疗费、住房公积金、其他对个人和家庭的补助支出等）；公用经费103.21万元，主要包括：（办公费、印刷费、咨询费、电费、邮电费、差旅费、因公出国（境）费、维修（护）费、租赁费、会议费、培训费、公务接待费、劳务费、其他交通费用、其他商品和服务支出、办公设备购置、其他支出等。</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“三公”经费支出情况：严格按照财政局下发文件标准执行，严格控制支出，2021年，“三公”经费支出为</w:t>
            </w:r>
            <w:r>
              <w:rPr>
                <w:rFonts w:hint="eastAsia" w:ascii="仿宋_GB2312" w:hAnsi="仿宋_GB2312" w:eastAsia="仿宋_GB2312" w:cs="仿宋_GB2312"/>
                <w:bCs/>
                <w:sz w:val="28"/>
                <w:szCs w:val="28"/>
                <w:lang w:val="en-US" w:eastAsia="zh-CN"/>
              </w:rPr>
              <w:t>0.36</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与上年持平</w:t>
            </w:r>
            <w:r>
              <w:rPr>
                <w:rFonts w:hint="eastAsia" w:ascii="仿宋_GB2312" w:hAnsi="仿宋_GB2312" w:eastAsia="仿宋_GB2312" w:cs="仿宋_GB2312"/>
                <w:bCs/>
                <w:sz w:val="28"/>
                <w:szCs w:val="28"/>
              </w:rPr>
              <w:t>。公务用车购置及运行维护费完成0元，与上年无变化，原因是公车</w:t>
            </w:r>
            <w:r>
              <w:rPr>
                <w:rFonts w:hint="eastAsia" w:ascii="仿宋_GB2312" w:hAnsi="仿宋_GB2312" w:eastAsia="仿宋_GB2312" w:cs="仿宋_GB2312"/>
                <w:bCs/>
                <w:sz w:val="28"/>
                <w:szCs w:val="28"/>
                <w:lang w:val="en-US" w:eastAsia="zh-CN"/>
              </w:rPr>
              <w:t>无</w:t>
            </w:r>
            <w:r>
              <w:rPr>
                <w:rFonts w:hint="eastAsia" w:ascii="仿宋_GB2312" w:hAnsi="仿宋_GB2312" w:eastAsia="仿宋_GB2312" w:cs="仿宋_GB2312"/>
                <w:bCs/>
                <w:sz w:val="28"/>
                <w:szCs w:val="28"/>
              </w:rPr>
              <w:t>。</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1、专项资金安排落实、总投入等情况分析</w:t>
            </w:r>
          </w:p>
          <w:p>
            <w:pPr>
              <w:spacing w:line="560" w:lineRule="exact"/>
              <w:ind w:firstLine="560" w:firstLineChars="200"/>
              <w:rPr>
                <w:rFonts w:ascii="仿宋_GB2312" w:hAnsi="仿宋_GB2312" w:eastAsia="仿宋_GB2312" w:cs="仿宋_GB2312"/>
                <w:bCs/>
                <w:color w:val="FF0000"/>
                <w:sz w:val="28"/>
                <w:szCs w:val="28"/>
              </w:rPr>
            </w:pPr>
            <w:r>
              <w:rPr>
                <w:rFonts w:hint="eastAsia" w:ascii="仿宋_GB2312" w:hAnsi="仿宋_GB2312" w:eastAsia="仿宋_GB2312" w:cs="仿宋_GB2312"/>
                <w:bCs/>
                <w:sz w:val="28"/>
                <w:szCs w:val="28"/>
              </w:rPr>
              <w:t>2021年度教育专项资金安排支出</w:t>
            </w:r>
            <w:r>
              <w:rPr>
                <w:rFonts w:hint="eastAsia" w:ascii="仿宋_GB2312" w:hAnsi="仿宋_GB2312" w:eastAsia="仿宋_GB2312" w:cs="仿宋_GB2312"/>
                <w:bCs/>
                <w:sz w:val="28"/>
                <w:szCs w:val="28"/>
                <w:lang w:val="en-US" w:eastAsia="zh-CN"/>
              </w:rPr>
              <w:t>142.32</w:t>
            </w:r>
            <w:r>
              <w:rPr>
                <w:rFonts w:hint="eastAsia" w:ascii="仿宋_GB2312" w:hAnsi="仿宋_GB2312" w:eastAsia="仿宋_GB2312" w:cs="仿宋_GB2312"/>
                <w:bCs/>
                <w:sz w:val="28"/>
                <w:szCs w:val="28"/>
              </w:rPr>
              <w:t>万元，主要包括：义教公用经费、义教校舍维修</w:t>
            </w:r>
            <w:r>
              <w:rPr>
                <w:rFonts w:hint="eastAsia" w:ascii="仿宋_GB2312" w:hAnsi="仿宋_GB2312" w:eastAsia="仿宋_GB2312" w:cs="仿宋_GB2312"/>
                <w:bCs/>
                <w:sz w:val="28"/>
                <w:szCs w:val="28"/>
                <w:lang w:val="en-US" w:eastAsia="zh-CN"/>
              </w:rPr>
              <w:t>等</w:t>
            </w:r>
            <w:r>
              <w:rPr>
                <w:rFonts w:hint="eastAsia" w:ascii="仿宋_GB2312" w:hAnsi="仿宋_GB2312" w:eastAsia="仿宋_GB2312" w:cs="仿宋_GB2312"/>
                <w:bCs/>
                <w:sz w:val="28"/>
                <w:szCs w:val="28"/>
              </w:rPr>
              <w:t>，以上经费全部落实到位，用于</w:t>
            </w:r>
            <w:r>
              <w:rPr>
                <w:rFonts w:hint="eastAsia" w:ascii="仿宋_GB2312" w:hAnsi="仿宋_GB2312" w:eastAsia="仿宋_GB2312" w:cs="仿宋_GB2312"/>
                <w:bCs/>
                <w:sz w:val="28"/>
                <w:szCs w:val="28"/>
                <w:lang w:val="en-US" w:eastAsia="zh-CN"/>
              </w:rPr>
              <w:t>我校</w:t>
            </w:r>
            <w:r>
              <w:rPr>
                <w:rFonts w:hint="eastAsia" w:ascii="仿宋_GB2312" w:hAnsi="仿宋_GB2312" w:eastAsia="仿宋_GB2312" w:cs="仿宋_GB2312"/>
                <w:bCs/>
                <w:sz w:val="28"/>
                <w:szCs w:val="28"/>
              </w:rPr>
              <w:t>基本运转及相关专项工作实施。</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2、专项资金实际使用情况分析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按照财务管理及专项使用有关规定，相关专项资金按照专项的使用范围，做到了不挪项、不挪用、不超预算使用专项经费，并按照"量入为出，量体裁衣、节约使用"的原则，做到有计划地使用各专项资金。</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3、专项资金管理情况分析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我校</w:t>
            </w:r>
            <w:r>
              <w:rPr>
                <w:rFonts w:hint="eastAsia" w:ascii="仿宋_GB2312" w:hAnsi="仿宋_GB2312" w:eastAsia="仿宋_GB2312" w:cs="仿宋_GB2312"/>
                <w:bCs/>
                <w:sz w:val="28"/>
                <w:szCs w:val="28"/>
              </w:rPr>
              <w:t>财政专项资金逐年增加，为规避财政风险，提高财政专项资金使用效益，确保财政专项资金安全运行，对财政专项资金管理做法如下：</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是做到“四个坚持”即:坚持专项资金实行开票、经办、审核、审批、记账等职责严格分离;坚持支出先报批、后经办，经严格审核后，再审批付款，最后交会计人员制单、记账;坚持专项资金凭用款计划、项目进度及专户存款情况，审核拨付资金;坚持把好票据签章关，严格票据销号，对已开完的票据及时销号，防止票据丢失、挪用公款，严禁一人保管支付款项所需要的全部印章。二是专项资金实行使用公示制，资金使用明细全部上网公开，提高了财政专项资金使用的透明度，有力保证了专款专用。三是规范了财政专项资金会计基础工作，提高了会计信息质量，为政府决策提供了参考依据。</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三、部门（单位）专项组织实施情况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（一）专项组织情况分析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1.完善财务制度，规范经费管理；</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认真贯彻中央及省委相关规定，县委县政府厉行节约的精神，进一步规范</w:t>
            </w:r>
            <w:r>
              <w:rPr>
                <w:rFonts w:hint="eastAsia" w:ascii="仿宋_GB2312" w:hAnsi="仿宋_GB2312" w:eastAsia="仿宋_GB2312" w:cs="仿宋_GB2312"/>
                <w:bCs/>
                <w:sz w:val="28"/>
                <w:szCs w:val="28"/>
                <w:lang w:val="en-US" w:eastAsia="zh-CN"/>
              </w:rPr>
              <w:t>我校</w:t>
            </w:r>
            <w:r>
              <w:rPr>
                <w:rFonts w:hint="eastAsia" w:ascii="仿宋_GB2312" w:hAnsi="仿宋_GB2312" w:eastAsia="仿宋_GB2312" w:cs="仿宋_GB2312"/>
                <w:bCs/>
                <w:sz w:val="28"/>
                <w:szCs w:val="28"/>
              </w:rPr>
              <w:t>财务管理，</w:t>
            </w:r>
            <w:r>
              <w:rPr>
                <w:rFonts w:hint="eastAsia" w:ascii="仿宋_GB2312" w:hAnsi="仿宋_GB2312" w:eastAsia="仿宋_GB2312" w:cs="仿宋_GB2312"/>
                <w:bCs/>
                <w:sz w:val="28"/>
                <w:szCs w:val="28"/>
                <w:lang w:val="en-US" w:eastAsia="zh-CN"/>
              </w:rPr>
              <w:t>结合县教体局</w:t>
            </w:r>
            <w:r>
              <w:rPr>
                <w:rFonts w:hint="eastAsia" w:ascii="仿宋_GB2312" w:hAnsi="仿宋_GB2312" w:eastAsia="仿宋_GB2312" w:cs="仿宋_GB2312"/>
                <w:bCs/>
                <w:sz w:val="28"/>
                <w:szCs w:val="28"/>
              </w:rPr>
              <w:t>《关于进一步规范教体系统财务管理若干问题的意见》及相关财务制度汇编，将财务管理更加细化具体，责任更加清晰明了。</w:t>
            </w:r>
          </w:p>
          <w:p>
            <w:pPr>
              <w:spacing w:line="560" w:lineRule="exact"/>
              <w:ind w:firstLine="560" w:firstLineChars="200"/>
              <w:rPr>
                <w:rFonts w:ascii="仿宋_GB2312" w:hAnsi="仿宋_GB2312" w:eastAsia="仿宋_GB2312" w:cs="仿宋_GB2312"/>
                <w:bCs/>
                <w:color w:val="FF0000"/>
                <w:sz w:val="28"/>
                <w:szCs w:val="28"/>
              </w:rPr>
            </w:pPr>
            <w:r>
              <w:rPr>
                <w:rFonts w:hint="eastAsia" w:ascii="仿宋_GB2312" w:hAnsi="仿宋_GB2312" w:eastAsia="仿宋_GB2312" w:cs="仿宋_GB2312"/>
                <w:bCs/>
                <w:sz w:val="28"/>
                <w:szCs w:val="28"/>
              </w:rPr>
              <w:t>2.严格执行预算，控制经费支出；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相关专项资金严格按照预算执行，按照专项的使用范围，做到了不挪项、不挪用、不超预算使用专项经费，并按照"量入为出，量体裁衣、节约使用"的原则，做到有计划地使用各专项资金。</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3.完善专项监管，建立长效机制</w:t>
            </w:r>
          </w:p>
          <w:p>
            <w:pPr>
              <w:spacing w:line="560" w:lineRule="exact"/>
              <w:ind w:firstLine="560" w:firstLineChars="200"/>
              <w:rPr>
                <w:rFonts w:ascii="仿宋_GB2312" w:hAnsi="仿宋_GB2312" w:eastAsia="仿宋_GB2312" w:cs="仿宋_GB2312"/>
                <w:bCs/>
                <w:color w:val="FF0000"/>
                <w:sz w:val="28"/>
                <w:szCs w:val="28"/>
              </w:rPr>
            </w:pPr>
            <w:r>
              <w:rPr>
                <w:rFonts w:hint="eastAsia" w:ascii="仿宋_GB2312" w:hAnsi="仿宋_GB2312" w:eastAsia="仿宋_GB2312" w:cs="仿宋_GB2312"/>
                <w:bCs/>
                <w:sz w:val="28"/>
                <w:szCs w:val="28"/>
              </w:rPr>
              <w:t>一是提高全局意识，提高经费使用效益，节约从一点一滴做起；二是加强三公经费的管理，严格控制三公经费总量，把好审核关，加强对招待费、租车费的管理；三是严格执行政府采购，建设项目及大型专项支出、设备购置，一律</w:t>
            </w:r>
            <w:r>
              <w:rPr>
                <w:rFonts w:hint="eastAsia" w:ascii="仿宋_GB2312" w:hAnsi="仿宋_GB2312" w:eastAsia="仿宋_GB2312" w:cs="仿宋_GB2312"/>
                <w:bCs/>
                <w:sz w:val="28"/>
                <w:szCs w:val="28"/>
                <w:lang w:val="en-US" w:eastAsia="zh-CN"/>
              </w:rPr>
              <w:t>经校委会</w:t>
            </w:r>
            <w:r>
              <w:rPr>
                <w:rFonts w:hint="eastAsia" w:ascii="仿宋_GB2312" w:hAnsi="仿宋_GB2312" w:eastAsia="仿宋_GB2312" w:cs="仿宋_GB2312"/>
                <w:bCs/>
                <w:sz w:val="28"/>
                <w:szCs w:val="28"/>
              </w:rPr>
              <w:t>研究决定，并按政府采购规定程序实施。</w:t>
            </w:r>
          </w:p>
          <w:p>
            <w:pPr>
              <w:tabs>
                <w:tab w:val="left" w:pos="4200"/>
              </w:tabs>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（二）专项管理情况分析</w:t>
            </w:r>
            <w:r>
              <w:rPr>
                <w:rFonts w:ascii="仿宋_GB2312" w:hAnsi="仿宋_GB2312" w:eastAsia="仿宋_GB2312" w:cs="仿宋_GB2312"/>
                <w:bCs/>
                <w:sz w:val="28"/>
                <w:szCs w:val="28"/>
              </w:rPr>
              <w:tab/>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严格执行了专项的相关规定，我</w:t>
            </w:r>
            <w:r>
              <w:rPr>
                <w:rFonts w:hint="eastAsia" w:ascii="仿宋_GB2312" w:hAnsi="仿宋_GB2312" w:eastAsia="仿宋_GB2312" w:cs="仿宋_GB2312"/>
                <w:bCs/>
                <w:sz w:val="28"/>
                <w:szCs w:val="28"/>
                <w:lang w:val="en-US" w:eastAsia="zh-CN"/>
              </w:rPr>
              <w:t>校</w:t>
            </w:r>
            <w:r>
              <w:rPr>
                <w:rFonts w:hint="eastAsia" w:ascii="仿宋_GB2312" w:hAnsi="仿宋_GB2312" w:eastAsia="仿宋_GB2312" w:cs="仿宋_GB2312"/>
                <w:bCs/>
                <w:sz w:val="28"/>
                <w:szCs w:val="28"/>
              </w:rPr>
              <w:t>的教育专项资金的拨付和使用管理，严格按照上级有关部门规定执行，收支两条线，做到了专款专用。</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四、部门（单位）整体支出绩效情况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2021年，</w:t>
            </w:r>
            <w:r>
              <w:rPr>
                <w:rFonts w:hint="eastAsia" w:ascii="仿宋_GB2312" w:hAnsi="仿宋_GB2312" w:eastAsia="仿宋_GB2312" w:cs="仿宋_GB2312"/>
                <w:bCs/>
                <w:sz w:val="28"/>
                <w:szCs w:val="28"/>
                <w:lang w:val="en-US" w:eastAsia="zh-CN"/>
              </w:rPr>
              <w:t>我校</w:t>
            </w:r>
            <w:r>
              <w:rPr>
                <w:rFonts w:hint="eastAsia" w:ascii="仿宋_GB2312" w:hAnsi="仿宋_GB2312" w:eastAsia="仿宋_GB2312" w:cs="仿宋_GB2312"/>
                <w:bCs/>
                <w:sz w:val="28"/>
                <w:szCs w:val="28"/>
              </w:rPr>
              <w:t>在县委、县政府的坚强领导和</w:t>
            </w:r>
            <w:r>
              <w:rPr>
                <w:rFonts w:hint="eastAsia" w:ascii="仿宋_GB2312" w:hAnsi="仿宋_GB2312" w:eastAsia="仿宋_GB2312" w:cs="仿宋_GB2312"/>
                <w:bCs/>
                <w:sz w:val="28"/>
                <w:szCs w:val="28"/>
                <w:lang w:val="en-US" w:eastAsia="zh-CN"/>
              </w:rPr>
              <w:t>县</w:t>
            </w:r>
            <w:r>
              <w:rPr>
                <w:rFonts w:hint="eastAsia" w:ascii="仿宋_GB2312" w:hAnsi="仿宋_GB2312" w:eastAsia="仿宋_GB2312" w:cs="仿宋_GB2312"/>
                <w:bCs/>
                <w:sz w:val="28"/>
                <w:szCs w:val="28"/>
              </w:rPr>
              <w:t>教体局的正确指导下，坚持安全和质量“两条主线”，</w:t>
            </w:r>
            <w:r>
              <w:rPr>
                <w:rFonts w:hint="eastAsia" w:ascii="仿宋_GB2312" w:hAnsi="仿宋_GB2312" w:eastAsia="仿宋_GB2312" w:cs="仿宋_GB2312"/>
                <w:bCs/>
                <w:sz w:val="28"/>
                <w:szCs w:val="28"/>
                <w:lang w:val="en-US" w:eastAsia="zh-CN"/>
              </w:rPr>
              <w:t>我校</w:t>
            </w:r>
            <w:r>
              <w:rPr>
                <w:rFonts w:hint="eastAsia" w:ascii="仿宋_GB2312" w:hAnsi="仿宋_GB2312" w:eastAsia="仿宋_GB2312" w:cs="仿宋_GB2312"/>
                <w:bCs/>
                <w:sz w:val="28"/>
                <w:szCs w:val="28"/>
              </w:rPr>
              <w:t>教育</w:t>
            </w:r>
            <w:r>
              <w:rPr>
                <w:rFonts w:hint="eastAsia" w:ascii="仿宋_GB2312" w:hAnsi="仿宋_GB2312" w:eastAsia="仿宋_GB2312" w:cs="仿宋_GB2312"/>
                <w:bCs/>
                <w:sz w:val="28"/>
                <w:szCs w:val="28"/>
                <w:lang w:val="en-US" w:eastAsia="zh-CN"/>
              </w:rPr>
              <w:t>教学</w:t>
            </w:r>
            <w:r>
              <w:rPr>
                <w:rFonts w:hint="eastAsia" w:ascii="仿宋_GB2312" w:hAnsi="仿宋_GB2312" w:eastAsia="仿宋_GB2312" w:cs="仿宋_GB2312"/>
                <w:bCs/>
                <w:sz w:val="28"/>
                <w:szCs w:val="28"/>
              </w:rPr>
              <w:t>各项工作持续、稳步发展。</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我</w:t>
            </w:r>
            <w:r>
              <w:rPr>
                <w:rFonts w:hint="eastAsia" w:ascii="仿宋_GB2312" w:hAnsi="仿宋_GB2312" w:eastAsia="仿宋_GB2312" w:cs="仿宋_GB2312"/>
                <w:bCs/>
                <w:sz w:val="28"/>
                <w:szCs w:val="28"/>
                <w:lang w:val="en-US" w:eastAsia="zh-CN"/>
              </w:rPr>
              <w:t>校</w:t>
            </w:r>
            <w:r>
              <w:rPr>
                <w:rFonts w:hint="eastAsia" w:ascii="仿宋_GB2312" w:hAnsi="仿宋_GB2312" w:eastAsia="仿宋_GB2312" w:cs="仿宋_GB2312"/>
                <w:bCs/>
                <w:sz w:val="28"/>
                <w:szCs w:val="28"/>
              </w:rPr>
              <w:t>坚决执行经费预算管理，确保预算不增长，支出不超预算。在厉行节约、</w:t>
            </w:r>
            <w:r>
              <w:rPr>
                <w:rFonts w:hint="eastAsia" w:ascii="仿宋_GB2312" w:hAnsi="仿宋_GB2312" w:eastAsia="仿宋_GB2312" w:cs="仿宋_GB2312"/>
                <w:bCs/>
                <w:sz w:val="28"/>
                <w:szCs w:val="28"/>
                <w:lang w:val="en-US" w:eastAsia="zh-CN"/>
              </w:rPr>
              <w:t>反</w:t>
            </w:r>
            <w:r>
              <w:rPr>
                <w:rFonts w:hint="eastAsia" w:ascii="仿宋_GB2312" w:hAnsi="仿宋_GB2312" w:eastAsia="仿宋_GB2312" w:cs="仿宋_GB2312"/>
                <w:bCs/>
                <w:sz w:val="28"/>
                <w:szCs w:val="28"/>
              </w:rPr>
              <w:t>对铺张浪费等方面，采取了有力措施，并取得了明显成效。</w:t>
            </w:r>
            <w:r>
              <w:rPr>
                <w:rFonts w:hint="eastAsia" w:ascii="仿宋_GB2312" w:hAnsi="仿宋_GB2312" w:eastAsia="仿宋_GB2312" w:cs="仿宋_GB2312"/>
                <w:bCs/>
                <w:sz w:val="28"/>
                <w:szCs w:val="28"/>
                <w:lang w:val="en-US" w:eastAsia="zh-CN"/>
              </w:rPr>
              <w:t>校长室</w:t>
            </w:r>
            <w:r>
              <w:rPr>
                <w:rFonts w:hint="eastAsia" w:ascii="仿宋_GB2312" w:hAnsi="仿宋_GB2312" w:eastAsia="仿宋_GB2312" w:cs="仿宋_GB2312"/>
                <w:bCs/>
                <w:sz w:val="28"/>
                <w:szCs w:val="28"/>
              </w:rPr>
              <w:t>成员率先垂范、高度重视下，全体</w:t>
            </w:r>
            <w:r>
              <w:rPr>
                <w:rFonts w:hint="eastAsia" w:ascii="仿宋_GB2312" w:hAnsi="仿宋_GB2312" w:eastAsia="仿宋_GB2312" w:cs="仿宋_GB2312"/>
                <w:bCs/>
                <w:sz w:val="28"/>
                <w:szCs w:val="28"/>
                <w:lang w:val="en-US" w:eastAsia="zh-CN"/>
              </w:rPr>
              <w:t>教</w:t>
            </w:r>
            <w:r>
              <w:rPr>
                <w:rFonts w:hint="eastAsia" w:ascii="仿宋_GB2312" w:hAnsi="仿宋_GB2312" w:eastAsia="仿宋_GB2312" w:cs="仿宋_GB2312"/>
                <w:bCs/>
                <w:sz w:val="28"/>
                <w:szCs w:val="28"/>
              </w:rPr>
              <w:t>职工积极配合，三公经费得到了很好的控制。</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接下来我</w:t>
            </w:r>
            <w:r>
              <w:rPr>
                <w:rFonts w:hint="eastAsia" w:ascii="仿宋_GB2312" w:hAnsi="仿宋_GB2312" w:eastAsia="仿宋_GB2312" w:cs="仿宋_GB2312"/>
                <w:bCs/>
                <w:sz w:val="28"/>
                <w:szCs w:val="28"/>
                <w:lang w:val="en-US" w:eastAsia="zh-CN"/>
              </w:rPr>
              <w:t>校</w:t>
            </w:r>
            <w:r>
              <w:rPr>
                <w:rFonts w:hint="eastAsia" w:ascii="仿宋_GB2312" w:hAnsi="仿宋_GB2312" w:eastAsia="仿宋_GB2312" w:cs="仿宋_GB2312"/>
                <w:bCs/>
                <w:sz w:val="28"/>
                <w:szCs w:val="28"/>
              </w:rPr>
              <w:t>将继续严格执行经费年初预算，按照上级的要求，强化制度建设，完善预算分配机制，进一步加强经费预算的执行管理，不断提高支出的经济性、效率性、有效性和可持续性。</w:t>
            </w:r>
          </w:p>
          <w:p>
            <w:pPr>
              <w:spacing w:line="560" w:lineRule="exact"/>
              <w:ind w:firstLine="560" w:firstLineChars="200"/>
              <w:rPr>
                <w:rFonts w:hint="eastAsia" w:ascii="黑体" w:hAnsi="黑体" w:eastAsia="仿宋_GB2312" w:cs="黑体"/>
                <w:bCs/>
                <w:sz w:val="28"/>
                <w:szCs w:val="28"/>
                <w:lang w:eastAsia="zh-CN"/>
              </w:rPr>
            </w:pPr>
            <w:r>
              <w:rPr>
                <w:rFonts w:hint="eastAsia" w:ascii="仿宋_GB2312" w:hAnsi="仿宋_GB2312" w:eastAsia="仿宋_GB2312" w:cs="仿宋_GB2312"/>
                <w:bCs/>
                <w:sz w:val="28"/>
                <w:szCs w:val="28"/>
              </w:rPr>
              <w:t>根据定量分析及定性分析，综合考评得分为98分，评价等次确定为优</w:t>
            </w:r>
            <w:r>
              <w:rPr>
                <w:rFonts w:hint="eastAsia" w:ascii="仿宋_GB2312" w:hAnsi="仿宋_GB2312" w:eastAsia="仿宋_GB2312" w:cs="仿宋_GB2312"/>
                <w:bCs/>
                <w:sz w:val="28"/>
                <w:szCs w:val="28"/>
                <w:lang w:eastAsia="zh-CN"/>
              </w:rPr>
              <w:t>。</w:t>
            </w:r>
          </w:p>
          <w:p>
            <w:pPr>
              <w:tabs>
                <w:tab w:val="left" w:pos="3810"/>
              </w:tabs>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五、存在的主要问题</w:t>
            </w:r>
            <w:r>
              <w:rPr>
                <w:rFonts w:ascii="黑体" w:hAnsi="黑体" w:eastAsia="黑体" w:cs="黑体"/>
                <w:bCs/>
                <w:sz w:val="28"/>
                <w:szCs w:val="28"/>
              </w:rPr>
              <w:tab/>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对项目资金开支分类需要进一步科学化、规范化，费用开支和绩效产出测得结果不够准确，需要进一步量化。预算管理、绩效管理、资金管理需要加强。</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六、改进措施和有关建议</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要从预算项目入手，以往预算不够科学，是根据文件依据来预算，与实际工作有差别，希望财政部门设计有效预算方法。</w:t>
            </w:r>
          </w:p>
          <w:p>
            <w:pPr>
              <w:spacing w:line="560" w:lineRule="exact"/>
              <w:ind w:firstLine="560" w:firstLineChars="200"/>
              <w:rPr>
                <w:rFonts w:hint="eastAsia" w:ascii="仿宋_GB2312" w:hAnsi="仿宋_GB2312" w:eastAsia="仿宋_GB2312" w:cs="仿宋_GB2312"/>
                <w:bCs/>
                <w:sz w:val="28"/>
                <w:szCs w:val="28"/>
              </w:rPr>
            </w:pPr>
          </w:p>
          <w:p>
            <w:pPr>
              <w:spacing w:line="560" w:lineRule="exact"/>
              <w:ind w:firstLine="560" w:firstLineChars="200"/>
              <w:rPr>
                <w:rFonts w:hint="eastAsia" w:ascii="仿宋_GB2312" w:hAnsi="仿宋_GB2312" w:eastAsia="仿宋_GB2312" w:cs="仿宋_GB2312"/>
                <w:bCs/>
                <w:sz w:val="28"/>
                <w:szCs w:val="28"/>
              </w:rPr>
            </w:pPr>
          </w:p>
          <w:p>
            <w:pPr>
              <w:spacing w:line="560" w:lineRule="exact"/>
              <w:ind w:firstLine="560" w:firstLineChars="200"/>
              <w:rPr>
                <w:rFonts w:hint="eastAsia" w:ascii="仿宋_GB2312" w:hAnsi="仿宋_GB2312" w:eastAsia="仿宋_GB2312" w:cs="仿宋_GB2312"/>
                <w:bCs/>
                <w:sz w:val="28"/>
                <w:szCs w:val="28"/>
              </w:rPr>
            </w:pPr>
          </w:p>
          <w:p>
            <w:pPr>
              <w:spacing w:line="560" w:lineRule="exact"/>
              <w:ind w:firstLine="560" w:firstLineChars="200"/>
              <w:rPr>
                <w:rFonts w:hint="eastAsia" w:ascii="仿宋_GB2312" w:hAnsi="仿宋_GB2312" w:eastAsia="仿宋_GB2312" w:cs="仿宋_GB2312"/>
                <w:bCs/>
                <w:sz w:val="28"/>
                <w:szCs w:val="28"/>
              </w:rPr>
            </w:pPr>
          </w:p>
          <w:p>
            <w:pPr>
              <w:spacing w:line="560" w:lineRule="exact"/>
              <w:ind w:firstLine="560" w:firstLineChars="200"/>
              <w:jc w:val="righ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eastAsia="zh-CN"/>
              </w:rPr>
              <w:t>华容县团洲中学</w:t>
            </w:r>
          </w:p>
          <w:p>
            <w:pPr>
              <w:spacing w:line="560" w:lineRule="exact"/>
              <w:ind w:firstLine="560" w:firstLineChars="200"/>
              <w:jc w:val="right"/>
              <w:rPr>
                <w:rFonts w:eastAsia="楷体_GB2312"/>
                <w:bCs/>
                <w:sz w:val="28"/>
                <w:szCs w:val="28"/>
              </w:rPr>
            </w:pPr>
            <w:r>
              <w:rPr>
                <w:rFonts w:hint="eastAsia" w:ascii="仿宋_GB2312" w:hAnsi="仿宋_GB2312" w:eastAsia="仿宋_GB2312" w:cs="仿宋_GB2312"/>
                <w:bCs/>
                <w:sz w:val="28"/>
                <w:szCs w:val="28"/>
              </w:rPr>
              <w:t>2022年</w:t>
            </w:r>
            <w:r>
              <w:rPr>
                <w:rFonts w:hint="eastAsia" w:ascii="仿宋_GB2312" w:hAnsi="仿宋_GB2312" w:eastAsia="仿宋_GB2312" w:cs="仿宋_GB2312"/>
                <w:bCs/>
                <w:sz w:val="28"/>
                <w:szCs w:val="28"/>
                <w:lang w:val="en-US" w:eastAsia="zh-CN"/>
              </w:rPr>
              <w:t>10</w:t>
            </w:r>
            <w:r>
              <w:rPr>
                <w:rFonts w:hint="eastAsia"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8</w:t>
            </w:r>
            <w:r>
              <w:rPr>
                <w:rFonts w:hint="eastAsia" w:ascii="仿宋_GB2312" w:hAnsi="仿宋_GB2312" w:eastAsia="仿宋_GB2312" w:cs="仿宋_GB2312"/>
                <w:bCs/>
                <w:sz w:val="28"/>
                <w:szCs w:val="28"/>
              </w:rPr>
              <w:t>日</w:t>
            </w:r>
          </w:p>
        </w:tc>
      </w:tr>
    </w:tbl>
    <w:p>
      <w:pPr>
        <w:spacing w:line="348" w:lineRule="auto"/>
        <w:rPr>
          <w:rFonts w:eastAsia="楷体_GB2312"/>
          <w:bCs/>
          <w:sz w:val="28"/>
          <w:szCs w:val="28"/>
        </w:rPr>
      </w:pPr>
    </w:p>
    <w:p>
      <w:pPr>
        <w:rPr>
          <w:rFonts w:ascii="黑体" w:hAnsi="黑体" w:eastAsia="黑体"/>
          <w:sz w:val="32"/>
          <w:szCs w:val="32"/>
        </w:rPr>
      </w:pPr>
      <w:r>
        <w:rPr>
          <w:rFonts w:eastAsia="楷体_GB2312"/>
          <w:bCs/>
          <w:sz w:val="28"/>
          <w:szCs w:val="28"/>
        </w:rPr>
        <w:br w:type="page"/>
      </w:r>
      <w:r>
        <w:rPr>
          <w:rFonts w:hint="eastAsia" w:ascii="黑体" w:hAnsi="黑体" w:eastAsia="黑体"/>
          <w:sz w:val="32"/>
          <w:szCs w:val="32"/>
        </w:rPr>
        <w:t>附件3-1</w:t>
      </w:r>
    </w:p>
    <w:p>
      <w:pPr>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w:t>
      </w:r>
    </w:p>
    <w:tbl>
      <w:tblPr>
        <w:tblStyle w:val="6"/>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24" w:hRule="atLeast"/>
          <w:jc w:val="center"/>
        </w:trPr>
        <w:tc>
          <w:tcPr>
            <w:tcW w:w="976"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1080"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没有按计划进行</w:t>
            </w:r>
            <w:r>
              <w:rPr>
                <w:rFonts w:hint="eastAsia" w:ascii="仿宋_GB2312" w:hAnsi="宋体" w:eastAsia="仿宋_GB2312" w:cs="宋体"/>
                <w:color w:val="000000"/>
                <w:kern w:val="0"/>
                <w:sz w:val="18"/>
                <w:szCs w:val="18"/>
                <w:lang w:val="en-US" w:eastAsia="zh-CN"/>
              </w:rPr>
              <w:t>支付</w:t>
            </w: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20" w:hRule="atLeast"/>
          <w:jc w:val="center"/>
        </w:trPr>
        <w:tc>
          <w:tcPr>
            <w:tcW w:w="976"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080"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170" w:hRule="atLeast"/>
          <w:jc w:val="center"/>
        </w:trPr>
        <w:tc>
          <w:tcPr>
            <w:tcW w:w="976"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②相关管理制度合法、合规、完整，1分；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②资金拨付有完整的审批程序和手续；</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③项目支出按规定经过评估论证；</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④支出符合部门预算批复的用途；</w:t>
            </w:r>
          </w:p>
          <w:p>
            <w:pPr>
              <w:widowControl/>
              <w:spacing w:line="240" w:lineRule="exact"/>
              <w:jc w:val="left"/>
              <w:rPr>
                <w:rFonts w:ascii="仿宋_GB2312" w:hAnsi="宋体" w:eastAsia="仿宋_GB2312" w:cs="宋体"/>
                <w:spacing w:val="-6"/>
                <w:kern w:val="0"/>
                <w:sz w:val="18"/>
                <w:szCs w:val="18"/>
              </w:rPr>
            </w:pPr>
            <w:r>
              <w:rPr>
                <w:rFonts w:hint="eastAsia" w:ascii="仿宋_GB2312" w:hAnsi="宋体" w:eastAsia="仿宋_GB2312" w:cs="宋体"/>
                <w:spacing w:val="-6"/>
                <w:kern w:val="0"/>
                <w:sz w:val="18"/>
                <w:szCs w:val="18"/>
              </w:rPr>
              <w:t>⑤资金使用无截留、挤占、挪用、虚列支出等情况。</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24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②按规定时限公开预决算信息，0.5分；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③基础数据信息和会计信息资料真实，0.5分；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④基础数据信息和会计信息资料完整，0.5分；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6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公务卡刷卡率达70％以上的，得3分。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01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p>
        </w:tc>
      </w:tr>
    </w:tbl>
    <w:p/>
    <w:tbl>
      <w:tblPr>
        <w:tblStyle w:val="6"/>
        <w:tblW w:w="9937" w:type="dxa"/>
        <w:jc w:val="center"/>
        <w:tblLayout w:type="fixed"/>
        <w:tblCellMar>
          <w:top w:w="0" w:type="dxa"/>
          <w:left w:w="108" w:type="dxa"/>
          <w:bottom w:w="0" w:type="dxa"/>
          <w:right w:w="108" w:type="dxa"/>
        </w:tblCellMar>
      </w:tblPr>
      <w:tblGrid>
        <w:gridCol w:w="980"/>
        <w:gridCol w:w="943"/>
        <w:gridCol w:w="1395"/>
        <w:gridCol w:w="4190"/>
        <w:gridCol w:w="621"/>
        <w:gridCol w:w="723"/>
        <w:gridCol w:w="1085"/>
      </w:tblGrid>
      <w:tr>
        <w:tblPrEx>
          <w:tblCellMar>
            <w:top w:w="0" w:type="dxa"/>
            <w:left w:w="108" w:type="dxa"/>
            <w:bottom w:w="0" w:type="dxa"/>
            <w:right w:w="108" w:type="dxa"/>
          </w:tblCellMar>
        </w:tblPrEx>
        <w:trPr>
          <w:trHeight w:val="678" w:hRule="atLeast"/>
          <w:jc w:val="center"/>
        </w:trPr>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9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9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2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3" w:type="dxa"/>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5" w:type="dxa"/>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216" w:hRule="atLeast"/>
          <w:jc w:val="center"/>
        </w:trPr>
        <w:tc>
          <w:tcPr>
            <w:tcW w:w="9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4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9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安全性</w:t>
            </w:r>
          </w:p>
        </w:tc>
        <w:tc>
          <w:tcPr>
            <w:tcW w:w="419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②资产配置合理；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③资产处置规范； </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④资产账务管理合规，帐实相符；</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⑤资产有偿使用及处置收入及时足额上缴；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以上情况每出现一例不符合有关要求的扣1分，扣完为止。</w:t>
            </w:r>
          </w:p>
        </w:tc>
        <w:tc>
          <w:tcPr>
            <w:tcW w:w="62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5" w:type="dxa"/>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资产处置不及时</w:t>
            </w:r>
          </w:p>
        </w:tc>
      </w:tr>
      <w:tr>
        <w:tblPrEx>
          <w:tblCellMar>
            <w:top w:w="0" w:type="dxa"/>
            <w:left w:w="108" w:type="dxa"/>
            <w:bottom w:w="0" w:type="dxa"/>
            <w:right w:w="108" w:type="dxa"/>
          </w:tblCellMar>
        </w:tblPrEx>
        <w:trPr>
          <w:trHeight w:val="85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利用率</w:t>
            </w:r>
          </w:p>
        </w:tc>
        <w:tc>
          <w:tcPr>
            <w:tcW w:w="4190"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2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3"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5"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98" w:hRule="atLeast"/>
          <w:jc w:val="center"/>
        </w:trPr>
        <w:tc>
          <w:tcPr>
            <w:tcW w:w="980"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43"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（25分）</w:t>
            </w:r>
          </w:p>
        </w:tc>
        <w:tc>
          <w:tcPr>
            <w:tcW w:w="139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实施“三高四新”战略目标任务完成情况</w:t>
            </w:r>
          </w:p>
        </w:tc>
        <w:tc>
          <w:tcPr>
            <w:tcW w:w="4190"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围绕部门和单位职责、年度重点工作任务，衡量评价部门和单位整体及核心业务实施效果</w:t>
            </w:r>
          </w:p>
          <w:p>
            <w:pPr>
              <w:widowControl/>
              <w:spacing w:line="240" w:lineRule="exact"/>
              <w:jc w:val="left"/>
              <w:rPr>
                <w:rFonts w:ascii="仿宋_GB2312" w:hAnsi="宋体" w:eastAsia="仿宋_GB2312" w:cs="宋体"/>
                <w:kern w:val="0"/>
                <w:sz w:val="18"/>
                <w:szCs w:val="18"/>
              </w:rPr>
            </w:pP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p>
        </w:tc>
        <w:tc>
          <w:tcPr>
            <w:tcW w:w="62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723"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1085"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013"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9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56"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9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98"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9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88"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9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5"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69" w:hRule="atLeast"/>
          <w:jc w:val="center"/>
        </w:trPr>
        <w:tc>
          <w:tcPr>
            <w:tcW w:w="9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94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13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9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2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3"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6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9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621"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723"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6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9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621"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723"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051" w:hRule="atLeast"/>
          <w:jc w:val="center"/>
        </w:trPr>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90"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21"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56" w:hRule="atLeast"/>
          <w:jc w:val="center"/>
        </w:trPr>
        <w:tc>
          <w:tcPr>
            <w:tcW w:w="980"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43"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1395"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98</w:t>
            </w:r>
          </w:p>
        </w:tc>
        <w:tc>
          <w:tcPr>
            <w:tcW w:w="4190"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b/>
                <w:bCs/>
                <w:kern w:val="0"/>
                <w:sz w:val="18"/>
                <w:szCs w:val="18"/>
              </w:rPr>
            </w:pPr>
          </w:p>
        </w:tc>
        <w:tc>
          <w:tcPr>
            <w:tcW w:w="621"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3"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98</w:t>
            </w:r>
          </w:p>
        </w:tc>
        <w:tc>
          <w:tcPr>
            <w:tcW w:w="1085"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b/>
                <w:bCs/>
                <w:kern w:val="0"/>
                <w:sz w:val="18"/>
                <w:szCs w:val="18"/>
              </w:rPr>
            </w:pPr>
          </w:p>
        </w:tc>
      </w:tr>
    </w:tbl>
    <w:p>
      <w:pPr>
        <w:adjustRightInd w:val="0"/>
        <w:snapToGrid w:val="0"/>
        <w:spacing w:beforeLines="50"/>
        <w:contextualSpacing/>
        <w:rPr>
          <w:rFonts w:ascii="仿宋_GB2312" w:hAnsi="宋体" w:eastAsia="仿宋_GB2312" w:cs="宋体"/>
          <w:kern w:val="0"/>
          <w:szCs w:val="21"/>
        </w:rPr>
      </w:pPr>
      <w:r>
        <w:rPr>
          <w:rFonts w:hint="eastAsia" w:ascii="仿宋_GB2312" w:hAnsi="宋体" w:eastAsia="仿宋_GB2312" w:cs="宋体"/>
          <w:kern w:val="0"/>
          <w:szCs w:val="21"/>
        </w:rPr>
        <w:t>备注：部门（单位）可根据本部门实际情况，对评价指标体系</w:t>
      </w:r>
      <w:r>
        <w:rPr>
          <w:rFonts w:hint="eastAsia" w:ascii="仿宋_GB2312" w:eastAsia="仿宋_GB2312"/>
        </w:rPr>
        <w:t>进一步完善、量化、细化个性指标，形成本部门的指标体系。</w:t>
      </w:r>
    </w:p>
    <w:p>
      <w:pPr>
        <w:adjustRightInd w:val="0"/>
        <w:snapToGrid w:val="0"/>
        <w:spacing w:beforeLines="50"/>
        <w:ind w:firstLine="960" w:firstLineChars="300"/>
        <w:contextualSpacing/>
        <w:rPr>
          <w:rFonts w:eastAsia="仿宋_GB2312"/>
          <w:sz w:val="32"/>
        </w:rPr>
      </w:pPr>
    </w:p>
    <w:sectPr>
      <w:footerReference r:id="rId5" w:type="default"/>
      <w:footerReference r:id="rId6" w:type="even"/>
      <w:pgSz w:w="11906" w:h="16838"/>
      <w:pgMar w:top="15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sz w:val="24"/>
        <w:szCs w:val="24"/>
      </w:rPr>
    </w:pPr>
    <w:r>
      <w:rPr>
        <w:rStyle w:val="8"/>
        <w:rFonts w:hint="eastAsia"/>
        <w:sz w:val="24"/>
        <w:szCs w:val="24"/>
      </w:rPr>
      <w:t xml:space="preserve">— </w:t>
    </w:r>
    <w:r>
      <w:rPr>
        <w:sz w:val="24"/>
        <w:szCs w:val="24"/>
      </w:rPr>
      <w:fldChar w:fldCharType="begin"/>
    </w:r>
    <w:r>
      <w:rPr>
        <w:rStyle w:val="8"/>
        <w:sz w:val="24"/>
        <w:szCs w:val="24"/>
      </w:rPr>
      <w:instrText xml:space="preserve">PAGE  </w:instrText>
    </w:r>
    <w:r>
      <w:rPr>
        <w:sz w:val="24"/>
        <w:szCs w:val="24"/>
      </w:rPr>
      <w:fldChar w:fldCharType="separate"/>
    </w:r>
    <w:r>
      <w:rPr>
        <w:rStyle w:val="8"/>
        <w:sz w:val="24"/>
        <w:szCs w:val="24"/>
      </w:rPr>
      <w:t>1</w:t>
    </w:r>
    <w:r>
      <w:rPr>
        <w:sz w:val="24"/>
        <w:szCs w:val="24"/>
      </w:rPr>
      <w:fldChar w:fldCharType="end"/>
    </w:r>
    <w:r>
      <w:rPr>
        <w:rStyle w:val="8"/>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sz w:val="24"/>
        <w:szCs w:val="24"/>
      </w:rPr>
    </w:pPr>
    <w:r>
      <w:rPr>
        <w:rStyle w:val="8"/>
        <w:rFonts w:hint="eastAsia"/>
        <w:sz w:val="24"/>
        <w:szCs w:val="24"/>
      </w:rPr>
      <w:t xml:space="preserve">— </w:t>
    </w:r>
    <w:r>
      <w:rPr>
        <w:sz w:val="24"/>
        <w:szCs w:val="24"/>
      </w:rPr>
      <w:fldChar w:fldCharType="begin"/>
    </w:r>
    <w:r>
      <w:rPr>
        <w:rStyle w:val="8"/>
        <w:sz w:val="24"/>
        <w:szCs w:val="24"/>
      </w:rPr>
      <w:instrText xml:space="preserve">PAGE  </w:instrText>
    </w:r>
    <w:r>
      <w:rPr>
        <w:sz w:val="24"/>
        <w:szCs w:val="24"/>
      </w:rPr>
      <w:fldChar w:fldCharType="separate"/>
    </w:r>
    <w:r>
      <w:rPr>
        <w:rStyle w:val="8"/>
        <w:sz w:val="24"/>
        <w:szCs w:val="24"/>
      </w:rPr>
      <w:t>26</w:t>
    </w:r>
    <w:r>
      <w:rPr>
        <w:sz w:val="24"/>
        <w:szCs w:val="24"/>
      </w:rPr>
      <w:fldChar w:fldCharType="end"/>
    </w:r>
    <w:r>
      <w:rPr>
        <w:rStyle w:val="8"/>
        <w:rFonts w:hint="eastAsia"/>
        <w:sz w:val="24"/>
        <w:szCs w:val="24"/>
      </w:rPr>
      <w:t xml:space="preserve"> —</w: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35964"/>
    <w:multiLevelType w:val="singleLevel"/>
    <w:tmpl w:val="5493596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Y3OThhNTgwMTJjZWIxODU4ZWI5Y2EwOWQ3ZDU2ZmEifQ=="/>
  </w:docVars>
  <w:rsids>
    <w:rsidRoot w:val="2CE55C20"/>
    <w:rsid w:val="000846BF"/>
    <w:rsid w:val="000F56A2"/>
    <w:rsid w:val="001130D1"/>
    <w:rsid w:val="00152F58"/>
    <w:rsid w:val="002307CD"/>
    <w:rsid w:val="003253B0"/>
    <w:rsid w:val="003B117D"/>
    <w:rsid w:val="003D2DAF"/>
    <w:rsid w:val="004D5B8F"/>
    <w:rsid w:val="00554E81"/>
    <w:rsid w:val="005C578D"/>
    <w:rsid w:val="005F63AE"/>
    <w:rsid w:val="00674982"/>
    <w:rsid w:val="00752981"/>
    <w:rsid w:val="00760F56"/>
    <w:rsid w:val="0077289F"/>
    <w:rsid w:val="007923F8"/>
    <w:rsid w:val="007B2063"/>
    <w:rsid w:val="00834A05"/>
    <w:rsid w:val="0088008F"/>
    <w:rsid w:val="008E5330"/>
    <w:rsid w:val="00961F6C"/>
    <w:rsid w:val="00A4796B"/>
    <w:rsid w:val="00B942D0"/>
    <w:rsid w:val="00C134D9"/>
    <w:rsid w:val="00C95F3A"/>
    <w:rsid w:val="00DC0B75"/>
    <w:rsid w:val="00E22C34"/>
    <w:rsid w:val="00F763A5"/>
    <w:rsid w:val="00F95470"/>
    <w:rsid w:val="00FC66FF"/>
    <w:rsid w:val="00FF7317"/>
    <w:rsid w:val="02951B05"/>
    <w:rsid w:val="06710E08"/>
    <w:rsid w:val="06902037"/>
    <w:rsid w:val="06C15190"/>
    <w:rsid w:val="083749E7"/>
    <w:rsid w:val="09F764BA"/>
    <w:rsid w:val="0CB679B8"/>
    <w:rsid w:val="0D5C7CE3"/>
    <w:rsid w:val="0DE528CD"/>
    <w:rsid w:val="13107AD2"/>
    <w:rsid w:val="1336279F"/>
    <w:rsid w:val="14B46A8F"/>
    <w:rsid w:val="16151959"/>
    <w:rsid w:val="18725427"/>
    <w:rsid w:val="254E2FC7"/>
    <w:rsid w:val="257B7155"/>
    <w:rsid w:val="25B607B7"/>
    <w:rsid w:val="263C173A"/>
    <w:rsid w:val="289D055E"/>
    <w:rsid w:val="2AD530BE"/>
    <w:rsid w:val="2AE535D8"/>
    <w:rsid w:val="2C7300A6"/>
    <w:rsid w:val="2C9F197B"/>
    <w:rsid w:val="2CA33441"/>
    <w:rsid w:val="2CE55C20"/>
    <w:rsid w:val="2F287302"/>
    <w:rsid w:val="2F61560E"/>
    <w:rsid w:val="30426D13"/>
    <w:rsid w:val="31EC7616"/>
    <w:rsid w:val="3303324A"/>
    <w:rsid w:val="346445BC"/>
    <w:rsid w:val="388D2CE2"/>
    <w:rsid w:val="3A43255A"/>
    <w:rsid w:val="3BED2D63"/>
    <w:rsid w:val="3D6201A1"/>
    <w:rsid w:val="3EC46785"/>
    <w:rsid w:val="3F8A6044"/>
    <w:rsid w:val="43A702D9"/>
    <w:rsid w:val="44592EA4"/>
    <w:rsid w:val="45FB5A1D"/>
    <w:rsid w:val="477245B4"/>
    <w:rsid w:val="49617FA5"/>
    <w:rsid w:val="49C36269"/>
    <w:rsid w:val="4B5C603D"/>
    <w:rsid w:val="4D171D42"/>
    <w:rsid w:val="4D384845"/>
    <w:rsid w:val="4E4F0BB0"/>
    <w:rsid w:val="54571542"/>
    <w:rsid w:val="574333FB"/>
    <w:rsid w:val="5BE95901"/>
    <w:rsid w:val="5BF10A58"/>
    <w:rsid w:val="5F2F71B3"/>
    <w:rsid w:val="5F607AD9"/>
    <w:rsid w:val="64A82DBC"/>
    <w:rsid w:val="6A0A15CD"/>
    <w:rsid w:val="6D452F22"/>
    <w:rsid w:val="6DF352BD"/>
    <w:rsid w:val="6F2629DE"/>
    <w:rsid w:val="705E3E6D"/>
    <w:rsid w:val="71C1048A"/>
    <w:rsid w:val="7390077F"/>
    <w:rsid w:val="7396188C"/>
    <w:rsid w:val="73F35F5B"/>
    <w:rsid w:val="741048D5"/>
    <w:rsid w:val="75041948"/>
    <w:rsid w:val="778D7AB3"/>
    <w:rsid w:val="782B3C13"/>
    <w:rsid w:val="79C04582"/>
    <w:rsid w:val="7D1F0DA2"/>
    <w:rsid w:val="7FE622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0"/>
    <w:pPr>
      <w:ind w:firstLine="588" w:firstLineChars="200"/>
    </w:pPr>
    <w:rPr>
      <w:rFonts w:ascii="仿宋_GB2312" w:hAnsi="Calibri" w:eastAsia="仿宋_GB2312"/>
      <w:sz w:val="32"/>
    </w:r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qFormat/>
    <w:uiPriority w:val="0"/>
  </w:style>
  <w:style w:type="character" w:customStyle="1" w:styleId="9">
    <w:name w:val="标题 3 Char Char"/>
    <w:qFormat/>
    <w:uiPriority w:val="0"/>
    <w:rPr>
      <w:rFonts w:eastAsia="楷体_GB2312"/>
      <w:b/>
      <w:kern w:val="2"/>
      <w:sz w:val="32"/>
      <w:szCs w:val="24"/>
      <w:lang w:val="en-US" w:eastAsia="zh-CN" w:bidi="ar-SA"/>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6761</Words>
  <Characters>7119</Characters>
  <Lines>126</Lines>
  <Paragraphs>35</Paragraphs>
  <TotalTime>0</TotalTime>
  <ScaleCrop>false</ScaleCrop>
  <LinksUpToDate>false</LinksUpToDate>
  <CharactersWithSpaces>7608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2019-05-08T01:00:00Z</dcterms:created>
  <dc:creator>Administrator</dc:creator>
  <cp:lastModifiedBy>Administrator</cp:lastModifiedBy>
  <cp:lastPrinted>2021-07-12T08:27:00Z</cp:lastPrinted>
  <dcterms:modified xsi:type="dcterms:W3CDTF">2022-10-11T06:42:55Z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377A56B318954603893BD5B869B7BB42</vt:lpwstr>
  </property>
</Properties>
</file>