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中共华容县委宣传部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116001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报告日期：2022年6月10日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吴丽媛</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sz w:val="24"/>
              </w:rPr>
              <w:t>13786037213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23</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color w:val="000000"/>
                <w:sz w:val="17"/>
              </w:rPr>
            </w:pPr>
            <w:r>
              <w:rPr>
                <w:rFonts w:hint="eastAsia"/>
                <w:color w:val="000000"/>
                <w:sz w:val="17"/>
              </w:rPr>
              <w:t>1、负责指导全县理论学习、理论研究、理论宣传工作。负责全县党员理论教育、路线方针政策教育、形式教育的计划与安排。负责编写基层党员教材和党员先进典型的宣传。</w:t>
            </w:r>
          </w:p>
          <w:p>
            <w:pPr>
              <w:autoSpaceDN w:val="0"/>
              <w:spacing w:line="320" w:lineRule="exact"/>
              <w:jc w:val="left"/>
              <w:textAlignment w:val="center"/>
              <w:rPr>
                <w:color w:val="000000"/>
                <w:sz w:val="17"/>
              </w:rPr>
            </w:pPr>
            <w:r>
              <w:rPr>
                <w:rFonts w:hint="eastAsia"/>
                <w:color w:val="000000"/>
                <w:sz w:val="17"/>
              </w:rPr>
              <w:t>2、负责引导社会舆论，指导、协调新闻出版等部门的工作，负责全县对外宣传工作。对县广播电视台的工作实施政治方向和方针政策方面的指导。</w:t>
            </w:r>
          </w:p>
          <w:p>
            <w:pPr>
              <w:autoSpaceDN w:val="0"/>
              <w:spacing w:line="320" w:lineRule="exact"/>
              <w:jc w:val="left"/>
              <w:textAlignment w:val="center"/>
              <w:rPr>
                <w:color w:val="000000"/>
                <w:sz w:val="17"/>
              </w:rPr>
            </w:pPr>
            <w:r>
              <w:rPr>
                <w:rFonts w:hint="eastAsia"/>
                <w:color w:val="000000"/>
                <w:sz w:val="17"/>
              </w:rPr>
              <w:t>3、负责从宏观上指导精神产品的生产和文化市场的管理。对县文旅广电局、县广播电视台、县文联、县新华书店和各协会的工作实施政治方向和方针政策的指导。</w:t>
            </w:r>
          </w:p>
          <w:p>
            <w:pPr>
              <w:autoSpaceDN w:val="0"/>
              <w:spacing w:line="320" w:lineRule="exact"/>
              <w:jc w:val="left"/>
              <w:textAlignment w:val="center"/>
              <w:rPr>
                <w:color w:val="000000"/>
                <w:sz w:val="17"/>
              </w:rPr>
            </w:pPr>
            <w:r>
              <w:rPr>
                <w:rFonts w:hint="eastAsia"/>
                <w:color w:val="000000"/>
                <w:sz w:val="17"/>
              </w:rPr>
              <w:t>4、负责规划、部署全县性的思想政治工作任务；了解和收集全县各阶层的思想动态，会同有关部门研究和改进思想教育工作。</w:t>
            </w:r>
          </w:p>
          <w:p>
            <w:pPr>
              <w:autoSpaceDN w:val="0"/>
              <w:spacing w:line="320" w:lineRule="exact"/>
              <w:jc w:val="left"/>
              <w:textAlignment w:val="center"/>
              <w:rPr>
                <w:color w:val="000000"/>
                <w:sz w:val="17"/>
              </w:rPr>
            </w:pPr>
            <w:r>
              <w:rPr>
                <w:rFonts w:hint="eastAsia"/>
                <w:color w:val="000000"/>
                <w:sz w:val="17"/>
              </w:rPr>
              <w:t>5、负责规划、部署群众性的精神文明建设活动，负责组织开展各类文明创建活动。</w:t>
            </w:r>
          </w:p>
          <w:p>
            <w:pPr>
              <w:autoSpaceDN w:val="0"/>
              <w:spacing w:line="320" w:lineRule="exact"/>
              <w:jc w:val="left"/>
              <w:textAlignment w:val="center"/>
              <w:rPr>
                <w:color w:val="000000"/>
                <w:sz w:val="17"/>
              </w:rPr>
            </w:pPr>
            <w:r>
              <w:rPr>
                <w:rFonts w:hint="eastAsia"/>
                <w:color w:val="000000"/>
                <w:sz w:val="17"/>
              </w:rPr>
              <w:t>6、受县委委托，协同县组织部管理宣传系统的科级干部，指导文化、文联、广电等部门领导班子建设；制定培训规划并组织对乡（镇）党委宣传委员和县直各部门领导骨干的培训，负责全县新闻专业职称评审工作和全县思想政治工作专业人员职称评审工作。</w:t>
            </w:r>
          </w:p>
          <w:p>
            <w:pPr>
              <w:autoSpaceDN w:val="0"/>
              <w:spacing w:line="320" w:lineRule="exact"/>
              <w:jc w:val="left"/>
              <w:textAlignment w:val="center"/>
              <w:rPr>
                <w:color w:val="000000"/>
                <w:sz w:val="17"/>
              </w:rPr>
            </w:pPr>
            <w:r>
              <w:rPr>
                <w:rFonts w:hint="eastAsia"/>
                <w:color w:val="000000"/>
                <w:sz w:val="17"/>
              </w:rPr>
              <w:t>7、组织贯彻执行宣传思想文化事业发展的指导方针，指导宣传文化部门制定有关政策。</w:t>
            </w:r>
          </w:p>
          <w:p>
            <w:pPr>
              <w:autoSpaceDN w:val="0"/>
              <w:spacing w:line="320" w:lineRule="exact"/>
              <w:jc w:val="left"/>
              <w:textAlignment w:val="center"/>
              <w:rPr>
                <w:color w:val="000000"/>
                <w:sz w:val="17"/>
              </w:rPr>
            </w:pPr>
            <w:r>
              <w:rPr>
                <w:rFonts w:hint="eastAsia"/>
                <w:color w:val="000000"/>
                <w:sz w:val="17"/>
              </w:rPr>
              <w:t>8、归口管理、统筹协调全县互联网上的新闻宣传工作。</w:t>
            </w:r>
          </w:p>
          <w:p>
            <w:pPr>
              <w:autoSpaceDN w:val="0"/>
              <w:spacing w:line="320" w:lineRule="exact"/>
              <w:jc w:val="left"/>
              <w:textAlignment w:val="center"/>
              <w:rPr>
                <w:rFonts w:ascii="仿宋_GB2312" w:hAnsi="仿宋_GB2312" w:eastAsia="仿宋_GB2312" w:cs="仿宋_GB2312"/>
                <w:color w:val="000000"/>
                <w:sz w:val="24"/>
              </w:rPr>
            </w:pPr>
            <w:r>
              <w:rPr>
                <w:rFonts w:hint="eastAsia"/>
                <w:color w:val="000000"/>
                <w:sz w:val="17"/>
              </w:rPr>
              <w:t>9、承办县委交办的其他事项。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color w:val="000000"/>
                <w:sz w:val="17"/>
              </w:rPr>
            </w:pPr>
            <w:r>
              <w:rPr>
                <w:rFonts w:hint="eastAsia"/>
                <w:color w:val="000000"/>
                <w:sz w:val="17"/>
              </w:rPr>
              <w:t>任务</w:t>
            </w:r>
            <w:r>
              <w:rPr>
                <w:color w:val="000000"/>
                <w:sz w:val="17"/>
              </w:rPr>
              <w:t>1</w:t>
            </w:r>
            <w:r>
              <w:rPr>
                <w:rFonts w:hint="eastAsia"/>
                <w:color w:val="000000"/>
                <w:sz w:val="17"/>
              </w:rPr>
              <w:t>：持续深化党的理论武装，全面压实意识形态工作责任。</w:t>
            </w:r>
          </w:p>
          <w:p>
            <w:pPr>
              <w:autoSpaceDN w:val="0"/>
              <w:spacing w:line="320" w:lineRule="exact"/>
              <w:jc w:val="left"/>
              <w:textAlignment w:val="center"/>
              <w:rPr>
                <w:color w:val="000000"/>
                <w:sz w:val="17"/>
              </w:rPr>
            </w:pPr>
            <w:r>
              <w:rPr>
                <w:rFonts w:hint="eastAsia"/>
                <w:color w:val="000000"/>
                <w:sz w:val="17"/>
              </w:rPr>
              <w:t>任务</w:t>
            </w:r>
            <w:r>
              <w:rPr>
                <w:color w:val="000000"/>
                <w:sz w:val="17"/>
              </w:rPr>
              <w:t>2</w:t>
            </w:r>
            <w:r>
              <w:rPr>
                <w:rFonts w:hint="eastAsia"/>
                <w:color w:val="000000"/>
                <w:sz w:val="17"/>
              </w:rPr>
              <w:t>：为抗击疫情和抗洪做强内宣、做活外宣、做优网宣。加大网络信息宣传管理力度，营造清朗网络空间。</w:t>
            </w:r>
          </w:p>
          <w:p>
            <w:pPr>
              <w:autoSpaceDN w:val="0"/>
              <w:spacing w:line="320" w:lineRule="exact"/>
              <w:jc w:val="left"/>
              <w:textAlignment w:val="center"/>
              <w:rPr>
                <w:color w:val="000000"/>
                <w:sz w:val="17"/>
              </w:rPr>
            </w:pPr>
            <w:r>
              <w:rPr>
                <w:rFonts w:hint="eastAsia"/>
                <w:color w:val="000000"/>
                <w:sz w:val="17"/>
              </w:rPr>
              <w:t>任务</w:t>
            </w:r>
            <w:r>
              <w:rPr>
                <w:color w:val="000000"/>
                <w:sz w:val="17"/>
              </w:rPr>
              <w:t>3</w:t>
            </w:r>
            <w:r>
              <w:rPr>
                <w:rFonts w:hint="eastAsia"/>
                <w:color w:val="000000"/>
                <w:sz w:val="17"/>
              </w:rPr>
              <w:t>：加快发展文艺文化事业，满足全县人民精神文化生活需要。</w:t>
            </w:r>
          </w:p>
          <w:p>
            <w:pPr>
              <w:autoSpaceDN w:val="0"/>
              <w:spacing w:line="320" w:lineRule="exact"/>
              <w:jc w:val="left"/>
              <w:textAlignment w:val="center"/>
              <w:rPr>
                <w:color w:val="000000"/>
                <w:sz w:val="17"/>
              </w:rPr>
            </w:pPr>
            <w:r>
              <w:rPr>
                <w:rFonts w:hint="eastAsia"/>
                <w:color w:val="000000"/>
                <w:sz w:val="17"/>
              </w:rPr>
              <w:t>任务</w:t>
            </w:r>
            <w:r>
              <w:rPr>
                <w:color w:val="000000"/>
                <w:sz w:val="17"/>
              </w:rPr>
              <w:t>4</w:t>
            </w:r>
            <w:r>
              <w:rPr>
                <w:rFonts w:hint="eastAsia"/>
                <w:color w:val="000000"/>
                <w:sz w:val="17"/>
              </w:rPr>
              <w:t>：开展全国文明城市创建，推进新时代文明实践中心全国试点县建设、“扫黄打非”、“治陋习、树新风”等工作。</w:t>
            </w:r>
          </w:p>
          <w:p>
            <w:pPr>
              <w:autoSpaceDN w:val="0"/>
              <w:spacing w:line="320" w:lineRule="exact"/>
              <w:jc w:val="left"/>
              <w:textAlignment w:val="center"/>
              <w:rPr>
                <w:rFonts w:ascii="仿宋_GB2312" w:hAnsi="仿宋_GB2312" w:eastAsia="仿宋_GB2312" w:cs="仿宋_GB2312"/>
                <w:color w:val="000000"/>
                <w:sz w:val="24"/>
              </w:rPr>
            </w:pPr>
            <w:r>
              <w:rPr>
                <w:rFonts w:hint="eastAsia"/>
                <w:color w:val="000000"/>
                <w:sz w:val="17"/>
              </w:rPr>
              <w:t>任务</w:t>
            </w:r>
            <w:r>
              <w:rPr>
                <w:color w:val="000000"/>
                <w:sz w:val="17"/>
              </w:rPr>
              <w:t>5</w:t>
            </w:r>
            <w:r>
              <w:rPr>
                <w:rFonts w:hint="eastAsia"/>
                <w:color w:val="000000"/>
                <w:sz w:val="17"/>
              </w:rPr>
              <w:t>：深入推进“两中心一平台”建设，加强宣传队伍建设，加强学习型机关建设，开展主题读书分享、“全民阅读”等活动，打造宣传铁军和网络红军。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698"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color w:val="000000"/>
                <w:sz w:val="17"/>
              </w:rPr>
              <w:t>党的理论武装、意识形态、新闻宣传、网络舆情、文明创建、精神文明建设、新闻出版版权、扫黄打非、文艺文化等各项工作整体推进，均取得明显实效。在2021年度县委县政府年度绩效考评中被评为一类单位。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872.5</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864.5</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872.5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473.2</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244.2</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229</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399.3</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9.2</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9.2</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80.5</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80.5</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color w:val="000000"/>
                <w:sz w:val="17"/>
              </w:rPr>
            </w:pPr>
            <w:r>
              <w:rPr>
                <w:rFonts w:hint="eastAsia"/>
                <w:color w:val="000000"/>
                <w:sz w:val="17"/>
              </w:rPr>
              <w:t>任务</w:t>
            </w:r>
            <w:r>
              <w:rPr>
                <w:color w:val="000000"/>
                <w:sz w:val="17"/>
              </w:rPr>
              <w:t>1</w:t>
            </w:r>
            <w:r>
              <w:rPr>
                <w:rFonts w:hint="eastAsia"/>
                <w:color w:val="000000"/>
                <w:sz w:val="17"/>
              </w:rPr>
              <w:t>：持续深化党的理论武装，全面压实意识形态工作责任。</w:t>
            </w:r>
          </w:p>
          <w:p>
            <w:pPr>
              <w:autoSpaceDN w:val="0"/>
              <w:spacing w:line="320" w:lineRule="exact"/>
              <w:jc w:val="left"/>
              <w:textAlignment w:val="center"/>
              <w:rPr>
                <w:color w:val="000000"/>
                <w:sz w:val="17"/>
              </w:rPr>
            </w:pPr>
            <w:r>
              <w:rPr>
                <w:rFonts w:hint="eastAsia"/>
                <w:color w:val="000000"/>
                <w:sz w:val="17"/>
              </w:rPr>
              <w:t>任务</w:t>
            </w:r>
            <w:r>
              <w:rPr>
                <w:color w:val="000000"/>
                <w:sz w:val="17"/>
              </w:rPr>
              <w:t>2</w:t>
            </w:r>
            <w:r>
              <w:rPr>
                <w:rFonts w:hint="eastAsia"/>
                <w:color w:val="000000"/>
                <w:sz w:val="17"/>
              </w:rPr>
              <w:t>：为抗击疫情和抗洪做强内宣、做活外宣、做优网宣。加大网络信息宣传管理力度，营造清朗网络空间。</w:t>
            </w:r>
          </w:p>
          <w:p>
            <w:pPr>
              <w:autoSpaceDN w:val="0"/>
              <w:spacing w:line="320" w:lineRule="exact"/>
              <w:jc w:val="left"/>
              <w:textAlignment w:val="center"/>
              <w:rPr>
                <w:color w:val="000000"/>
                <w:sz w:val="17"/>
              </w:rPr>
            </w:pPr>
            <w:r>
              <w:rPr>
                <w:rFonts w:hint="eastAsia"/>
                <w:color w:val="000000"/>
                <w:sz w:val="17"/>
              </w:rPr>
              <w:t>任务</w:t>
            </w:r>
            <w:r>
              <w:rPr>
                <w:color w:val="000000"/>
                <w:sz w:val="17"/>
              </w:rPr>
              <w:t>3</w:t>
            </w:r>
            <w:r>
              <w:rPr>
                <w:rFonts w:hint="eastAsia"/>
                <w:color w:val="000000"/>
                <w:sz w:val="17"/>
              </w:rPr>
              <w:t>：加快发展文艺文化事业，满足全县人民精神文化生活需要。</w:t>
            </w:r>
          </w:p>
          <w:p>
            <w:pPr>
              <w:autoSpaceDN w:val="0"/>
              <w:spacing w:line="320" w:lineRule="exact"/>
              <w:jc w:val="left"/>
              <w:textAlignment w:val="center"/>
              <w:rPr>
                <w:color w:val="000000"/>
                <w:sz w:val="17"/>
              </w:rPr>
            </w:pPr>
            <w:r>
              <w:rPr>
                <w:rFonts w:hint="eastAsia"/>
                <w:color w:val="000000"/>
                <w:sz w:val="17"/>
              </w:rPr>
              <w:t>任务</w:t>
            </w:r>
            <w:r>
              <w:rPr>
                <w:color w:val="000000"/>
                <w:sz w:val="17"/>
              </w:rPr>
              <w:t>4</w:t>
            </w:r>
            <w:r>
              <w:rPr>
                <w:rFonts w:hint="eastAsia"/>
                <w:color w:val="000000"/>
                <w:sz w:val="17"/>
              </w:rPr>
              <w:t>：开展全国文明城市创建，推进新时代文明实践中心全国试点县建设、“扫黄打非”、“治陋习、树新风”等工作。</w:t>
            </w:r>
          </w:p>
          <w:p>
            <w:pPr>
              <w:autoSpaceDN w:val="0"/>
              <w:spacing w:line="320" w:lineRule="exact"/>
              <w:jc w:val="left"/>
              <w:textAlignment w:val="center"/>
              <w:rPr>
                <w:rFonts w:ascii="仿宋_GB2312" w:hAnsi="仿宋_GB2312" w:eastAsia="仿宋_GB2312" w:cs="仿宋_GB2312"/>
                <w:color w:val="000000"/>
                <w:sz w:val="24"/>
              </w:rPr>
            </w:pPr>
            <w:r>
              <w:rPr>
                <w:rFonts w:hint="eastAsia"/>
                <w:color w:val="000000"/>
                <w:sz w:val="17"/>
              </w:rPr>
              <w:t>任务</w:t>
            </w:r>
            <w:r>
              <w:rPr>
                <w:color w:val="000000"/>
                <w:sz w:val="17"/>
              </w:rPr>
              <w:t>5</w:t>
            </w:r>
            <w:r>
              <w:rPr>
                <w:rFonts w:hint="eastAsia"/>
                <w:color w:val="000000"/>
                <w:sz w:val="17"/>
              </w:rPr>
              <w:t>：深入推进“两中心一平台”建设，加强宣传队伍建设，加强学习型机关建设，开展主题读书分享、“全民阅读”等活动，打造宣传铁军和网络红军</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color w:val="000000"/>
                <w:sz w:val="17"/>
              </w:rPr>
              <w:t>党的理论武装、意识形态、新闻宣传、网络舆情、文明创建、精神文明建设、新闻出版版权、扫黄打非、文艺文化等各项工作整体推进，均取得明显实效。在2021年度县委县政府年度绩效考评中被评为一类单位。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8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 w:hAnsi="仿宋" w:eastAsia="仿宋" w:cs="仿宋"/>
                <w:color w:val="000000"/>
                <w:szCs w:val="21"/>
              </w:rPr>
            </w:pPr>
            <w:r>
              <w:rPr>
                <w:rFonts w:hint="eastAsia" w:ascii="仿宋_GB2312" w:hAnsi="仿宋_GB2312" w:eastAsia="仿宋_GB2312" w:cs="仿宋_GB2312"/>
                <w:color w:val="000000"/>
                <w:sz w:val="24"/>
              </w:rPr>
              <w:t>指标1：</w:t>
            </w:r>
            <w:r>
              <w:rPr>
                <w:rFonts w:hint="eastAsia"/>
                <w:color w:val="000000"/>
                <w:sz w:val="17"/>
              </w:rPr>
              <w:t>新闻</w:t>
            </w:r>
            <w:r>
              <w:rPr>
                <w:color w:val="000000"/>
                <w:sz w:val="17"/>
              </w:rPr>
              <w:t>上稿发布率</w:t>
            </w:r>
            <w:r>
              <w:rPr>
                <w:rFonts w:hint="eastAsia"/>
                <w:color w:val="000000"/>
                <w:sz w:val="17"/>
              </w:rPr>
              <w:t>；</w:t>
            </w:r>
          </w:p>
          <w:p>
            <w:pPr>
              <w:autoSpaceDN w:val="0"/>
              <w:spacing w:line="320" w:lineRule="exact"/>
              <w:jc w:val="left"/>
              <w:textAlignment w:val="center"/>
              <w:rPr>
                <w:color w:val="000000"/>
                <w:sz w:val="17"/>
              </w:rPr>
            </w:pPr>
            <w:r>
              <w:rPr>
                <w:rFonts w:hint="eastAsia" w:ascii="仿宋_GB2312" w:hAnsi="仿宋_GB2312" w:eastAsia="仿宋_GB2312" w:cs="仿宋_GB2312"/>
                <w:color w:val="000000"/>
                <w:sz w:val="24"/>
              </w:rPr>
              <w:t>指标2：</w:t>
            </w:r>
            <w:r>
              <w:rPr>
                <w:color w:val="000000"/>
                <w:sz w:val="17"/>
              </w:rPr>
              <w:t>完成上级部门及网络宣传工作率</w:t>
            </w:r>
            <w:r>
              <w:rPr>
                <w:rFonts w:hint="eastAsia"/>
                <w:color w:val="000000"/>
                <w:sz w:val="17"/>
              </w:rPr>
              <w:t>；</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w:t>
            </w:r>
            <w:r>
              <w:rPr>
                <w:color w:val="000000"/>
                <w:sz w:val="17"/>
              </w:rPr>
              <w:t>完善文化阵地建设</w:t>
            </w:r>
            <w:r>
              <w:rPr>
                <w:rFonts w:hint="eastAsia"/>
                <w:color w:val="000000"/>
                <w:sz w:val="17"/>
              </w:rPr>
              <w:t>；</w:t>
            </w:r>
          </w:p>
        </w:tc>
        <w:tc>
          <w:tcPr>
            <w:tcW w:w="2684" w:type="dxa"/>
            <w:gridSpan w:val="6"/>
            <w:vAlign w:val="center"/>
          </w:tcPr>
          <w:p>
            <w:pPr>
              <w:autoSpaceDN w:val="0"/>
              <w:spacing w:line="320" w:lineRule="exact"/>
              <w:jc w:val="left"/>
              <w:textAlignment w:val="center"/>
              <w:rPr>
                <w:rFonts w:hint="eastAsia" w:ascii="Times New Roman" w:hAnsi="Times New Roman" w:eastAsia="宋体" w:cs="Times New Roman"/>
                <w:color w:val="000000"/>
                <w:sz w:val="17"/>
                <w:lang w:eastAsia="zh-CN"/>
              </w:rPr>
            </w:pPr>
            <w:r>
              <w:rPr>
                <w:rFonts w:hint="eastAsia" w:ascii="Times New Roman" w:hAnsi="Times New Roman" w:eastAsia="宋体" w:cs="Times New Roman"/>
                <w:color w:val="000000"/>
                <w:sz w:val="17"/>
              </w:rPr>
              <w:t>举办华容党史故事宣讲团专题报告会、党史知识竞赛、“沱江红色故事”微宣讲比赛、“千名书记讲党史”等系列活动，直播及回放逾20万，手机台“热土华容”等专题专栏访问量逾160万，全县各级党组织通过重温入党誓词、讲党课、瞻仰参观革命遗址遗迹和爱国主义教育基地等多种形式庆祝党的生日</w:t>
            </w:r>
            <w:r>
              <w:rPr>
                <w:rFonts w:hint="eastAsia" w:ascii="Times New Roman" w:hAnsi="Times New Roman" w:eastAsia="宋体" w:cs="Times New Roman"/>
                <w:color w:val="000000"/>
                <w:sz w:val="17"/>
                <w:lang w:eastAsia="zh-CN"/>
              </w:rPr>
              <w:t>；自创快闪视频2个在学习强国首页刊播，原创小品《父子》进入全市文艺院团竞演决赛，合唱《大中国》被选为全市优秀作品并在会展中心展播，22件作品入选全市美术书法摄影作品展；全县“我为群众办实事”实践活动共解决群众“急难愁盼”实事近2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0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color w:val="000000"/>
                <w:sz w:val="17"/>
              </w:rPr>
            </w:pPr>
            <w:r>
              <w:rPr>
                <w:rFonts w:hint="eastAsia" w:ascii="仿宋_GB2312" w:hAnsi="仿宋_GB2312" w:eastAsia="仿宋_GB2312" w:cs="仿宋_GB2312"/>
                <w:color w:val="000000"/>
                <w:sz w:val="24"/>
              </w:rPr>
              <w:t>指标1：</w:t>
            </w:r>
            <w:r>
              <w:rPr>
                <w:color w:val="000000"/>
                <w:sz w:val="17"/>
              </w:rPr>
              <w:t>党组中心组学习次数</w:t>
            </w:r>
            <w:r>
              <w:rPr>
                <w:rFonts w:hint="eastAsia"/>
                <w:color w:val="000000"/>
                <w:sz w:val="17"/>
              </w:rPr>
              <w:t>；</w:t>
            </w:r>
          </w:p>
          <w:p>
            <w:pPr>
              <w:autoSpaceDN w:val="0"/>
              <w:spacing w:line="320" w:lineRule="exact"/>
              <w:jc w:val="left"/>
              <w:textAlignment w:val="center"/>
              <w:rPr>
                <w:rFonts w:ascii="仿宋" w:hAnsi="仿宋" w:eastAsia="仿宋" w:cs="仿宋"/>
                <w:color w:val="000000"/>
                <w:szCs w:val="21"/>
              </w:rPr>
            </w:pPr>
            <w:r>
              <w:rPr>
                <w:rFonts w:hint="eastAsia" w:ascii="仿宋_GB2312" w:hAnsi="仿宋_GB2312" w:eastAsia="仿宋_GB2312" w:cs="仿宋_GB2312"/>
                <w:color w:val="000000"/>
                <w:sz w:val="24"/>
              </w:rPr>
              <w:t>指标2：</w:t>
            </w:r>
            <w:r>
              <w:rPr>
                <w:color w:val="000000"/>
                <w:sz w:val="17"/>
              </w:rPr>
              <w:t>爱国主义教育基地数</w:t>
            </w:r>
            <w:r>
              <w:rPr>
                <w:rFonts w:hint="eastAsia"/>
                <w:color w:val="000000"/>
                <w:sz w:val="17"/>
              </w:rPr>
              <w:t>；</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w:t>
            </w:r>
            <w:r>
              <w:rPr>
                <w:rFonts w:hint="eastAsia"/>
                <w:color w:val="000000"/>
                <w:sz w:val="17"/>
              </w:rPr>
              <w:t>县委宣讲团开展集中宣讲和微宣讲次数</w:t>
            </w:r>
            <w:r>
              <w:rPr>
                <w:rFonts w:hint="eastAsia" w:ascii="仿宋_GB2312" w:hAnsi="仿宋_GB2312" w:eastAsia="仿宋_GB2312" w:cs="仿宋_GB2312"/>
                <w:color w:val="000000"/>
                <w:sz w:val="24"/>
              </w:rPr>
              <w:t>；</w:t>
            </w:r>
          </w:p>
          <w:p>
            <w:pPr>
              <w:autoSpaceDN w:val="0"/>
              <w:spacing w:line="320" w:lineRule="exact"/>
              <w:jc w:val="left"/>
              <w:textAlignment w:val="center"/>
              <w:rPr>
                <w:color w:val="000000"/>
                <w:sz w:val="17"/>
              </w:rPr>
            </w:pPr>
            <w:r>
              <w:rPr>
                <w:rFonts w:hint="eastAsia" w:ascii="仿宋_GB2312" w:hAnsi="仿宋_GB2312" w:eastAsia="仿宋_GB2312" w:cs="仿宋_GB2312"/>
                <w:color w:val="000000"/>
                <w:sz w:val="24"/>
              </w:rPr>
              <w:t>指标4：</w:t>
            </w:r>
            <w:r>
              <w:rPr>
                <w:rFonts w:hint="eastAsia"/>
                <w:color w:val="000000"/>
                <w:sz w:val="17"/>
              </w:rPr>
              <w:t>党报党刊覆盖率；</w:t>
            </w:r>
          </w:p>
          <w:p>
            <w:pPr>
              <w:autoSpaceDN w:val="0"/>
              <w:spacing w:line="320" w:lineRule="exact"/>
              <w:jc w:val="left"/>
              <w:textAlignment w:val="center"/>
              <w:rPr>
                <w:color w:val="000000"/>
                <w:sz w:val="17"/>
              </w:rPr>
            </w:pPr>
            <w:r>
              <w:rPr>
                <w:rFonts w:hint="eastAsia" w:ascii="仿宋_GB2312" w:hAnsi="仿宋_GB2312" w:eastAsia="仿宋_GB2312" w:cs="仿宋_GB2312"/>
                <w:color w:val="000000" w:themeColor="text1"/>
                <w:sz w:val="24"/>
              </w:rPr>
              <w:t>指标5：</w:t>
            </w:r>
            <w:r>
              <w:rPr>
                <w:rFonts w:hint="eastAsia"/>
                <w:color w:val="000000"/>
                <w:sz w:val="17"/>
              </w:rPr>
              <w:t xml:space="preserve"> “扫黄打非”开展各类文化市场检查次数；</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Times New Roman" w:hAnsi="Times New Roman" w:eastAsia="宋体" w:cs="Times New Roman"/>
                <w:color w:val="000000"/>
                <w:sz w:val="17"/>
              </w:rPr>
              <w:t>印发《关于落实党委（党组）意识形态工作责任制实施方案》，建立县委意识形态工作联席会议机制，开展两轮意识形态专项督查，下发整改意见函47份。开展文化领域全面检查15次、“扫黄打非”专项检查6次，开展关键信息基础设施网络安全、广播“村村响”和宗教场所等多项督查，强化日常管理。全县各级党委（党组）理论学习中心组均学习12次以上，开办“月末大讲堂”。妥善处置敏感舆情10余起，网络舆情回复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8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color w:val="000000"/>
                <w:sz w:val="17"/>
              </w:rPr>
              <w:t>年度内完成目标。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color w:val="000000"/>
                <w:sz w:val="17"/>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8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color w:val="000000"/>
                <w:sz w:val="17"/>
              </w:rPr>
              <w:t>预算内控制成本。</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color w:val="000000"/>
                <w:sz w:val="17"/>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color w:val="000000"/>
                <w:sz w:val="17"/>
              </w:rPr>
              <w:t>丰富群众文化生活</w:t>
            </w:r>
            <w:r>
              <w:rPr>
                <w:rFonts w:hint="eastAsia"/>
                <w:color w:val="000000"/>
                <w:sz w:val="17"/>
              </w:rPr>
              <w:t>；</w:t>
            </w:r>
          </w:p>
          <w:p>
            <w:pPr>
              <w:autoSpaceDN w:val="0"/>
              <w:spacing w:line="320" w:lineRule="exact"/>
              <w:jc w:val="left"/>
              <w:textAlignment w:val="center"/>
              <w:rPr>
                <w:rFonts w:hint="eastAsia"/>
                <w:color w:val="000000"/>
                <w:sz w:val="17"/>
              </w:rPr>
            </w:pPr>
            <w:r>
              <w:rPr>
                <w:rFonts w:hint="eastAsia" w:ascii="仿宋_GB2312" w:hAnsi="仿宋_GB2312" w:eastAsia="仿宋_GB2312" w:cs="仿宋_GB2312"/>
                <w:color w:val="000000"/>
                <w:sz w:val="24"/>
              </w:rPr>
              <w:t>指标2：</w:t>
            </w:r>
            <w:r>
              <w:rPr>
                <w:color w:val="000000"/>
                <w:sz w:val="17"/>
              </w:rPr>
              <w:t>公益广告</w:t>
            </w:r>
            <w:r>
              <w:rPr>
                <w:rFonts w:hint="eastAsia"/>
                <w:color w:val="000000"/>
                <w:sz w:val="17"/>
              </w:rPr>
              <w:t>；</w:t>
            </w:r>
          </w:p>
          <w:p>
            <w:pPr>
              <w:autoSpaceDN w:val="0"/>
              <w:spacing w:line="320" w:lineRule="exact"/>
              <w:jc w:val="left"/>
              <w:textAlignment w:val="center"/>
              <w:rPr>
                <w:rFonts w:hint="eastAsia"/>
                <w:color w:val="000000"/>
                <w:sz w:val="17"/>
              </w:rPr>
            </w:pPr>
            <w:r>
              <w:rPr>
                <w:rFonts w:hint="eastAsia" w:ascii="仿宋_GB2312" w:hAnsi="仿宋_GB2312" w:eastAsia="仿宋_GB2312" w:cs="仿宋_GB2312"/>
                <w:color w:val="000000"/>
                <w:sz w:val="24"/>
              </w:rPr>
              <w:t>指标3：</w:t>
            </w:r>
            <w:r>
              <w:rPr>
                <w:rFonts w:hint="eastAsia"/>
                <w:color w:val="000000"/>
                <w:sz w:val="17"/>
              </w:rPr>
              <w:t>对外树立华容良好形象</w:t>
            </w:r>
          </w:p>
          <w:p>
            <w:pPr>
              <w:autoSpaceDN w:val="0"/>
              <w:spacing w:line="320" w:lineRule="exact"/>
              <w:jc w:val="left"/>
              <w:textAlignment w:val="center"/>
              <w:rPr>
                <w:color w:val="000000"/>
                <w:sz w:val="17"/>
              </w:rPr>
            </w:pPr>
            <w:r>
              <w:rPr>
                <w:rFonts w:hint="eastAsia" w:ascii="仿宋_GB2312" w:hAnsi="仿宋_GB2312" w:eastAsia="仿宋_GB2312" w:cs="仿宋_GB2312"/>
                <w:color w:val="000000"/>
                <w:sz w:val="24"/>
              </w:rPr>
              <w:t>指标4：</w:t>
            </w:r>
            <w:r>
              <w:rPr>
                <w:rFonts w:hint="eastAsia"/>
                <w:color w:val="000000"/>
                <w:sz w:val="17"/>
              </w:rPr>
              <w:t>着力加强精神文明建设，推动社会主义核心价值观入脑入心</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Times New Roman" w:hAnsi="Times New Roman" w:eastAsia="宋体" w:cs="Times New Roman"/>
                <w:color w:val="000000"/>
                <w:sz w:val="17"/>
              </w:rPr>
              <w:t>持续深化全国文明城市创建，创评县级（含）以上文明先进集体89家，入选第八届湖南省道德模范、“湖南好人”4人，实现省级道德模范零的突破，全县精神文明建设先进集体表彰暨“新时代华容好人”颁奖典礼直播及回放点击量近10万。建好“志愿华容”信息平台，深化“三联一创”活动，打造一所一站一品牌特色志愿服务项目84个，获评全国文化科技卫生“三下乡”活动服务标兵1人、省级志愿服务先进典型3个。持续推进治陋树新工作，经验获新华社《高管信息》《湖南宣传》《经视观察》等国、省媒体推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color w:val="000000"/>
                <w:sz w:val="17"/>
              </w:rPr>
            </w:pPr>
            <w:r>
              <w:rPr>
                <w:rFonts w:hint="eastAsia" w:ascii="仿宋_GB2312" w:hAnsi="仿宋_GB2312" w:eastAsia="仿宋_GB2312" w:cs="仿宋_GB2312"/>
                <w:color w:val="000000"/>
                <w:sz w:val="24"/>
              </w:rPr>
              <w:t>指标1：</w:t>
            </w:r>
            <w:r>
              <w:rPr>
                <w:rFonts w:hint="eastAsia"/>
                <w:color w:val="000000"/>
                <w:sz w:val="17"/>
              </w:rPr>
              <w:t>加快发展文艺文化事业，满足全县人民精神文化生活需要。</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left"/>
              <w:textAlignment w:val="center"/>
              <w:rPr>
                <w:rFonts w:hint="eastAsia" w:ascii="Times New Roman" w:hAnsi="Times New Roman" w:eastAsia="宋体" w:cs="Times New Roman"/>
                <w:color w:val="000000"/>
                <w:sz w:val="17"/>
              </w:rPr>
            </w:pPr>
            <w:r>
              <w:rPr>
                <w:rFonts w:hint="eastAsia" w:ascii="Times New Roman" w:hAnsi="Times New Roman" w:eastAsia="宋体" w:cs="Times New Roman"/>
                <w:color w:val="000000"/>
                <w:sz w:val="17"/>
              </w:rPr>
              <w:t>全面完成华容县有线网络公司改革等文化体制改革任务。七星墩遗址入选“2020全国十大考古新发现”初评。“青苹果”阅读入选全省最美阅读故事。举办“百姓迎春”“湖湘文化进万家”“湘鄂舞友广场舞大赛”等多项文化活动。出台加快推进文化旅游融合发展的实施意见，启动禹山旅游度假区游客服务中心等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color w:val="000000"/>
                <w:sz w:val="17"/>
              </w:rPr>
              <w:t>完善公共文化服务体系，丰富群众精神文化生活</w:t>
            </w:r>
          </w:p>
        </w:tc>
        <w:tc>
          <w:tcPr>
            <w:tcW w:w="2684" w:type="dxa"/>
            <w:gridSpan w:val="6"/>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color w:val="000000"/>
                <w:sz w:val="17"/>
              </w:rPr>
              <w:t>公共文化服务体系建设在全市领先，获省市肯定，群众文化生活更加丰富多彩。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color w:val="000000"/>
                <w:sz w:val="17"/>
              </w:rPr>
              <w:t>社会公众或服务对象满意度大于95%。</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color w:val="000000"/>
                <w:sz w:val="17"/>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刘利军</w:t>
            </w:r>
          </w:p>
        </w:tc>
        <w:tc>
          <w:tcPr>
            <w:tcW w:w="3561" w:type="dxa"/>
            <w:gridSpan w:val="6"/>
            <w:vAlign w:val="center"/>
          </w:tcPr>
          <w:p>
            <w:pPr>
              <w:autoSpaceDN w:val="0"/>
              <w:spacing w:line="400" w:lineRule="exact"/>
              <w:jc w:val="center"/>
              <w:textAlignment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副部长</w:t>
            </w:r>
          </w:p>
        </w:tc>
        <w:tc>
          <w:tcPr>
            <w:tcW w:w="1479" w:type="dxa"/>
            <w:vAlign w:val="center"/>
          </w:tcPr>
          <w:p>
            <w:pPr>
              <w:autoSpaceDN w:val="0"/>
              <w:spacing w:line="400" w:lineRule="exact"/>
              <w:jc w:val="center"/>
              <w:textAlignment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县委宣传部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胡祥胜</w:t>
            </w:r>
          </w:p>
        </w:tc>
        <w:tc>
          <w:tcPr>
            <w:tcW w:w="3561" w:type="dxa"/>
            <w:gridSpan w:val="6"/>
            <w:vAlign w:val="center"/>
          </w:tcPr>
          <w:p>
            <w:pPr>
              <w:autoSpaceDN w:val="0"/>
              <w:spacing w:line="400" w:lineRule="exact"/>
              <w:jc w:val="center"/>
              <w:textAlignment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办公室主任</w:t>
            </w:r>
          </w:p>
        </w:tc>
        <w:tc>
          <w:tcPr>
            <w:tcW w:w="1479" w:type="dxa"/>
            <w:vAlign w:val="center"/>
          </w:tcPr>
          <w:p>
            <w:pPr>
              <w:autoSpaceDN w:val="0"/>
              <w:spacing w:line="400" w:lineRule="exact"/>
              <w:jc w:val="center"/>
              <w:textAlignment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县委宣传部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吴丽媛</w:t>
            </w:r>
          </w:p>
        </w:tc>
        <w:tc>
          <w:tcPr>
            <w:tcW w:w="3561" w:type="dxa"/>
            <w:gridSpan w:val="6"/>
            <w:vAlign w:val="center"/>
          </w:tcPr>
          <w:p>
            <w:pPr>
              <w:autoSpaceDN w:val="0"/>
              <w:spacing w:line="400" w:lineRule="exact"/>
              <w:jc w:val="center"/>
              <w:textAlignment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出纳</w:t>
            </w:r>
          </w:p>
        </w:tc>
        <w:tc>
          <w:tcPr>
            <w:tcW w:w="1479" w:type="dxa"/>
            <w:vAlign w:val="center"/>
          </w:tcPr>
          <w:p>
            <w:pPr>
              <w:autoSpaceDN w:val="0"/>
              <w:spacing w:line="400" w:lineRule="exact"/>
              <w:jc w:val="center"/>
              <w:textAlignment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县委宣传部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val="en-US" w:eastAsia="zh-CN"/>
        </w:rPr>
        <w:t>吴丽</w:t>
      </w:r>
      <w:bookmarkStart w:id="0" w:name="_GoBack"/>
      <w:bookmarkEnd w:id="0"/>
      <w:r>
        <w:rPr>
          <w:rFonts w:hint="eastAsia" w:eastAsia="仿宋_GB2312" w:cs="仿宋_GB2312"/>
          <w:bCs/>
          <w:sz w:val="28"/>
          <w:szCs w:val="28"/>
          <w:lang w:val="en-US" w:eastAsia="zh-CN"/>
        </w:rPr>
        <w:t>媛</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13786037213</w:t>
      </w: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一、部门（单位）概况</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（一）部门（单位）基本情况</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单位为财政全额预算拨款单位，核定人员编制23人，实有人数为23人。</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1</w:t>
            </w:r>
            <w:r>
              <w:rPr>
                <w:rFonts w:hint="eastAsia" w:ascii="仿宋_GB2312" w:hAnsi="宋体" w:eastAsia="仿宋_GB2312" w:cs="宋体"/>
                <w:sz w:val="28"/>
                <w:szCs w:val="28"/>
                <w:shd w:val="clear" w:color="auto" w:fill="FFFFFF"/>
              </w:rPr>
              <w:t>）职责职能：</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1</w:t>
            </w:r>
            <w:r>
              <w:rPr>
                <w:rFonts w:hint="eastAsia" w:ascii="仿宋_GB2312" w:hAnsi="宋体" w:eastAsia="仿宋_GB2312" w:cs="宋体"/>
                <w:sz w:val="28"/>
                <w:szCs w:val="28"/>
                <w:shd w:val="clear" w:color="auto" w:fill="FFFFFF"/>
              </w:rPr>
              <w:t>、负责指导全县理论学习、理论研究、理论宣传工作。负责全县党员理论教育、路线方针政策教育、形式教育的计划与安排。负责编写基层党员教材和党员先进典型的宣传。</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2</w:t>
            </w:r>
            <w:r>
              <w:rPr>
                <w:rFonts w:hint="eastAsia" w:ascii="仿宋_GB2312" w:hAnsi="宋体" w:eastAsia="仿宋_GB2312" w:cs="宋体"/>
                <w:sz w:val="28"/>
                <w:szCs w:val="28"/>
                <w:shd w:val="clear" w:color="auto" w:fill="FFFFFF"/>
              </w:rPr>
              <w:t>、负责引导社会舆论，指导、协调新闻出版等部门的工作，负责全县对外宣传工作。对县广播电视台的工作实施政治方向和方针政策方面的指导。</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3</w:t>
            </w:r>
            <w:r>
              <w:rPr>
                <w:rFonts w:hint="eastAsia" w:ascii="仿宋_GB2312" w:hAnsi="宋体" w:eastAsia="仿宋_GB2312" w:cs="宋体"/>
                <w:sz w:val="28"/>
                <w:szCs w:val="28"/>
                <w:shd w:val="clear" w:color="auto" w:fill="FFFFFF"/>
              </w:rPr>
              <w:t>、负责从宏观上指导精神产品的生产和文化市场的管理。对县文广新旅局、县文联、县新华书店和各协会的工作实施政治方向和方针政策的指导。</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4</w:t>
            </w:r>
            <w:r>
              <w:rPr>
                <w:rFonts w:hint="eastAsia" w:ascii="仿宋_GB2312" w:hAnsi="宋体" w:eastAsia="仿宋_GB2312" w:cs="宋体"/>
                <w:sz w:val="28"/>
                <w:szCs w:val="28"/>
                <w:shd w:val="clear" w:color="auto" w:fill="FFFFFF"/>
              </w:rPr>
              <w:t>、负责规划、部署全县性的思想政治工作任务；了解和收集全县各阶层的思想动态，会同有关部门研究和改进思想教育工作。</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5</w:t>
            </w:r>
            <w:r>
              <w:rPr>
                <w:rFonts w:hint="eastAsia" w:ascii="仿宋_GB2312" w:hAnsi="宋体" w:eastAsia="仿宋_GB2312" w:cs="宋体"/>
                <w:sz w:val="28"/>
                <w:szCs w:val="28"/>
                <w:shd w:val="clear" w:color="auto" w:fill="FFFFFF"/>
              </w:rPr>
              <w:t>、负责规划、部署群众性的精神文明建设活动，负责组织开展各类文明创建活动。</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6</w:t>
            </w:r>
            <w:r>
              <w:rPr>
                <w:rFonts w:hint="eastAsia" w:ascii="仿宋_GB2312" w:hAnsi="宋体" w:eastAsia="仿宋_GB2312" w:cs="宋体"/>
                <w:sz w:val="28"/>
                <w:szCs w:val="28"/>
                <w:shd w:val="clear" w:color="auto" w:fill="FFFFFF"/>
              </w:rPr>
              <w:t>、受县委委托，协同县组织部管理宣传系统的科级干部，指导文化、文联、广电等部门领导班子建设；制定培训规划并组织对乡（镇）党委宣传委员和县直各部门领导骨干的培训，负责全县新闻专业职称评审工作和全县思想政治工作专业人员职称评审工作。</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7</w:t>
            </w:r>
            <w:r>
              <w:rPr>
                <w:rFonts w:hint="eastAsia" w:ascii="仿宋_GB2312" w:hAnsi="宋体" w:eastAsia="仿宋_GB2312" w:cs="宋体"/>
                <w:sz w:val="28"/>
                <w:szCs w:val="28"/>
                <w:shd w:val="clear" w:color="auto" w:fill="FFFFFF"/>
              </w:rPr>
              <w:t>、组织贯彻执行宣传思想文化事业发展的指导方针，指导宣传文化部门制定有关政策。</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8</w:t>
            </w:r>
            <w:r>
              <w:rPr>
                <w:rFonts w:hint="eastAsia" w:ascii="仿宋_GB2312" w:hAnsi="宋体" w:eastAsia="仿宋_GB2312" w:cs="宋体"/>
                <w:sz w:val="28"/>
                <w:szCs w:val="28"/>
                <w:shd w:val="clear" w:color="auto" w:fill="FFFFFF"/>
              </w:rPr>
              <w:t>、归口管理、统筹协调全县互联网上的新闻宣传工作。</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9</w:t>
            </w:r>
            <w:r>
              <w:rPr>
                <w:rFonts w:hint="eastAsia" w:ascii="仿宋_GB2312" w:hAnsi="宋体" w:eastAsia="仿宋_GB2312" w:cs="宋体"/>
                <w:sz w:val="28"/>
                <w:szCs w:val="28"/>
                <w:shd w:val="clear" w:color="auto" w:fill="FFFFFF"/>
              </w:rPr>
              <w:t>、承办县委交办的其他事项。</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（二）部门（单位）整体支出规模</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1</w:t>
            </w:r>
            <w:r>
              <w:rPr>
                <w:rFonts w:hint="eastAsia" w:ascii="仿宋_GB2312" w:hAnsi="宋体" w:eastAsia="仿宋_GB2312" w:cs="宋体"/>
                <w:sz w:val="28"/>
                <w:szCs w:val="28"/>
                <w:shd w:val="clear" w:color="auto" w:fill="FFFFFF"/>
              </w:rPr>
              <w:t>、收入情况：全年收入872.5万元，其中：财政拨款收入864.5万元,政府基金拨款8万元。</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2</w:t>
            </w:r>
            <w:r>
              <w:rPr>
                <w:rFonts w:hint="eastAsia" w:ascii="仿宋_GB2312" w:hAnsi="宋体" w:eastAsia="仿宋_GB2312" w:cs="宋体"/>
                <w:sz w:val="28"/>
                <w:szCs w:val="28"/>
                <w:shd w:val="clear" w:color="auto" w:fill="FFFFFF"/>
              </w:rPr>
              <w:t>、支出情况</w:t>
            </w:r>
            <w:r>
              <w:rPr>
                <w:rFonts w:ascii="仿宋_GB2312" w:hAnsi="宋体" w:eastAsia="仿宋_GB2312" w:cs="宋体"/>
                <w:sz w:val="28"/>
                <w:szCs w:val="28"/>
                <w:shd w:val="clear" w:color="auto" w:fill="FFFFFF"/>
              </w:rPr>
              <w:t>:</w:t>
            </w:r>
            <w:r>
              <w:rPr>
                <w:rFonts w:hint="eastAsia" w:ascii="仿宋_GB2312" w:hAnsi="宋体" w:eastAsia="仿宋_GB2312" w:cs="宋体"/>
                <w:sz w:val="28"/>
                <w:szCs w:val="28"/>
                <w:shd w:val="clear" w:color="auto" w:fill="FFFFFF"/>
              </w:rPr>
              <w:t>全年支出</w:t>
            </w:r>
            <w:r>
              <w:rPr>
                <w:rFonts w:ascii="仿宋_GB2312" w:hAnsi="宋体" w:eastAsia="仿宋_GB2312" w:cs="宋体"/>
                <w:sz w:val="28"/>
                <w:szCs w:val="28"/>
                <w:shd w:val="clear" w:color="auto" w:fill="FFFFFF"/>
              </w:rPr>
              <w:t xml:space="preserve"> </w:t>
            </w:r>
            <w:r>
              <w:rPr>
                <w:rFonts w:hint="eastAsia" w:ascii="仿宋_GB2312" w:hAnsi="宋体" w:eastAsia="仿宋_GB2312" w:cs="宋体"/>
                <w:sz w:val="28"/>
                <w:szCs w:val="28"/>
                <w:shd w:val="clear" w:color="auto" w:fill="FFFFFF"/>
              </w:rPr>
              <w:t>872.5万元，其中：基本支出473.2万元（人员支出244.2万元，公用支出229万元）；项目支出399.3万元。</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二、部门（单位）整体支出管理及使用情况</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（一）基本支出</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1</w:t>
            </w:r>
            <w:r>
              <w:rPr>
                <w:rFonts w:hint="eastAsia" w:ascii="仿宋_GB2312" w:hAnsi="宋体" w:eastAsia="仿宋_GB2312" w:cs="宋体"/>
                <w:sz w:val="28"/>
                <w:szCs w:val="28"/>
                <w:shd w:val="clear" w:color="auto" w:fill="FFFFFF"/>
              </w:rPr>
              <w:t>、部门整体支出情况分析</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2021年整体支出872.5万元，其中基本支出473.2万元，人员支出244.2万元，占基本支出51</w:t>
            </w:r>
            <w:r>
              <w:rPr>
                <w:rFonts w:ascii="仿宋_GB2312" w:hAnsi="宋体" w:eastAsia="仿宋_GB2312" w:cs="宋体"/>
                <w:sz w:val="28"/>
                <w:szCs w:val="28"/>
                <w:shd w:val="clear" w:color="auto" w:fill="FFFFFF"/>
              </w:rPr>
              <w:t>%</w:t>
            </w:r>
            <w:r>
              <w:rPr>
                <w:rFonts w:hint="eastAsia" w:ascii="仿宋_GB2312" w:hAnsi="宋体" w:eastAsia="仿宋_GB2312" w:cs="宋体"/>
                <w:sz w:val="28"/>
                <w:szCs w:val="28"/>
                <w:shd w:val="clear" w:color="auto" w:fill="FFFFFF"/>
              </w:rPr>
              <w:t>，公用支出229万元，占基本支出49</w:t>
            </w:r>
            <w:r>
              <w:rPr>
                <w:rFonts w:ascii="仿宋_GB2312" w:hAnsi="宋体" w:eastAsia="仿宋_GB2312" w:cs="宋体"/>
                <w:sz w:val="28"/>
                <w:szCs w:val="28"/>
                <w:shd w:val="clear" w:color="auto" w:fill="FFFFFF"/>
              </w:rPr>
              <w:t>%</w:t>
            </w:r>
            <w:r>
              <w:rPr>
                <w:rFonts w:hint="eastAsia" w:ascii="仿宋_GB2312" w:hAnsi="宋体" w:eastAsia="仿宋_GB2312" w:cs="宋体"/>
                <w:sz w:val="28"/>
                <w:szCs w:val="28"/>
                <w:shd w:val="clear" w:color="auto" w:fill="FFFFFF"/>
              </w:rPr>
              <w:t>，项目支出399.3万元。</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2</w:t>
            </w:r>
            <w:r>
              <w:rPr>
                <w:rFonts w:hint="eastAsia" w:ascii="仿宋_GB2312" w:hAnsi="宋体" w:eastAsia="仿宋_GB2312" w:cs="宋体"/>
                <w:sz w:val="28"/>
                <w:szCs w:val="28"/>
                <w:shd w:val="clear" w:color="auto" w:fill="FFFFFF"/>
              </w:rPr>
              <w:t>、“三公经费”支出情况分析</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2021年“三公经费”预算10万元，实际开支9.2万元，“三公经费”控制在预算成本之内。</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3</w:t>
            </w:r>
            <w:r>
              <w:rPr>
                <w:rFonts w:hint="eastAsia" w:ascii="仿宋_GB2312" w:hAnsi="宋体" w:eastAsia="仿宋_GB2312" w:cs="宋体"/>
                <w:sz w:val="28"/>
                <w:szCs w:val="28"/>
                <w:shd w:val="clear" w:color="auto" w:fill="FFFFFF"/>
              </w:rPr>
              <w:t>、固定资产管理情况分析</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按照例行节约，物尽其用的原则，资产管理采取统一建账，统一核算管理，对每件固定资产使用明确保管职责，闲置的资产，由办公室统一调整，合理流动，发挥其效益；至</w:t>
            </w:r>
            <w:r>
              <w:rPr>
                <w:rFonts w:ascii="仿宋_GB2312" w:hAnsi="宋体" w:eastAsia="仿宋_GB2312" w:cs="宋体"/>
                <w:sz w:val="28"/>
                <w:szCs w:val="28"/>
                <w:shd w:val="clear" w:color="auto" w:fill="FFFFFF"/>
              </w:rPr>
              <w:t>20</w:t>
            </w:r>
            <w:r>
              <w:rPr>
                <w:rFonts w:hint="eastAsia" w:ascii="仿宋_GB2312" w:hAnsi="宋体" w:eastAsia="仿宋_GB2312" w:cs="宋体"/>
                <w:sz w:val="28"/>
                <w:szCs w:val="28"/>
                <w:shd w:val="clear" w:color="auto" w:fill="FFFFFF"/>
              </w:rPr>
              <w:t>21年</w:t>
            </w:r>
            <w:r>
              <w:rPr>
                <w:rFonts w:ascii="仿宋_GB2312" w:hAnsi="宋体" w:eastAsia="仿宋_GB2312" w:cs="宋体"/>
                <w:sz w:val="28"/>
                <w:szCs w:val="28"/>
                <w:shd w:val="clear" w:color="auto" w:fill="FFFFFF"/>
              </w:rPr>
              <w:t>12</w:t>
            </w:r>
            <w:r>
              <w:rPr>
                <w:rFonts w:hint="eastAsia" w:ascii="仿宋_GB2312" w:hAnsi="宋体" w:eastAsia="仿宋_GB2312" w:cs="宋体"/>
                <w:sz w:val="28"/>
                <w:szCs w:val="28"/>
                <w:shd w:val="clear" w:color="auto" w:fill="FFFFFF"/>
              </w:rPr>
              <w:t>月末固定资产80.5万元。</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（二）专项支出</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1</w:t>
            </w:r>
            <w:r>
              <w:rPr>
                <w:rFonts w:hint="eastAsia" w:ascii="仿宋_GB2312" w:hAnsi="宋体" w:eastAsia="仿宋_GB2312" w:cs="宋体"/>
                <w:sz w:val="28"/>
                <w:szCs w:val="28"/>
                <w:shd w:val="clear" w:color="auto" w:fill="FFFFFF"/>
              </w:rPr>
              <w:t>、专项资金安排落实、总投入等情况分析</w:t>
            </w:r>
          </w:p>
          <w:p>
            <w:pPr>
              <w:spacing w:line="560" w:lineRule="exact"/>
              <w:ind w:firstLine="560" w:firstLineChars="200"/>
              <w:rPr>
                <w:rFonts w:ascii="仿宋_GB2312" w:hAnsi="宋体" w:eastAsia="仿宋_GB2312" w:cs="宋体"/>
                <w:color w:val="FF0000"/>
                <w:sz w:val="28"/>
                <w:szCs w:val="28"/>
                <w:shd w:val="clear" w:color="auto" w:fill="FFFFFF"/>
              </w:rPr>
            </w:pPr>
            <w:r>
              <w:rPr>
                <w:rFonts w:hint="eastAsia" w:ascii="仿宋_GB2312" w:hAnsi="宋体" w:eastAsia="仿宋_GB2312" w:cs="宋体"/>
                <w:sz w:val="28"/>
                <w:szCs w:val="28"/>
                <w:shd w:val="clear" w:color="auto" w:fill="FFFFFF"/>
              </w:rPr>
              <w:t>2021年项目收入399.3万元，项目支出</w:t>
            </w:r>
            <w:r>
              <w:rPr>
                <w:rFonts w:ascii="仿宋_GB2312" w:hAnsi="宋体" w:eastAsia="仿宋_GB2312" w:cs="宋体"/>
                <w:sz w:val="28"/>
                <w:szCs w:val="28"/>
                <w:shd w:val="clear" w:color="auto" w:fill="FFFFFF"/>
              </w:rPr>
              <w:t xml:space="preserve"> </w:t>
            </w:r>
            <w:r>
              <w:rPr>
                <w:rFonts w:hint="eastAsia" w:ascii="仿宋_GB2312" w:hAnsi="宋体" w:eastAsia="仿宋_GB2312" w:cs="宋体"/>
                <w:sz w:val="28"/>
                <w:szCs w:val="28"/>
                <w:shd w:val="clear" w:color="auto" w:fill="FFFFFF"/>
              </w:rPr>
              <w:t>399.3万元，项目指标下达及时，支付按进度完成，项目资金主要用于党报党刊、文明创建、公益宣传等专项支出。项目资金支付都是按照预算执行，实行专款专用，项目实施完成后，达到了预期经济效益及社会效益，圆满的完成了各项任务。</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三、部门（单位）整体支出绩效情况</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2021年，根据年初工作规划和重点工作，围绕县委、县政府的工作部署，积极履行职责，强化管理，较好地完成了年度工作目标，同时加强预算收支的管理，建立健全内部管理制度，严格内部管理流程，部门整体支出管理得到了提升。2021年度部门整体支出绩效情况如下：</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1.</w:t>
            </w:r>
            <w:r>
              <w:rPr>
                <w:rFonts w:hint="eastAsia" w:ascii="仿宋_GB2312" w:hAnsi="宋体" w:eastAsia="仿宋_GB2312" w:cs="宋体"/>
                <w:sz w:val="28"/>
                <w:szCs w:val="28"/>
                <w:shd w:val="clear" w:color="auto" w:fill="FFFFFF"/>
              </w:rPr>
              <w:t>严格预算支出管理。根据“总量控制、计划管理”的要求从严控制行政经费，压缩一般性支出，严格控制“三公”经费，资产的配置严格政府采购，保障部门整体支出的规范化、制度化。</w:t>
            </w:r>
          </w:p>
          <w:p>
            <w:pPr>
              <w:spacing w:line="560" w:lineRule="exact"/>
              <w:ind w:firstLine="560" w:firstLineChars="200"/>
              <w:rPr>
                <w:rFonts w:ascii="仿宋_GB2312" w:hAnsi="宋体" w:eastAsia="仿宋_GB2312" w:cs="宋体"/>
                <w:sz w:val="28"/>
                <w:szCs w:val="28"/>
                <w:shd w:val="clear" w:color="auto" w:fill="FFFFFF"/>
              </w:rPr>
            </w:pPr>
            <w:r>
              <w:rPr>
                <w:rFonts w:ascii="仿宋_GB2312" w:hAnsi="宋体" w:eastAsia="仿宋_GB2312" w:cs="宋体"/>
                <w:sz w:val="28"/>
                <w:szCs w:val="28"/>
                <w:shd w:val="clear" w:color="auto" w:fill="FFFFFF"/>
              </w:rPr>
              <w:t>2.</w:t>
            </w:r>
            <w:r>
              <w:rPr>
                <w:rFonts w:hint="eastAsia" w:ascii="仿宋_GB2312" w:hAnsi="宋体" w:eastAsia="仿宋_GB2312" w:cs="宋体"/>
                <w:sz w:val="28"/>
                <w:szCs w:val="28"/>
                <w:shd w:val="clear" w:color="auto" w:fill="FFFFFF"/>
              </w:rPr>
              <w:t>财务管理上，按照国家相关法律法规，制定完善了单位内部控制制度，并严格按照制度管理和执行，防范风险，保证财政资金的安全和高效运行。</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通过对2021年的预算配置、预算管理、资产管理、职责履行、履职效益等内容的绩效考评，提高财政资金的使用效率，保障了机构的正常运转。2021年，较好地完成了年度工作目标，部门整体支出绩效评价为优。</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四、存在的主要问题</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一是“三公经费”有待更严格控制</w:t>
            </w:r>
            <w:r>
              <w:rPr>
                <w:rFonts w:ascii="仿宋_GB2312" w:hAnsi="宋体" w:eastAsia="仿宋_GB2312" w:cs="宋体"/>
                <w:sz w:val="28"/>
                <w:szCs w:val="28"/>
                <w:shd w:val="clear" w:color="auto" w:fill="FFFFFF"/>
              </w:rPr>
              <w:t>,</w:t>
            </w:r>
            <w:r>
              <w:rPr>
                <w:rFonts w:hint="eastAsia" w:ascii="仿宋_GB2312" w:hAnsi="宋体" w:eastAsia="仿宋_GB2312" w:cs="宋体"/>
                <w:sz w:val="28"/>
                <w:szCs w:val="28"/>
                <w:shd w:val="clear" w:color="auto" w:fill="FFFFFF"/>
              </w:rPr>
              <w:t>进一步加强厉行节约机制。</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二是预算编制与实际支出项目有的存在差异，有待进一步优化预算，提高预算编制的准确性。</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五、改进措施和有关建议</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一是按照预算规定的项目和用途严格财务审核，经费支出严格按预算规定项目的财务支出内容进行财务核算，在预算金额内严格控制费用的支出，先有预算，再有支出。</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二是严格控制“三公经费”支出，杜绝挪用和挤占其他预算资金；进一步细化“三公经费”管理，压缩“三公经费”支出。</w:t>
            </w:r>
          </w:p>
          <w:p>
            <w:pPr>
              <w:spacing w:line="560" w:lineRule="exact"/>
              <w:ind w:firstLine="560" w:firstLineChars="200"/>
              <w:rPr>
                <w:rFonts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rPr>
              <w:t>三是预算财务分析常态化，定期做好预算支出财务分析，做好部门整体支出预算评价工作。</w:t>
            </w:r>
          </w:p>
          <w:p>
            <w:pPr>
              <w:rPr>
                <w:rFonts w:eastAsia="楷体_GB2312"/>
                <w:bCs/>
                <w:sz w:val="28"/>
                <w:szCs w:val="28"/>
              </w:rPr>
            </w:pPr>
          </w:p>
        </w:tc>
      </w:tr>
    </w:tbl>
    <w:p>
      <w:pPr>
        <w:spacing w:line="348" w:lineRule="auto"/>
        <w:rPr>
          <w:rFonts w:eastAsia="楷体_GB2312"/>
          <w:bCs/>
          <w:sz w:val="28"/>
          <w:szCs w:val="28"/>
        </w:rPr>
      </w:pPr>
    </w:p>
    <w:p>
      <w:pPr>
        <w:spacing w:line="348" w:lineRule="auto"/>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9937" w:type="dxa"/>
        <w:jc w:val="center"/>
        <w:tblLayout w:type="fixed"/>
        <w:tblCellMar>
          <w:top w:w="0" w:type="dxa"/>
          <w:left w:w="108" w:type="dxa"/>
          <w:bottom w:w="0" w:type="dxa"/>
          <w:right w:w="108" w:type="dxa"/>
        </w:tblCellMar>
      </w:tblPr>
      <w:tblGrid>
        <w:gridCol w:w="980"/>
        <w:gridCol w:w="943"/>
        <w:gridCol w:w="1395"/>
        <w:gridCol w:w="4190"/>
        <w:gridCol w:w="621"/>
        <w:gridCol w:w="723"/>
        <w:gridCol w:w="1085"/>
      </w:tblGrid>
      <w:tr>
        <w:tblPrEx>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76"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4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60"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7"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18"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80"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96</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756909-2BD7-4F86-B50A-EA013EC858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97625620-2C28-4DDE-90D5-23305B0AC9C5}"/>
  </w:font>
  <w:font w:name="仿宋">
    <w:panose1 w:val="02010609060101010101"/>
    <w:charset w:val="86"/>
    <w:family w:val="auto"/>
    <w:pitch w:val="default"/>
    <w:sig w:usb0="800002BF" w:usb1="38CF7CFA" w:usb2="00000016" w:usb3="00000000" w:csb0="00040001" w:csb1="00000000"/>
    <w:embedRegular r:id="rId3" w:fontKey="{871AB597-A0CA-4038-8146-0E169717E65E}"/>
  </w:font>
  <w:font w:name="楷体_GB2312">
    <w:altName w:val="楷体"/>
    <w:panose1 w:val="00000000000000000000"/>
    <w:charset w:val="86"/>
    <w:family w:val="modern"/>
    <w:pitch w:val="default"/>
    <w:sig w:usb0="00000000" w:usb1="00000000" w:usb2="00000010" w:usb3="00000000" w:csb0="00040000" w:csb1="00000000"/>
    <w:embedRegular r:id="rId4" w:fontKey="{A1B1587C-2381-4FAC-B99C-0DEA92B85135}"/>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5" w:fontKey="{C317DAAF-A767-4227-A084-6BD24C8F57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2</w:t>
    </w:r>
    <w:r>
      <w:rPr>
        <w:sz w:val="24"/>
        <w:szCs w:val="24"/>
      </w:rPr>
      <w:fldChar w:fldCharType="end"/>
    </w:r>
    <w:r>
      <w:rPr>
        <w:rStyle w:val="8"/>
        <w:rFonts w:hint="eastAsia"/>
        <w:sz w:val="24"/>
        <w:szCs w:val="24"/>
      </w:rPr>
      <w:t xml:space="preserve"> —</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C6F79"/>
    <w:multiLevelType w:val="multilevel"/>
    <w:tmpl w:val="014C6F79"/>
    <w:lvl w:ilvl="0" w:tentative="0">
      <w:start w:val="1"/>
      <w:numFmt w:val="japaneseCounting"/>
      <w:pStyle w:val="2"/>
      <w:lvlText w:val="%1、"/>
      <w:lvlJc w:val="left"/>
      <w:pPr>
        <w:ind w:left="720" w:hanging="72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A4MDBmNmQwMDg1MjkyODI4MTE1MzIzNzNiNTMwZjYifQ=="/>
  </w:docVars>
  <w:rsids>
    <w:rsidRoot w:val="2CE55C20"/>
    <w:rsid w:val="000130E4"/>
    <w:rsid w:val="000C1D32"/>
    <w:rsid w:val="000C54E9"/>
    <w:rsid w:val="001D516B"/>
    <w:rsid w:val="001D6DB9"/>
    <w:rsid w:val="00236C25"/>
    <w:rsid w:val="002C5263"/>
    <w:rsid w:val="002C6D03"/>
    <w:rsid w:val="002F5C62"/>
    <w:rsid w:val="00311646"/>
    <w:rsid w:val="00397D48"/>
    <w:rsid w:val="003F4085"/>
    <w:rsid w:val="00476BE8"/>
    <w:rsid w:val="00556181"/>
    <w:rsid w:val="0057666C"/>
    <w:rsid w:val="005C0337"/>
    <w:rsid w:val="005E5B2E"/>
    <w:rsid w:val="00664AF6"/>
    <w:rsid w:val="006A1432"/>
    <w:rsid w:val="006E6E04"/>
    <w:rsid w:val="0070251B"/>
    <w:rsid w:val="00792218"/>
    <w:rsid w:val="007B2063"/>
    <w:rsid w:val="007C3874"/>
    <w:rsid w:val="007E20B0"/>
    <w:rsid w:val="008A0D76"/>
    <w:rsid w:val="00925404"/>
    <w:rsid w:val="00925E62"/>
    <w:rsid w:val="009B584E"/>
    <w:rsid w:val="009C1C64"/>
    <w:rsid w:val="00AA2705"/>
    <w:rsid w:val="00BF74F8"/>
    <w:rsid w:val="00C06EE5"/>
    <w:rsid w:val="00C227DC"/>
    <w:rsid w:val="00C72CC4"/>
    <w:rsid w:val="00C7661D"/>
    <w:rsid w:val="00CC2826"/>
    <w:rsid w:val="00D06579"/>
    <w:rsid w:val="00D36DD4"/>
    <w:rsid w:val="00D41914"/>
    <w:rsid w:val="00DC51DF"/>
    <w:rsid w:val="00E95E1E"/>
    <w:rsid w:val="00F135D1"/>
    <w:rsid w:val="00F812B4"/>
    <w:rsid w:val="00F95DB5"/>
    <w:rsid w:val="083749E7"/>
    <w:rsid w:val="0CB679B8"/>
    <w:rsid w:val="0DE528CD"/>
    <w:rsid w:val="1336279F"/>
    <w:rsid w:val="18725427"/>
    <w:rsid w:val="254E2FC7"/>
    <w:rsid w:val="25B607B7"/>
    <w:rsid w:val="263C173A"/>
    <w:rsid w:val="289D055E"/>
    <w:rsid w:val="2C9F197B"/>
    <w:rsid w:val="2CA33441"/>
    <w:rsid w:val="2CE55C20"/>
    <w:rsid w:val="2F287302"/>
    <w:rsid w:val="30426D13"/>
    <w:rsid w:val="3A43255A"/>
    <w:rsid w:val="3D6201A1"/>
    <w:rsid w:val="3EC46785"/>
    <w:rsid w:val="3F8A6044"/>
    <w:rsid w:val="43A702D9"/>
    <w:rsid w:val="44592EA4"/>
    <w:rsid w:val="477245B4"/>
    <w:rsid w:val="49617FA5"/>
    <w:rsid w:val="4D171D42"/>
    <w:rsid w:val="4E4F0BB0"/>
    <w:rsid w:val="5BE95901"/>
    <w:rsid w:val="6A0A15CD"/>
    <w:rsid w:val="6D452F22"/>
    <w:rsid w:val="6DF352BD"/>
    <w:rsid w:val="705E3E6D"/>
    <w:rsid w:val="71C1048A"/>
    <w:rsid w:val="7396188C"/>
    <w:rsid w:val="73F35F5B"/>
    <w:rsid w:val="793F1DC6"/>
    <w:rsid w:val="79C04582"/>
    <w:rsid w:val="7D1F0DA2"/>
    <w:rsid w:val="7FE6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nhideWhenUsed/>
    <w:qFormat/>
    <w:uiPriority w:val="99"/>
    <w:pPr>
      <w:numPr>
        <w:ilvl w:val="0"/>
        <w:numId w:val="1"/>
      </w:numPr>
      <w:ind w:left="720" w:hanging="720"/>
      <w:outlineLvl w:val="0"/>
    </w:pPr>
    <w:rPr>
      <w:rFonts w:hint="eastAsia" w:ascii="黑体" w:hAnsi="黑体" w:eastAsia="黑体"/>
      <w:sz w:val="3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unhideWhenUsed/>
    <w:qFormat/>
    <w:uiPriority w:val="0"/>
    <w:pPr>
      <w:ind w:firstLine="588" w:firstLineChars="200"/>
    </w:pPr>
    <w:rPr>
      <w:rFonts w:ascii="仿宋_GB2312" w:hAnsi="Calibri" w:eastAsia="仿宋_GB2312"/>
      <w:sz w:val="32"/>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6623</Words>
  <Characters>6936</Characters>
  <Lines>57</Lines>
  <Paragraphs>16</Paragraphs>
  <TotalTime>10</TotalTime>
  <ScaleCrop>false</ScaleCrop>
  <LinksUpToDate>false</LinksUpToDate>
  <CharactersWithSpaces>7451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2019-05-08T01:00:00Z</dcterms:created>
  <dc:creator>Administrator</dc:creator>
  <cp:lastModifiedBy>媛媛</cp:lastModifiedBy>
  <cp:lastPrinted>2022-06-13T15:42:00Z</cp:lastPrinted>
  <dcterms:modified xsi:type="dcterms:W3CDTF">2022-06-16T08:04:59Z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377A56B318954603893BD5B869B7BB42</vt:lpwstr>
  </property>
</Properties>
</file>