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仿宋_GB2312"/>
          <w:sz w:val="44"/>
          <w:szCs w:val="44"/>
          <w:lang w:eastAsia="zh-CN"/>
        </w:rPr>
      </w:pPr>
    </w:p>
    <w:p>
      <w:pPr>
        <w:spacing w:line="600" w:lineRule="exact"/>
        <w:jc w:val="center"/>
        <w:rPr>
          <w:rFonts w:ascii="仿宋" w:hAnsi="仿宋" w:eastAsia="仿宋"/>
          <w:sz w:val="32"/>
          <w:szCs w:val="32"/>
        </w:rPr>
      </w:pPr>
      <w:r>
        <w:rPr>
          <w:rFonts w:ascii="方正小标宋_GBK" w:hAnsi="方正小标宋_GBK"/>
        </w:rPr>
        <w:t xml:space="preserve"> </w:t>
      </w:r>
      <w:r>
        <w:rPr>
          <w:rFonts w:hint="eastAsia" w:ascii="仿宋" w:hAnsi="仿宋" w:eastAsia="仿宋"/>
          <w:sz w:val="32"/>
          <w:szCs w:val="32"/>
        </w:rPr>
        <w:t xml:space="preserve"> </w:t>
      </w:r>
    </w:p>
    <w:p>
      <w:pPr>
        <w:spacing w:line="600" w:lineRule="exact"/>
        <w:jc w:val="center"/>
        <w:rPr>
          <w:rFonts w:hint="eastAsia" w:ascii="仿宋" w:hAnsi="仿宋" w:eastAsia="仿宋"/>
          <w:sz w:val="32"/>
          <w:szCs w:val="32"/>
        </w:rPr>
      </w:pPr>
      <w:r>
        <w:rPr>
          <w:rFonts w:hint="eastAsia" w:ascii="仿宋" w:hAnsi="仿宋" w:eastAsia="仿宋"/>
          <w:sz w:val="32"/>
          <w:szCs w:val="32"/>
        </w:rPr>
        <w:t xml:space="preserve"> </w:t>
      </w:r>
    </w:p>
    <w:p>
      <w:pPr>
        <w:spacing w:line="600" w:lineRule="exact"/>
        <w:jc w:val="center"/>
        <w:rPr>
          <w:rFonts w:hint="eastAsia" w:ascii="仿宋" w:hAnsi="仿宋" w:eastAsia="仿宋"/>
          <w:sz w:val="32"/>
          <w:szCs w:val="32"/>
        </w:rPr>
      </w:pPr>
      <w:r>
        <w:rPr>
          <w:rFonts w:hint="eastAsia" w:ascii="仿宋" w:hAnsi="仿宋" w:eastAsia="仿宋"/>
          <w:sz w:val="32"/>
          <w:szCs w:val="32"/>
        </w:rPr>
        <w:t>华环委发〔2021〕</w:t>
      </w:r>
      <w:r>
        <w:rPr>
          <w:rFonts w:hint="eastAsia" w:ascii="仿宋" w:hAnsi="仿宋" w:eastAsia="仿宋"/>
          <w:sz w:val="32"/>
          <w:szCs w:val="32"/>
          <w:lang w:val="en-US" w:eastAsia="zh-CN"/>
        </w:rPr>
        <w:t>4</w:t>
      </w:r>
      <w:r>
        <w:rPr>
          <w:rFonts w:hint="eastAsia" w:ascii="仿宋" w:hAnsi="仿宋" w:eastAsia="仿宋"/>
          <w:sz w:val="32"/>
          <w:szCs w:val="32"/>
        </w:rPr>
        <w:t>号</w:t>
      </w:r>
    </w:p>
    <w:p>
      <w:pPr>
        <w:spacing w:line="600" w:lineRule="exact"/>
        <w:jc w:val="center"/>
        <w:rPr>
          <w:rFonts w:hint="eastAsia" w:ascii="方正小标宋_GBK" w:hAnsi="方正小标宋_GBK"/>
        </w:rPr>
      </w:pPr>
      <w:r>
        <w:rPr>
          <w:rFonts w:ascii="方正小标宋_GBK" w:hAnsi="方正小标宋_GBK"/>
        </w:rPr>
        <w:t xml:space="preserve"> </w:t>
      </w:r>
    </w:p>
    <w:p>
      <w:pPr>
        <w:spacing w:line="600" w:lineRule="exact"/>
        <w:jc w:val="center"/>
        <w:rPr>
          <w:rFonts w:ascii="宋体" w:hAnsi="宋体"/>
          <w:b/>
          <w:bCs/>
          <w:color w:val="000000"/>
          <w:sz w:val="44"/>
          <w:szCs w:val="44"/>
        </w:rPr>
      </w:pPr>
      <w:r>
        <w:rPr>
          <w:rFonts w:hint="eastAsia" w:ascii="宋体" w:hAnsi="宋体"/>
          <w:b/>
          <w:bCs/>
          <w:color w:val="000000"/>
          <w:sz w:val="44"/>
          <w:szCs w:val="44"/>
        </w:rPr>
        <w:t xml:space="preserve"> </w:t>
      </w:r>
    </w:p>
    <w:p>
      <w:pPr>
        <w:spacing w:line="62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华容县生态环境保护委员会</w:t>
      </w:r>
    </w:p>
    <w:p>
      <w:pPr>
        <w:spacing w:line="58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关于印发《华容县</w:t>
      </w:r>
      <w:r>
        <w:rPr>
          <w:rFonts w:hint="eastAsia" w:ascii="方正小标宋简体" w:hAnsi="方正小标宋简体" w:eastAsia="方正小标宋简体" w:cs="方正小标宋简体"/>
          <w:b w:val="0"/>
          <w:bCs w:val="0"/>
          <w:color w:val="000000"/>
          <w:sz w:val="44"/>
          <w:szCs w:val="44"/>
        </w:rPr>
        <w:t>污染防治攻坚战2021年度</w:t>
      </w:r>
    </w:p>
    <w:p>
      <w:pPr>
        <w:spacing w:line="580" w:lineRule="exact"/>
        <w:jc w:val="center"/>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工作方案</w:t>
      </w:r>
      <w:r>
        <w:rPr>
          <w:rFonts w:hint="eastAsia" w:ascii="方正小标宋简体" w:hAnsi="方正小标宋简体" w:eastAsia="方正小标宋简体" w:cs="方正小标宋简体"/>
          <w:b w:val="0"/>
          <w:bCs w:val="0"/>
          <w:color w:val="000000"/>
          <w:sz w:val="44"/>
          <w:szCs w:val="44"/>
          <w:lang w:eastAsia="zh-CN"/>
        </w:rPr>
        <w:t>》的通知</w:t>
      </w:r>
    </w:p>
    <w:p>
      <w:pPr>
        <w:pStyle w:val="3"/>
        <w:rPr>
          <w:rFonts w:hint="eastAsia"/>
          <w:lang w:eastAsia="zh-CN"/>
        </w:rPr>
      </w:pPr>
    </w:p>
    <w:p>
      <w:pPr>
        <w:spacing w:line="600" w:lineRule="exact"/>
        <w:rPr>
          <w:rFonts w:hint="eastAsia" w:ascii="仿宋_GB2312" w:eastAsia="仿宋_GB2312" w:cs="仿宋_GB2312"/>
          <w:sz w:val="32"/>
          <w:highlight w:val="none"/>
        </w:rPr>
      </w:pPr>
      <w:r>
        <w:rPr>
          <w:rFonts w:hint="eastAsia" w:ascii="仿宋_GB2312" w:eastAsia="仿宋_GB2312" w:cs="仿宋_GB2312"/>
          <w:sz w:val="32"/>
          <w:highlight w:val="none"/>
        </w:rPr>
        <w:t>各</w:t>
      </w:r>
      <w:r>
        <w:rPr>
          <w:rFonts w:hint="eastAsia" w:ascii="仿宋_GB2312" w:cs="仿宋_GB2312"/>
          <w:sz w:val="32"/>
          <w:highlight w:val="none"/>
          <w:lang w:eastAsia="zh-CN"/>
        </w:rPr>
        <w:t>乡镇</w:t>
      </w:r>
      <w:r>
        <w:rPr>
          <w:rFonts w:hint="eastAsia" w:ascii="仿宋_GB2312" w:eastAsia="仿宋_GB2312" w:cs="仿宋_GB2312"/>
          <w:sz w:val="32"/>
          <w:highlight w:val="none"/>
        </w:rPr>
        <w:t>人民政府、</w:t>
      </w:r>
      <w:r>
        <w:rPr>
          <w:rFonts w:hint="eastAsia" w:ascii="仿宋_GB2312" w:cs="仿宋_GB2312"/>
          <w:sz w:val="32"/>
          <w:highlight w:val="none"/>
          <w:lang w:eastAsia="zh-CN"/>
        </w:rPr>
        <w:t>县</w:t>
      </w:r>
      <w:r>
        <w:rPr>
          <w:rFonts w:hint="eastAsia" w:ascii="仿宋_GB2312" w:eastAsia="仿宋_GB2312" w:cs="仿宋_GB2312"/>
          <w:sz w:val="32"/>
          <w:highlight w:val="none"/>
        </w:rPr>
        <w:t>直有关单位：</w:t>
      </w:r>
    </w:p>
    <w:p>
      <w:pPr>
        <w:spacing w:line="600" w:lineRule="exact"/>
        <w:ind w:firstLine="640" w:firstLineChars="200"/>
        <w:rPr>
          <w:rFonts w:hint="eastAsia" w:ascii="仿宋" w:hAnsi="仿宋" w:eastAsia="仿宋" w:cs="仿宋"/>
          <w:sz w:val="32"/>
          <w:szCs w:val="32"/>
        </w:rPr>
      </w:pPr>
      <w:r>
        <w:rPr>
          <w:rFonts w:hint="eastAsia" w:ascii="仿宋_GB2312" w:eastAsia="仿宋_GB2312" w:cs="仿宋_GB2312"/>
          <w:sz w:val="32"/>
          <w:highlight w:val="none"/>
        </w:rPr>
        <w:t>《</w:t>
      </w:r>
      <w:r>
        <w:rPr>
          <w:rFonts w:hint="eastAsia" w:ascii="仿宋_GB2312" w:cs="仿宋_GB2312"/>
          <w:sz w:val="32"/>
          <w:highlight w:val="none"/>
          <w:lang w:eastAsia="zh-CN"/>
        </w:rPr>
        <w:t>华容县</w:t>
      </w:r>
      <w:r>
        <w:rPr>
          <w:rFonts w:hint="eastAsia" w:ascii="仿宋_GB2312" w:eastAsia="仿宋_GB2312" w:cs="仿宋_GB2312"/>
          <w:sz w:val="32"/>
          <w:highlight w:val="none"/>
        </w:rPr>
        <w:t>污染防治攻坚战2021年度工作方案》</w:t>
      </w:r>
      <w:r>
        <w:rPr>
          <w:rFonts w:hint="eastAsia" w:ascii="仿宋" w:hAnsi="仿宋" w:eastAsia="仿宋" w:cs="仿宋"/>
          <w:sz w:val="32"/>
          <w:szCs w:val="32"/>
        </w:rPr>
        <w:t>已经华容县生态环境保护委员会审议通过，现予印发，请结合本辖区、本部门实际，认真抓好贯彻落实。</w:t>
      </w:r>
    </w:p>
    <w:p>
      <w:pPr>
        <w:spacing w:line="600" w:lineRule="exact"/>
        <w:ind w:firstLine="640" w:firstLineChars="200"/>
        <w:rPr>
          <w:rFonts w:hint="eastAsia" w:ascii="仿宋_GB2312" w:eastAsia="仿宋_GB2312" w:cs="仿宋_GB2312"/>
          <w:sz w:val="32"/>
          <w:highlight w:val="none"/>
        </w:rPr>
      </w:pPr>
    </w:p>
    <w:p>
      <w:pPr>
        <w:spacing w:line="500" w:lineRule="exact"/>
        <w:ind w:firstLine="640" w:firstLineChars="200"/>
        <w:rPr>
          <w:rFonts w:ascii="仿宋_GB2312" w:hAnsi="仿宋_GB2312" w:eastAsia="仿宋_GB2312" w:cs="仿宋_GB2312"/>
          <w:color w:val="000000"/>
          <w:sz w:val="32"/>
          <w:szCs w:val="32"/>
          <w:highlight w:val="none"/>
        </w:rPr>
      </w:pPr>
    </w:p>
    <w:p>
      <w:pPr>
        <w:pStyle w:val="2"/>
        <w:ind w:left="0" w:leftChars="0" w:firstLine="0" w:firstLineChars="0"/>
        <w:rPr>
          <w:rFonts w:hint="eastAsia"/>
          <w:highlight w:val="none"/>
        </w:rPr>
      </w:pPr>
    </w:p>
    <w:p>
      <w:pPr>
        <w:spacing w:line="500" w:lineRule="exact"/>
        <w:ind w:firstLine="4160" w:firstLineChars="1300"/>
        <w:rPr>
          <w:rFonts w:hint="eastAsia" w:ascii="仿宋_GB2312" w:hAnsi="仿宋_GB2312" w:eastAsia="仿宋_GB2312" w:cs="仿宋_GB2312"/>
          <w:color w:val="000000"/>
          <w:sz w:val="32"/>
          <w:szCs w:val="32"/>
          <w:highlight w:val="none"/>
        </w:rPr>
      </w:pPr>
      <w:r>
        <w:rPr>
          <w:rFonts w:hint="eastAsia" w:ascii="仿宋_GB2312" w:hAnsi="仿宋_GB2312" w:cs="仿宋_GB2312"/>
          <w:color w:val="000000"/>
          <w:sz w:val="32"/>
          <w:szCs w:val="32"/>
          <w:highlight w:val="none"/>
          <w:lang w:eastAsia="zh-CN"/>
        </w:rPr>
        <w:t>华容县</w:t>
      </w:r>
      <w:r>
        <w:rPr>
          <w:rFonts w:hint="eastAsia" w:ascii="仿宋_GB2312" w:hAnsi="仿宋_GB2312" w:eastAsia="仿宋_GB2312" w:cs="仿宋_GB2312"/>
          <w:color w:val="000000"/>
          <w:sz w:val="32"/>
          <w:szCs w:val="32"/>
          <w:highlight w:val="none"/>
        </w:rPr>
        <w:t>生态环境保护委员会</w:t>
      </w:r>
    </w:p>
    <w:p>
      <w:pPr>
        <w:tabs>
          <w:tab w:val="left" w:pos="7655"/>
        </w:tabs>
        <w:spacing w:line="500" w:lineRule="exact"/>
        <w:ind w:firstLine="4800" w:firstLineChars="15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rPr>
        <w:t>日</w:t>
      </w:r>
    </w:p>
    <w:p>
      <w:pPr>
        <w:spacing w:line="580" w:lineRule="exact"/>
        <w:jc w:val="both"/>
        <w:rPr>
          <w:rFonts w:ascii="方正小标宋_GBK" w:hAnsi="宋体" w:eastAsia="方正小标宋_GBK"/>
          <w:bCs/>
          <w:color w:val="000000" w:themeColor="text1"/>
          <w:sz w:val="44"/>
          <w:szCs w:val="44"/>
          <w:highlight w:val="none"/>
          <w14:textFill>
            <w14:solidFill>
              <w14:schemeClr w14:val="tx1"/>
            </w14:solidFill>
          </w14:textFill>
        </w:rPr>
        <w:sectPr>
          <w:footerReference r:id="rId3" w:type="default"/>
          <w:footerReference r:id="rId4" w:type="even"/>
          <w:pgSz w:w="11906" w:h="16838"/>
          <w:pgMar w:top="2268" w:right="1701" w:bottom="1701" w:left="1701" w:header="851" w:footer="1417" w:gutter="0"/>
          <w:paperSrc/>
          <w:pgNumType w:fmt="decimal"/>
          <w:cols w:space="0" w:num="1"/>
          <w:rtlGutter w:val="0"/>
          <w:docGrid w:type="lines" w:linePitch="443" w:charSpace="0"/>
        </w:sectPr>
      </w:pPr>
    </w:p>
    <w:p>
      <w:pPr>
        <w:spacing w:line="58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eastAsia="zh-CN"/>
        </w:rPr>
        <w:t>华容县</w:t>
      </w:r>
      <w:r>
        <w:rPr>
          <w:rFonts w:hint="eastAsia" w:ascii="方正小标宋简体" w:hAnsi="方正小标宋简体" w:eastAsia="方正小标宋简体" w:cs="方正小标宋简体"/>
          <w:b w:val="0"/>
          <w:bCs/>
          <w:color w:val="000000"/>
          <w:sz w:val="44"/>
          <w:szCs w:val="44"/>
        </w:rPr>
        <w:t>污染防治攻坚战2021年度工作方案</w:t>
      </w:r>
    </w:p>
    <w:p>
      <w:pPr>
        <w:spacing w:line="580" w:lineRule="exact"/>
        <w:jc w:val="center"/>
        <w:rPr>
          <w:rFonts w:ascii="楷体_GB2312" w:hAnsi="楷体" w:eastAsia="楷体_GB2312"/>
          <w:color w:val="000000"/>
          <w:sz w:val="36"/>
          <w:szCs w:val="36"/>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napToGrid w:val="0"/>
          <w:color w:val="000000"/>
          <w:kern w:val="0"/>
          <w:szCs w:val="32"/>
        </w:rPr>
      </w:pPr>
      <w:r>
        <w:rPr>
          <w:rFonts w:hint="eastAsia" w:ascii="仿宋" w:hAnsi="仿宋" w:eastAsia="仿宋" w:cs="仿宋"/>
          <w:color w:val="000000"/>
          <w:szCs w:val="32"/>
        </w:rPr>
        <w:t>为继续推进污染防治攻坚战，确保全</w:t>
      </w:r>
      <w:r>
        <w:rPr>
          <w:rFonts w:hint="eastAsia" w:ascii="仿宋" w:hAnsi="仿宋" w:eastAsia="仿宋" w:cs="仿宋"/>
          <w:color w:val="000000"/>
          <w:szCs w:val="32"/>
          <w:lang w:eastAsia="zh-CN"/>
        </w:rPr>
        <w:t>县</w:t>
      </w:r>
      <w:r>
        <w:rPr>
          <w:rFonts w:hint="eastAsia" w:ascii="仿宋" w:hAnsi="仿宋" w:eastAsia="仿宋" w:cs="仿宋"/>
          <w:color w:val="000000"/>
          <w:szCs w:val="32"/>
        </w:rPr>
        <w:t>生态环境质量全面稳定改善</w:t>
      </w:r>
      <w:r>
        <w:rPr>
          <w:rFonts w:hint="eastAsia" w:ascii="仿宋" w:hAnsi="仿宋" w:eastAsia="仿宋" w:cs="仿宋"/>
          <w:snapToGrid w:val="0"/>
          <w:color w:val="000000"/>
          <w:kern w:val="0"/>
          <w:szCs w:val="32"/>
        </w:rPr>
        <w:t>，为“</w:t>
      </w:r>
      <w:r>
        <w:rPr>
          <w:rFonts w:hint="eastAsia" w:ascii="仿宋" w:hAnsi="仿宋" w:eastAsia="仿宋" w:cs="仿宋"/>
          <w:snapToGrid w:val="0"/>
          <w:color w:val="000000"/>
          <w:kern w:val="0"/>
          <w:szCs w:val="32"/>
          <w:lang w:eastAsia="zh-CN"/>
        </w:rPr>
        <w:t>富美华容</w:t>
      </w:r>
      <w:r>
        <w:rPr>
          <w:rFonts w:hint="eastAsia" w:ascii="仿宋" w:hAnsi="仿宋" w:eastAsia="仿宋" w:cs="仿宋"/>
          <w:snapToGrid w:val="0"/>
          <w:color w:val="000000"/>
          <w:kern w:val="0"/>
          <w:szCs w:val="32"/>
        </w:rPr>
        <w:t>”建设提供坚实的生态环境保障，制定本工作方案。</w:t>
      </w:r>
    </w:p>
    <w:p>
      <w:pPr>
        <w:pStyle w:val="12"/>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一、年度</w:t>
      </w:r>
      <w:r>
        <w:rPr>
          <w:rFonts w:hint="eastAsia" w:ascii="黑体" w:hAnsi="黑体" w:eastAsia="黑体" w:cs="黑体"/>
          <w:color w:val="000000"/>
          <w:sz w:val="32"/>
          <w:szCs w:val="32"/>
          <w:lang w:val="en-US" w:eastAsia="zh-CN"/>
        </w:rPr>
        <w:t>生态环境质量</w:t>
      </w:r>
      <w:r>
        <w:rPr>
          <w:rFonts w:hint="eastAsia" w:ascii="黑体" w:hAnsi="黑体" w:eastAsia="黑体" w:cs="黑体"/>
          <w:color w:val="000000"/>
          <w:sz w:val="32"/>
          <w:szCs w:val="32"/>
        </w:rPr>
        <w:t>目标</w:t>
      </w:r>
    </w:p>
    <w:p>
      <w:pPr>
        <w:pStyle w:val="2"/>
        <w:keepNext w:val="0"/>
        <w:keepLines w:val="0"/>
        <w:pageBreakBefore w:val="0"/>
        <w:kinsoku/>
        <w:wordWrap/>
        <w:overflowPunct/>
        <w:topLinePunct w:val="0"/>
        <w:bidi w:val="0"/>
        <w:spacing w:after="0" w:line="600" w:lineRule="exact"/>
        <w:ind w:firstLine="643" w:firstLineChars="200"/>
        <w:textAlignment w:val="auto"/>
        <w:rPr>
          <w:rFonts w:hint="eastAsia" w:ascii="仿宋" w:hAnsi="仿宋" w:eastAsia="仿宋_GB2312" w:cs="仿宋"/>
          <w:snapToGrid w:val="0"/>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（一）环境空气质量</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细颗粒物（</w:t>
      </w:r>
      <w:r>
        <w:rPr>
          <w:rFonts w:ascii="仿宋_GB2312" w:hAnsi="仿宋_GB2312" w:eastAsia="仿宋_GB2312" w:cs="仿宋_GB2312"/>
          <w:snapToGrid w:val="0"/>
          <w:color w:val="000000" w:themeColor="text1"/>
          <w:kern w:val="0"/>
          <w:sz w:val="32"/>
          <w:szCs w:val="32"/>
          <w:highlight w:val="none"/>
          <w14:textFill>
            <w14:solidFill>
              <w14:schemeClr w14:val="tx1"/>
            </w14:solidFill>
          </w14:textFill>
        </w:rPr>
        <w:t>PM</w:t>
      </w:r>
      <w:r>
        <w:rPr>
          <w:rFonts w:ascii="仿宋_GB2312" w:hAnsi="仿宋_GB2312" w:eastAsia="仿宋_GB2312" w:cs="仿宋_GB2312"/>
          <w:snapToGrid w:val="0"/>
          <w:color w:val="000000" w:themeColor="text1"/>
          <w:kern w:val="0"/>
          <w:sz w:val="32"/>
          <w:szCs w:val="32"/>
          <w:highlight w:val="none"/>
          <w:vertAlign w:val="subscript"/>
          <w14:textFill>
            <w14:solidFill>
              <w14:schemeClr w14:val="tx1"/>
            </w14:solidFill>
          </w14:textFill>
        </w:rPr>
        <w:t>2.5</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）平均浓度控制在</w:t>
      </w:r>
      <w:r>
        <w:rPr>
          <w:rFonts w:ascii="仿宋_GB2312" w:hAnsi="仿宋_GB2312" w:eastAsia="仿宋_GB2312" w:cs="仿宋_GB2312"/>
          <w:snapToGrid w:val="0"/>
          <w:color w:val="000000" w:themeColor="text1"/>
          <w:kern w:val="0"/>
          <w:sz w:val="32"/>
          <w:szCs w:val="32"/>
          <w:highlight w:val="none"/>
          <w14:textFill>
            <w14:solidFill>
              <w14:schemeClr w14:val="tx1"/>
            </w14:solidFill>
          </w14:textFill>
        </w:rPr>
        <w:t>35</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微克</w:t>
      </w:r>
      <w:r>
        <w:rPr>
          <w:rFonts w:ascii="仿宋_GB2312" w:hAnsi="仿宋_GB2312" w:eastAsia="仿宋_GB2312" w:cs="仿宋_GB2312"/>
          <w:snapToGrid w:val="0"/>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立方米以内，可吸入颗粒物（</w:t>
      </w:r>
      <w:r>
        <w:rPr>
          <w:rFonts w:ascii="仿宋_GB2312" w:hAnsi="仿宋_GB2312" w:eastAsia="仿宋_GB2312" w:cs="仿宋_GB2312"/>
          <w:snapToGrid w:val="0"/>
          <w:color w:val="000000" w:themeColor="text1"/>
          <w:kern w:val="0"/>
          <w:sz w:val="32"/>
          <w:szCs w:val="32"/>
          <w:highlight w:val="none"/>
          <w14:textFill>
            <w14:solidFill>
              <w14:schemeClr w14:val="tx1"/>
            </w14:solidFill>
          </w14:textFill>
        </w:rPr>
        <w:t>PM</w:t>
      </w:r>
      <w:r>
        <w:rPr>
          <w:rFonts w:ascii="仿宋_GB2312" w:hAnsi="仿宋_GB2312" w:eastAsia="仿宋_GB2312" w:cs="仿宋_GB2312"/>
          <w:snapToGrid w:val="0"/>
          <w:color w:val="000000" w:themeColor="text1"/>
          <w:kern w:val="0"/>
          <w:sz w:val="32"/>
          <w:szCs w:val="32"/>
          <w:highlight w:val="none"/>
          <w:vertAlign w:val="subscript"/>
          <w14:textFill>
            <w14:solidFill>
              <w14:schemeClr w14:val="tx1"/>
            </w14:solidFill>
          </w14:textFill>
        </w:rPr>
        <w:t>10</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）平均浓度控制在</w:t>
      </w:r>
      <w:r>
        <w:rPr>
          <w:rFonts w:ascii="仿宋_GB2312" w:hAnsi="仿宋_GB2312" w:eastAsia="仿宋_GB2312" w:cs="仿宋_GB2312"/>
          <w:snapToGrid w:val="0"/>
          <w:color w:val="000000" w:themeColor="text1"/>
          <w:kern w:val="0"/>
          <w:sz w:val="32"/>
          <w:szCs w:val="32"/>
          <w:highlight w:val="none"/>
          <w14:textFill>
            <w14:solidFill>
              <w14:schemeClr w14:val="tx1"/>
            </w14:solidFill>
          </w14:textFill>
        </w:rPr>
        <w:t>58</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微克</w:t>
      </w:r>
      <w:r>
        <w:rPr>
          <w:rFonts w:ascii="仿宋_GB2312" w:hAnsi="仿宋_GB2312" w:eastAsia="仿宋_GB2312" w:cs="仿宋_GB2312"/>
          <w:snapToGrid w:val="0"/>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立方米以内，城区空气质量优良天数比率为</w:t>
      </w:r>
      <w:r>
        <w:rPr>
          <w:rFonts w:ascii="仿宋_GB2312" w:hAnsi="仿宋_GB2312" w:eastAsia="仿宋_GB2312" w:cs="仿宋_GB2312"/>
          <w:snapToGrid w:val="0"/>
          <w:color w:val="000000" w:themeColor="text1"/>
          <w:kern w:val="0"/>
          <w:sz w:val="32"/>
          <w:szCs w:val="32"/>
          <w:highlight w:val="none"/>
          <w14:textFill>
            <w14:solidFill>
              <w14:schemeClr w14:val="tx1"/>
            </w14:solidFill>
          </w14:textFill>
        </w:rPr>
        <w:t>90%</w:t>
      </w:r>
      <w:r>
        <w:rPr>
          <w:rFonts w:hint="eastAsia" w:ascii="仿宋_GB2312" w:hAnsi="仿宋_GB2312" w:eastAsia="仿宋_GB2312" w:cs="仿宋_GB2312"/>
          <w:snapToGrid w:val="0"/>
          <w:color w:val="000000" w:themeColor="text1"/>
          <w:kern w:val="0"/>
          <w:sz w:val="32"/>
          <w:szCs w:val="32"/>
          <w:highlight w:val="none"/>
          <w14:textFill>
            <w14:solidFill>
              <w14:schemeClr w14:val="tx1"/>
            </w14:solidFill>
          </w14:textFill>
        </w:rPr>
        <w:t>以上。</w:t>
      </w:r>
    </w:p>
    <w:p>
      <w:pPr>
        <w:pStyle w:val="2"/>
        <w:keepNext w:val="0"/>
        <w:keepLines w:val="0"/>
        <w:pageBreakBefore w:val="0"/>
        <w:kinsoku/>
        <w:wordWrap/>
        <w:overflowPunct/>
        <w:topLinePunct w:val="0"/>
        <w:bidi w:val="0"/>
        <w:spacing w:after="0" w:line="600" w:lineRule="exact"/>
        <w:ind w:firstLine="643" w:firstLineChars="200"/>
        <w:textAlignment w:val="auto"/>
        <w:rPr>
          <w:rFonts w:ascii="仿宋_GB2312" w:eastAsia="仿宋_GB2312" w:cs="仿宋_GB2312"/>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（二）水环境质量</w:t>
      </w:r>
      <w:r>
        <w:rPr>
          <w:rFonts w:hint="eastAsia" w:ascii="仿宋_GB2312" w:hAnsi="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全</w:t>
      </w:r>
      <w:r>
        <w:rPr>
          <w:rFonts w:hint="eastAsia" w:ascii="仿宋_GB2312" w:hAnsi="仿宋_GB2312" w:cs="仿宋_GB2312"/>
          <w:color w:val="000000" w:themeColor="text1"/>
          <w:sz w:val="32"/>
          <w:szCs w:val="32"/>
          <w:highlight w:val="none"/>
          <w:lang w:eastAsia="zh-CN"/>
          <w14:textFill>
            <w14:solidFill>
              <w14:schemeClr w14:val="tx1"/>
            </w14:solidFill>
          </w14:textFill>
        </w:rPr>
        <w:t>县的</w:t>
      </w:r>
      <w:r>
        <w:rPr>
          <w:rFonts w:hint="eastAsia" w:ascii="仿宋_GB2312" w:hAnsi="仿宋_GB2312" w:eastAsia="仿宋_GB2312" w:cs="仿宋_GB2312"/>
          <w:color w:val="000000" w:themeColor="text1"/>
          <w:sz w:val="32"/>
          <w:szCs w:val="32"/>
          <w:highlight w:val="none"/>
          <w14:textFill>
            <w14:solidFill>
              <w14:schemeClr w14:val="tx1"/>
            </w14:solidFill>
          </w14:textFill>
        </w:rPr>
        <w:t>国、省考断面地表水水质达到或好于Ⅲ类断面比例达到</w:t>
      </w:r>
      <w:r>
        <w:rPr>
          <w:rFonts w:ascii="仿宋_GB2312" w:hAnsi="仿宋_GB2312" w:eastAsia="仿宋_GB2312" w:cs="仿宋_GB2312"/>
          <w:color w:val="000000" w:themeColor="text1"/>
          <w:sz w:val="32"/>
          <w:szCs w:val="32"/>
          <w:highlight w:val="none"/>
          <w14:textFill>
            <w14:solidFill>
              <w14:schemeClr w14:val="tx1"/>
            </w14:solidFill>
          </w14:textFill>
        </w:rPr>
        <w:t>96.3%</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w:t>
      </w:r>
      <w:r>
        <w:rPr>
          <w:rFonts w:hint="eastAsia" w:ascii="仿宋_GB2312" w:hAnsi="仿宋_GB2312" w:cs="仿宋_GB2312"/>
          <w:color w:val="000000" w:themeColor="text1"/>
          <w:sz w:val="32"/>
          <w:szCs w:val="32"/>
          <w:highlight w:val="none"/>
          <w:lang w:eastAsia="zh-CN"/>
          <w14:textFill>
            <w14:solidFill>
              <w14:schemeClr w14:val="tx1"/>
            </w14:solidFill>
          </w14:textFill>
        </w:rPr>
        <w:t>县境内</w:t>
      </w:r>
      <w:r>
        <w:rPr>
          <w:rFonts w:hint="eastAsia" w:ascii="仿宋_GB2312" w:hAnsi="仿宋_GB2312" w:eastAsia="仿宋_GB2312" w:cs="仿宋_GB2312"/>
          <w:color w:val="000000" w:themeColor="text1"/>
          <w:sz w:val="32"/>
          <w:szCs w:val="32"/>
          <w:highlight w:val="none"/>
          <w14:textFill>
            <w14:solidFill>
              <w14:schemeClr w14:val="tx1"/>
            </w14:solidFill>
          </w14:textFill>
        </w:rPr>
        <w:t>东洞庭湖总磷年均浓度控制在</w:t>
      </w:r>
      <w:r>
        <w:rPr>
          <w:rFonts w:ascii="仿宋_GB2312" w:hAnsi="仿宋_GB2312" w:eastAsia="仿宋_GB2312" w:cs="仿宋_GB2312"/>
          <w:color w:val="000000" w:themeColor="text1"/>
          <w:sz w:val="32"/>
          <w:szCs w:val="32"/>
          <w:highlight w:val="none"/>
          <w14:textFill>
            <w14:solidFill>
              <w14:schemeClr w14:val="tx1"/>
            </w14:solidFill>
          </w14:textFill>
        </w:rPr>
        <w:t>0.063</w:t>
      </w:r>
      <w:r>
        <w:rPr>
          <w:rFonts w:hint="eastAsia" w:ascii="仿宋_GB2312" w:hAnsi="仿宋_GB2312" w:eastAsia="仿宋_GB2312" w:cs="仿宋_GB2312"/>
          <w:color w:val="000000" w:themeColor="text1"/>
          <w:sz w:val="32"/>
          <w:szCs w:val="32"/>
          <w:highlight w:val="none"/>
          <w14:textFill>
            <w14:solidFill>
              <w14:schemeClr w14:val="tx1"/>
            </w14:solidFill>
          </w14:textFill>
        </w:rPr>
        <w:t>毫克</w:t>
      </w:r>
      <w:r>
        <w:rPr>
          <w:rFonts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升以下，各总磷超标断面总磷浓度明显下降，县级</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(含)</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以上集中式饮用水水源水质优良比例达到</w:t>
      </w:r>
      <w:r>
        <w:rPr>
          <w:rFonts w:ascii="仿宋_GB2312" w:hAnsi="仿宋_GB2312" w:eastAsia="仿宋_GB2312" w:cs="仿宋_GB2312"/>
          <w:color w:val="000000" w:themeColor="text1"/>
          <w:sz w:val="32"/>
          <w:szCs w:val="32"/>
          <w:highlight w:val="none"/>
          <w14:textFill>
            <w14:solidFill>
              <w14:schemeClr w14:val="tx1"/>
            </w14:solidFill>
          </w14:textFill>
        </w:rPr>
        <w:t>100%</w:t>
      </w:r>
      <w:r>
        <w:rPr>
          <w:rFonts w:hint="eastAsia" w:ascii="仿宋_GB2312" w:hAnsi="仿宋_GB2312" w:eastAsia="仿宋_GB2312" w:cs="仿宋_GB2312"/>
          <w:color w:val="000000" w:themeColor="text1"/>
          <w:sz w:val="32"/>
          <w:szCs w:val="32"/>
          <w:highlight w:val="none"/>
          <w14:textFill>
            <w14:solidFill>
              <w14:schemeClr w14:val="tx1"/>
            </w14:solidFill>
          </w14:textFill>
        </w:rPr>
        <w:t>，城区黑臭水体消除比例保持在</w:t>
      </w:r>
      <w:r>
        <w:rPr>
          <w:rFonts w:ascii="仿宋_GB2312" w:hAnsi="仿宋_GB2312" w:eastAsia="仿宋_GB2312" w:cs="仿宋_GB2312"/>
          <w:color w:val="000000" w:themeColor="text1"/>
          <w:sz w:val="32"/>
          <w:szCs w:val="32"/>
          <w:highlight w:val="none"/>
          <w14:textFill>
            <w14:solidFill>
              <w14:schemeClr w14:val="tx1"/>
            </w14:solidFill>
          </w14:textFill>
        </w:rPr>
        <w:t>90%</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以上，确保长制久清。</w:t>
      </w:r>
    </w:p>
    <w:p>
      <w:pPr>
        <w:pStyle w:val="2"/>
        <w:keepNext w:val="0"/>
        <w:keepLines w:val="0"/>
        <w:pageBreakBefore w:val="0"/>
        <w:kinsoku/>
        <w:wordWrap/>
        <w:overflowPunct/>
        <w:topLinePunct w:val="0"/>
        <w:bidi w:val="0"/>
        <w:spacing w:after="0" w:line="600" w:lineRule="exact"/>
        <w:ind w:firstLine="643" w:firstLineChars="200"/>
        <w:textAlignment w:val="auto"/>
        <w:rPr>
          <w:rFonts w:ascii="仿宋_GB2312" w:eastAsia="仿宋_GB2312" w:cs="仿宋_GB2312"/>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（三）</w:t>
      </w:r>
      <w:r>
        <w:rPr>
          <w:rFonts w:hint="eastAsia" w:ascii="楷体_GB2312" w:hAnsi="楷体_GB2312" w:eastAsia="楷体_GB2312" w:cs="楷体_GB2312"/>
          <w:b/>
          <w:color w:val="000000" w:themeColor="text1"/>
          <w:sz w:val="32"/>
          <w:szCs w:val="32"/>
          <w:highlight w:val="none"/>
          <w14:textFill>
            <w14:solidFill>
              <w14:schemeClr w14:val="tx1"/>
            </w14:solidFill>
          </w14:textFill>
        </w:rPr>
        <w:t>土壤和地下水环境质量</w:t>
      </w:r>
      <w:r>
        <w:rPr>
          <w:rFonts w:hint="eastAsia" w:ascii="仿宋_GB2312" w:hAnsi="仿宋_GB2312" w:cs="仿宋_GB2312"/>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全</w:t>
      </w:r>
      <w:r>
        <w:rPr>
          <w:rFonts w:hint="eastAsia" w:ascii="仿宋_GB2312" w:hAnsi="仿宋_GB2312" w:cs="仿宋_GB2312"/>
          <w:color w:val="000000" w:themeColor="text1"/>
          <w:sz w:val="32"/>
          <w:szCs w:val="32"/>
          <w:highlight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受污染耕地安全利用率和污染地块安全利用率达到</w:t>
      </w:r>
      <w:r>
        <w:rPr>
          <w:rFonts w:ascii="仿宋_GB2312" w:hAnsi="仿宋_GB2312" w:eastAsia="仿宋_GB2312" w:cs="仿宋_GB2312"/>
          <w:color w:val="000000" w:themeColor="text1"/>
          <w:sz w:val="32"/>
          <w:szCs w:val="32"/>
          <w:highlight w:val="none"/>
          <w14:textFill>
            <w14:solidFill>
              <w14:schemeClr w14:val="tx1"/>
            </w14:solidFill>
          </w14:textFill>
        </w:rPr>
        <w:t>91%</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以上，地下水Ⅴ类水比例不增加。</w:t>
      </w:r>
    </w:p>
    <w:p>
      <w:pPr>
        <w:pStyle w:val="2"/>
        <w:keepNext w:val="0"/>
        <w:keepLines w:val="0"/>
        <w:pageBreakBefore w:val="0"/>
        <w:kinsoku/>
        <w:wordWrap/>
        <w:overflowPunct/>
        <w:topLinePunct w:val="0"/>
        <w:bidi w:val="0"/>
        <w:spacing w:after="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w:t>
      </w:r>
      <w:r>
        <w:rPr>
          <w:rFonts w:hint="eastAsia" w:ascii="黑体" w:hAnsi="黑体" w:eastAsia="黑体" w:cs="黑体"/>
          <w:sz w:val="32"/>
          <w:szCs w:val="32"/>
          <w:lang w:val="en-US" w:eastAsia="zh-CN"/>
        </w:rPr>
        <w:t>工作</w:t>
      </w:r>
      <w:r>
        <w:rPr>
          <w:rFonts w:hint="eastAsia" w:ascii="黑体" w:hAnsi="黑体" w:eastAsia="黑体" w:cs="黑体"/>
          <w:sz w:val="32"/>
          <w:szCs w:val="32"/>
        </w:rPr>
        <w:t>任务</w:t>
      </w:r>
    </w:p>
    <w:p>
      <w:pPr>
        <w:pStyle w:val="2"/>
        <w:keepNext w:val="0"/>
        <w:keepLines w:val="0"/>
        <w:pageBreakBefore w:val="0"/>
        <w:kinsoku/>
        <w:wordWrap/>
        <w:overflowPunct/>
        <w:topLinePunct w:val="0"/>
        <w:bidi w:val="0"/>
        <w:spacing w:after="0"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rPr>
        <w:t>（一）深入学习贯彻习近平生态文明思想</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color w:val="auto"/>
          <w:sz w:val="32"/>
          <w:szCs w:val="32"/>
        </w:rPr>
        <w:t>认真学习贯彻党的十九届五中全会和习近平总书记考察湖南重要讲话精神，制定贯彻落实方案和措施，推动中央决策部署落实落地。以习近平生态文明思想为指引，科学谋划“十四五”生态环境保护工作，完成“十四五”生态环境保护规划编制。</w:t>
      </w:r>
    </w:p>
    <w:p>
      <w:pPr>
        <w:pStyle w:val="2"/>
        <w:keepNext w:val="0"/>
        <w:keepLines w:val="0"/>
        <w:pageBreakBefore w:val="0"/>
        <w:kinsoku/>
        <w:wordWrap/>
        <w:overflowPunct/>
        <w:topLinePunct w:val="0"/>
        <w:bidi w:val="0"/>
        <w:spacing w:after="0"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继续</w:t>
      </w:r>
      <w:r>
        <w:rPr>
          <w:rFonts w:hint="eastAsia" w:ascii="楷体_GB2312" w:hAnsi="楷体_GB2312" w:eastAsia="楷体_GB2312" w:cs="楷体_GB2312"/>
          <w:b/>
          <w:bCs/>
          <w:sz w:val="32"/>
          <w:szCs w:val="32"/>
        </w:rPr>
        <w:t>打好污染防治攻坚战</w:t>
      </w:r>
      <w:r>
        <w:rPr>
          <w:rFonts w:hint="eastAsia" w:ascii="楷体_GB2312" w:hAnsi="楷体_GB2312" w:eastAsia="楷体_GB2312" w:cs="楷体_GB2312"/>
          <w:b/>
          <w:bCs/>
          <w:sz w:val="32"/>
          <w:szCs w:val="32"/>
          <w:lang w:eastAsia="zh-CN"/>
        </w:rPr>
        <w:t>。</w:t>
      </w:r>
    </w:p>
    <w:p>
      <w:pPr>
        <w:keepNext w:val="0"/>
        <w:keepLines w:val="0"/>
        <w:pageBreakBefore w:val="0"/>
        <w:kinsoku/>
        <w:wordWrap/>
        <w:overflowPunct/>
        <w:topLinePunct w:val="0"/>
        <w:autoSpaceDE w:val="0"/>
        <w:autoSpaceDN w:val="0"/>
        <w:bidi w:val="0"/>
        <w:adjustRightInd w:val="0"/>
        <w:spacing w:line="60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深入开展水污染防治行动。</w:t>
      </w:r>
      <w:r>
        <w:rPr>
          <w:rFonts w:hint="eastAsia" w:ascii="仿宋_GB2312" w:hAnsi="仿宋_GB2312" w:eastAsia="仿宋_GB2312" w:cs="仿宋_GB2312"/>
          <w:kern w:val="0"/>
          <w:sz w:val="32"/>
          <w:szCs w:val="32"/>
        </w:rPr>
        <w:t>继续抓好</w:t>
      </w:r>
      <w:r>
        <w:rPr>
          <w:rFonts w:hint="eastAsia" w:ascii="仿宋_GB2312" w:hAnsi="仿宋_GB2312" w:cs="仿宋_GB2312"/>
          <w:kern w:val="0"/>
          <w:sz w:val="32"/>
          <w:szCs w:val="32"/>
          <w:lang w:eastAsia="zh-CN"/>
        </w:rPr>
        <w:t>县境内</w:t>
      </w:r>
      <w:r>
        <w:rPr>
          <w:rFonts w:hint="eastAsia" w:ascii="仿宋_GB2312" w:hAnsi="仿宋_GB2312" w:eastAsia="仿宋_GB2312" w:cs="仿宋_GB2312"/>
          <w:kern w:val="0"/>
          <w:sz w:val="32"/>
          <w:szCs w:val="32"/>
        </w:rPr>
        <w:t>洞庭湖水环境综合整治</w:t>
      </w:r>
      <w:r>
        <w:rPr>
          <w:rFonts w:hint="eastAsia" w:cs="仿宋_GB2312" w:asciiTheme="minorEastAsia" w:hAnsiTheme="minorEastAsia" w:eastAsiaTheme="minorEastAsia"/>
          <w:sz w:val="32"/>
          <w:szCs w:val="32"/>
          <w:lang w:eastAsia="zh-CN"/>
        </w:rPr>
        <w:t>，</w:t>
      </w:r>
      <w:r>
        <w:rPr>
          <w:rFonts w:hint="eastAsia" w:ascii="仿宋_GB2312" w:hAnsi="仿宋_GB2312" w:eastAsia="仿宋_GB2312" w:cs="仿宋_GB2312"/>
          <w:kern w:val="0"/>
          <w:sz w:val="32"/>
          <w:szCs w:val="32"/>
        </w:rPr>
        <w:t>持续开展不达标水体专项整治，继续加强重点流域保护修复。加强源头水系和水质良好湖库生态保护</w:t>
      </w:r>
      <w:r>
        <w:rPr>
          <w:rFonts w:hint="eastAsia" w:cs="仿宋_GB2312" w:asciiTheme="minorEastAsia" w:hAnsiTheme="minorEastAsia" w:eastAsiaTheme="minorEastAsia"/>
          <w:kern w:val="0"/>
          <w:sz w:val="32"/>
          <w:szCs w:val="32"/>
        </w:rPr>
        <w:t>。</w:t>
      </w:r>
      <w:r>
        <w:rPr>
          <w:rFonts w:hint="eastAsia" w:ascii="仿宋_GB2312" w:hAnsi="仿宋_GB2312" w:eastAsia="仿宋_GB2312" w:cs="仿宋_GB2312"/>
          <w:kern w:val="0"/>
          <w:sz w:val="32"/>
          <w:szCs w:val="32"/>
        </w:rPr>
        <w:t>推进“千人以上”饮用水水源地问题整治</w:t>
      </w:r>
      <w:r>
        <w:rPr>
          <w:rFonts w:hint="eastAsia" w:cs="仿宋_GB2312" w:asciiTheme="minorEastAsia" w:hAnsiTheme="minorEastAsia" w:eastAsiaTheme="minorEastAsia"/>
          <w:kern w:val="0"/>
          <w:sz w:val="32"/>
          <w:szCs w:val="32"/>
        </w:rPr>
        <w:t>。</w:t>
      </w:r>
      <w:r>
        <w:rPr>
          <w:rFonts w:hint="eastAsia" w:ascii="仿宋_GB2312" w:hAnsi="仿宋_GB2312" w:eastAsia="仿宋_GB2312" w:cs="仿宋_GB2312"/>
          <w:kern w:val="0"/>
          <w:sz w:val="32"/>
          <w:szCs w:val="32"/>
        </w:rPr>
        <w:t>巩固黑臭水体治理成效，强化污水收集配套管网建设，加快推进乡镇污水处理设施建设，规范已建设施运行</w:t>
      </w:r>
      <w:r>
        <w:rPr>
          <w:rFonts w:hint="eastAsia" w:cs="仿宋_GB2312" w:asciiTheme="minorEastAsia" w:hAnsiTheme="minorEastAsia" w:eastAsiaTheme="minorEastAsia"/>
          <w:kern w:val="0"/>
          <w:sz w:val="32"/>
          <w:szCs w:val="32"/>
        </w:rPr>
        <w:t>。</w:t>
      </w:r>
      <w:r>
        <w:rPr>
          <w:rFonts w:hint="eastAsia" w:ascii="仿宋_GB2312" w:hAnsi="仿宋_GB2312" w:eastAsia="仿宋_GB2312" w:cs="仿宋_GB2312"/>
          <w:kern w:val="0"/>
          <w:sz w:val="32"/>
          <w:szCs w:val="32"/>
        </w:rPr>
        <w:t>严格落实排污许可制度，强化重点行业企业规范化整治，进一步规范工业园区污水处理环境管理，积极排查整治有关问题。加强船舶、港口、码头和高速服务区污染防治。扎实推进氨氮、化学需氧量、总磷等污染物年度减排工作</w:t>
      </w:r>
      <w:r>
        <w:rPr>
          <w:rFonts w:hint="eastAsia" w:cs="仿宋_GB2312" w:asciiTheme="minorEastAsia" w:hAnsiTheme="minorEastAsia" w:eastAsiaTheme="minorEastAsia"/>
          <w:sz w:val="32"/>
          <w:szCs w:val="32"/>
        </w:rPr>
        <w:t>。</w:t>
      </w:r>
      <w:r>
        <w:rPr>
          <w:rFonts w:hint="eastAsia" w:ascii="仿宋_GB2312" w:hAnsi="仿宋_GB2312" w:eastAsia="仿宋_GB2312" w:cs="仿宋_GB2312"/>
          <w:kern w:val="0"/>
          <w:sz w:val="32"/>
          <w:szCs w:val="32"/>
        </w:rPr>
        <w:t>加强水资源保护节约，全面实行水资源消耗总量和强度双控。加强重点河流生态流量保障。推进重点河湖生态环境保护修复试点示范，加强河湖生态缓冲带建设和管控。推进控制单元、汇水范围精细化管理，推动落实河（湖）长制年度重点工作。</w:t>
      </w:r>
    </w:p>
    <w:p>
      <w:pPr>
        <w:pStyle w:val="36"/>
        <w:keepNext w:val="0"/>
        <w:keepLines w:val="0"/>
        <w:pageBreakBefore w:val="0"/>
        <w:kinsoku/>
        <w:wordWrap/>
        <w:overflowPunct/>
        <w:topLinePunct w:val="0"/>
        <w:bidi w:val="0"/>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深入开展大气污染防治行动。</w:t>
      </w:r>
      <w:r>
        <w:rPr>
          <w:rFonts w:hint="eastAsia" w:ascii="仿宋_GB2312" w:hAnsi="仿宋_GB2312" w:eastAsia="仿宋_GB2312" w:cs="仿宋_GB2312"/>
          <w:color w:val="auto"/>
          <w:sz w:val="32"/>
          <w:szCs w:val="32"/>
        </w:rPr>
        <w:t>加强PM</w:t>
      </w:r>
      <w:r>
        <w:rPr>
          <w:rFonts w:hint="eastAsia" w:ascii="仿宋_GB2312" w:hAnsi="仿宋_GB2312" w:eastAsia="仿宋_GB2312" w:cs="仿宋_GB2312"/>
          <w:color w:val="auto"/>
          <w:sz w:val="32"/>
          <w:szCs w:val="32"/>
          <w:vertAlign w:val="subscript"/>
        </w:rPr>
        <w:t>2.5</w:t>
      </w:r>
      <w:r>
        <w:rPr>
          <w:rFonts w:hint="eastAsia" w:ascii="仿宋_GB2312" w:hAnsi="仿宋_GB2312" w:eastAsia="仿宋_GB2312" w:cs="仿宋_GB2312"/>
          <w:color w:val="auto"/>
          <w:sz w:val="32"/>
          <w:szCs w:val="32"/>
        </w:rPr>
        <w:t>和臭氧协同控制。推进挥发性有机物综合整治、工业炉窑大气污染综合治理和水泥等重点行业深度治理，强化氮氧化物和挥发性有机物协同减排；强化新</w:t>
      </w:r>
      <w:r>
        <w:rPr>
          <w:rFonts w:hint="eastAsia" w:ascii="仿宋_GB2312" w:hAnsi="仿宋_GB2312" w:eastAsia="仿宋_GB2312" w:cs="仿宋_GB2312"/>
          <w:color w:val="auto"/>
          <w:sz w:val="32"/>
          <w:szCs w:val="32"/>
          <w:lang w:eastAsia="zh-CN"/>
        </w:rPr>
        <w:t>上路</w:t>
      </w:r>
      <w:r>
        <w:rPr>
          <w:rFonts w:hint="eastAsia" w:ascii="仿宋_GB2312" w:hAnsi="仿宋_GB2312" w:eastAsia="仿宋_GB2312" w:cs="仿宋_GB2312"/>
          <w:color w:val="auto"/>
          <w:sz w:val="32"/>
          <w:szCs w:val="32"/>
        </w:rPr>
        <w:t>车辆达标排放监管，加速老旧车辆淘汰，加强机动车和非道路移动机械污染治理；强化秸秆综合利用和禁烧</w:t>
      </w:r>
      <w:r>
        <w:rPr>
          <w:rFonts w:hint="eastAsia" w:ascii="仿宋_GB2312" w:hAnsi="仿宋_GB2312" w:eastAsia="仿宋_GB2312" w:cs="仿宋_GB2312"/>
          <w:color w:val="auto"/>
          <w:spacing w:val="-11"/>
          <w:sz w:val="32"/>
          <w:szCs w:val="32"/>
        </w:rPr>
        <w:t>管控。加强大气污染物传输通道城</w:t>
      </w:r>
      <w:r>
        <w:rPr>
          <w:rFonts w:hint="eastAsia" w:ascii="仿宋_GB2312" w:hAnsi="仿宋_GB2312" w:eastAsia="仿宋_GB2312" w:cs="仿宋_GB2312"/>
          <w:color w:val="auto"/>
          <w:spacing w:val="-11"/>
          <w:sz w:val="32"/>
          <w:szCs w:val="32"/>
          <w:lang w:eastAsia="zh-CN"/>
        </w:rPr>
        <w:t>区</w:t>
      </w:r>
      <w:r>
        <w:rPr>
          <w:rFonts w:hint="eastAsia" w:ascii="仿宋_GB2312" w:hAnsi="仿宋_GB2312" w:eastAsia="仿宋_GB2312" w:cs="仿宋_GB2312"/>
          <w:color w:val="auto"/>
          <w:spacing w:val="-11"/>
          <w:sz w:val="32"/>
          <w:szCs w:val="32"/>
        </w:rPr>
        <w:t>大气污染联防联控，持续开展夏季臭氧和特护期大气污染物防治工作</w:t>
      </w:r>
      <w:r>
        <w:rPr>
          <w:rFonts w:hint="eastAsia" w:cs="仿宋_GB2312" w:asciiTheme="minorEastAsia" w:hAnsiTheme="minorEastAsia" w:eastAsiaTheme="minorEastAsia"/>
          <w:color w:val="auto"/>
          <w:spacing w:val="-11"/>
          <w:sz w:val="32"/>
          <w:szCs w:val="32"/>
        </w:rPr>
        <w:t>。</w:t>
      </w:r>
      <w:r>
        <w:rPr>
          <w:rFonts w:hint="eastAsia" w:ascii="仿宋_GB2312" w:hAnsi="仿宋_GB2312" w:eastAsia="仿宋_GB2312" w:cs="仿宋_GB2312"/>
          <w:color w:val="auto"/>
          <w:spacing w:val="-11"/>
          <w:sz w:val="32"/>
          <w:szCs w:val="32"/>
        </w:rPr>
        <w:t>加强重污染天气防范与应对。制定轻中度污染管控措施，更新完善应急减排清单，继续实施重污染天气应急减排分级管控，有效应对中重度污染天气。加强噪声污染防治，提升城区、交通和功能区声环境质量。</w:t>
      </w:r>
    </w:p>
    <w:p>
      <w:pPr>
        <w:pStyle w:val="2"/>
        <w:keepNext w:val="0"/>
        <w:keepLines w:val="0"/>
        <w:pageBreakBefore w:val="0"/>
        <w:kinsoku/>
        <w:wordWrap/>
        <w:overflowPunct/>
        <w:topLinePunct w:val="0"/>
        <w:bidi w:val="0"/>
        <w:spacing w:after="0"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深入开展土壤污染防治行动。</w:t>
      </w:r>
      <w:r>
        <w:rPr>
          <w:rFonts w:hint="eastAsia" w:ascii="仿宋_GB2312" w:hAnsi="仿宋_GB2312" w:eastAsia="仿宋_GB2312" w:cs="仿宋_GB2312"/>
          <w:sz w:val="32"/>
          <w:szCs w:val="32"/>
        </w:rPr>
        <w:t>加强重金属污染治理和源头防控。巩固深化危废专项大排查大调查成果；加强固体废物污染治理；开展涉铊、镉等重金属污染源排查整治专项行动；加强土壤污染重点监管单位环境监管。推进受污染耕地安全利用和严格管控。开展耕地土壤污染成因排查和分析；持续推进农用地分类管理。加强污染地块安全利用和保护。完成重点行业企业用地土壤污染状况调查成果集成与上报；依法开展土壤污染状况调查和风险评估；严格污染地块再开发利用准入管理；加强危险化学品生产企业搬迁改造工作中腾退土地污染风险管控和治理修复。开展地下水污染防治试点，推进地下水环境状况调查评估。继续推进“无废城市”建设，持续开展“白色垃圾”综合治理。加强有毒有害化学物质环境风险防控，重视新污染物评估治理体系建设。开展铅蓄电池集中收集和跨区域转运制度试点，严格废弃电器电子产品处理拆解审核，强化重点行业重点区域重金属污染防治。</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加强农业农村面源污染治理。</w:t>
      </w:r>
      <w:r>
        <w:rPr>
          <w:rFonts w:hint="eastAsia" w:ascii="仿宋_GB2312" w:hAnsi="仿宋_GB2312" w:eastAsia="仿宋_GB2312" w:cs="仿宋_GB2312"/>
          <w:sz w:val="32"/>
          <w:szCs w:val="32"/>
        </w:rPr>
        <w:t>深入开展化肥农药减施增效行动。加强农业投入品规范化管理，大力推广应用绿色防控技术和高效大中型植保机械。加强畜禽水产养殖污染治理。推动种养结合和粪污综合利用，加强畜禽规模养殖场粪污处理设施监管，推进水产养殖节水减排</w:t>
      </w:r>
      <w:r>
        <w:rPr>
          <w:rFonts w:hint="eastAsia" w:ascii="仿宋" w:hAnsi="仿宋" w:eastAsia="仿宋" w:cs="仿宋_GB2312"/>
          <w:sz w:val="32"/>
          <w:szCs w:val="32"/>
        </w:rPr>
        <w:t>和养殖尾水治理</w:t>
      </w:r>
      <w:r>
        <w:rPr>
          <w:rFonts w:hint="eastAsia" w:ascii="仿宋_GB2312" w:hAnsi="仿宋_GB2312" w:eastAsia="仿宋_GB2312" w:cs="仿宋_GB2312"/>
          <w:sz w:val="32"/>
          <w:szCs w:val="32"/>
        </w:rPr>
        <w:t>。加强农膜等废弃物回收利用。鼓励开展农膜回收绿色补偿制度，推进秸秆综合利用长效化运行。深入开展农村环境整治，加强农村黑臭水体、生活污水、生活垃圾污染治理。强化农村生活污水治理设施监管，开展农村黑臭水体治理示范，健全农村生活垃圾收运处置体系。</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持续发起污染防治攻坚战“夏季攻势”。</w:t>
      </w:r>
      <w:r>
        <w:rPr>
          <w:rFonts w:hint="eastAsia" w:ascii="仿宋_GB2312" w:hAnsi="仿宋_GB2312" w:eastAsia="仿宋_GB2312" w:cs="仿宋_GB2312"/>
          <w:sz w:val="32"/>
          <w:szCs w:val="32"/>
        </w:rPr>
        <w:t>采取项目化、工程化、清单化形式进行污染防治攻坚。主要包括中央交办突出生态环境问题整改、乡镇污水处理设施建设、重点行业VOCs综合治理、乡镇级千人以上饮用水水源地生态环境问题整治、完成土壤污染治理项目、涉铊企业综合整治、危险废物大整治、洞庭湖总磷污染控制与削减整治、砂石土矿专项整治等任务。</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sz w:val="32"/>
          <w:szCs w:val="32"/>
        </w:rPr>
        <w:t>（三）持续推进突出生态环境问题整改</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kern w:val="0"/>
          <w:sz w:val="32"/>
          <w:szCs w:val="32"/>
        </w:rPr>
        <w:t>坚决抓好中央层面反馈、指出问题整改。</w:t>
      </w:r>
      <w:r>
        <w:rPr>
          <w:rFonts w:hint="eastAsia" w:ascii="仿宋_GB2312" w:hAnsi="仿宋_GB2312" w:eastAsia="仿宋_GB2312" w:cs="仿宋_GB2312"/>
          <w:sz w:val="32"/>
          <w:szCs w:val="32"/>
        </w:rPr>
        <w:t>完成中央环保督察及“回头看”年度整改任务，对</w:t>
      </w:r>
      <w:r>
        <w:rPr>
          <w:rFonts w:hint="eastAsia" w:ascii="仿宋_GB2312" w:hAnsi="仿宋_GB2312" w:cs="仿宋_GB2312"/>
          <w:sz w:val="32"/>
          <w:szCs w:val="32"/>
          <w:lang w:val="en-US" w:eastAsia="zh-CN"/>
        </w:rPr>
        <w:t>各类已</w:t>
      </w:r>
      <w:r>
        <w:rPr>
          <w:rFonts w:hint="eastAsia" w:ascii="仿宋_GB2312" w:hAnsi="仿宋_GB2312" w:eastAsia="仿宋_GB2312" w:cs="仿宋_GB2312"/>
          <w:sz w:val="32"/>
          <w:szCs w:val="32"/>
        </w:rPr>
        <w:t>整改</w:t>
      </w:r>
      <w:r>
        <w:rPr>
          <w:rFonts w:hint="eastAsia" w:ascii="仿宋_GB2312" w:hAnsi="仿宋_GB2312" w:cs="仿宋_GB2312"/>
          <w:sz w:val="32"/>
          <w:szCs w:val="32"/>
          <w:lang w:val="en-US" w:eastAsia="zh-CN"/>
        </w:rPr>
        <w:t>销号的问题</w:t>
      </w:r>
      <w:r>
        <w:rPr>
          <w:rFonts w:hint="eastAsia" w:ascii="仿宋_GB2312" w:hAnsi="仿宋_GB2312" w:eastAsia="仿宋_GB2312" w:cs="仿宋_GB2312"/>
          <w:sz w:val="32"/>
          <w:szCs w:val="32"/>
        </w:rPr>
        <w:t>组织“回头看”；</w:t>
      </w:r>
      <w:r>
        <w:rPr>
          <w:rFonts w:hint="eastAsia" w:ascii="仿宋_GB2312" w:hAnsi="仿宋_GB2312" w:cs="仿宋_GB2312"/>
          <w:sz w:val="32"/>
          <w:szCs w:val="32"/>
          <w:lang w:val="en-US" w:eastAsia="zh-CN"/>
        </w:rPr>
        <w:t>抓好第二轮中央环保督察转变信访举报件的办理，按时办结；针对第二轮中央环保督察反馈的问题，制订好整改方案，抓好整改落实；坚决完成化肥减量数据失真问题整改</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color w:val="auto"/>
          <w:sz w:val="32"/>
          <w:szCs w:val="32"/>
        </w:rPr>
        <w:t>抓好省级生态环保督察“回头看”反馈问题整改。</w:t>
      </w:r>
    </w:p>
    <w:p>
      <w:pPr>
        <w:pStyle w:val="2"/>
        <w:keepNext w:val="0"/>
        <w:keepLines w:val="0"/>
        <w:pageBreakBefore w:val="0"/>
        <w:kinsoku/>
        <w:wordWrap/>
        <w:overflowPunct/>
        <w:topLinePunct w:val="0"/>
        <w:bidi w:val="0"/>
        <w:spacing w:after="0" w:line="600" w:lineRule="exact"/>
        <w:ind w:firstLine="643" w:firstLineChars="200"/>
        <w:textAlignment w:val="auto"/>
        <w:rPr>
          <w:rFonts w:hint="eastAsia" w:ascii="仿宋_GB2312" w:hAnsi="仿宋_GB2312" w:eastAsia="仿宋_GB2312" w:cs="仿宋_GB2312"/>
          <w:b w:val="0"/>
          <w:bCs w:val="0"/>
          <w:kern w:val="0"/>
          <w:sz w:val="32"/>
          <w:szCs w:val="32"/>
        </w:rPr>
      </w:pPr>
      <w:r>
        <w:rPr>
          <w:rFonts w:hint="eastAsia" w:ascii="楷体_GB2312" w:hAnsi="楷体_GB2312" w:eastAsia="楷体_GB2312" w:cs="楷体_GB2312"/>
          <w:b/>
          <w:bCs/>
          <w:sz w:val="32"/>
          <w:szCs w:val="32"/>
        </w:rPr>
        <w:t>（四）加强生态保护和修复</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kern w:val="0"/>
          <w:sz w:val="32"/>
          <w:szCs w:val="32"/>
        </w:rPr>
        <w:t>推进长江保护修复攻坚</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color w:val="auto"/>
          <w:sz w:val="32"/>
          <w:szCs w:val="32"/>
        </w:rPr>
        <w:t>推进绿盾行动和国土绿化行动</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kern w:val="0"/>
          <w:sz w:val="32"/>
          <w:szCs w:val="32"/>
        </w:rPr>
        <w:t>加强生物多样性保护</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推进生态文明示范创建。</w:t>
      </w:r>
    </w:p>
    <w:p>
      <w:pPr>
        <w:pStyle w:val="2"/>
        <w:keepNext w:val="0"/>
        <w:keepLines w:val="0"/>
        <w:pageBreakBefore w:val="0"/>
        <w:kinsoku/>
        <w:wordWrap/>
        <w:overflowPunct/>
        <w:topLinePunct w:val="0"/>
        <w:bidi w:val="0"/>
        <w:spacing w:after="0" w:line="600" w:lineRule="exact"/>
        <w:ind w:firstLine="643" w:firstLineChars="200"/>
        <w:textAlignment w:val="auto"/>
        <w:rPr>
          <w:rFonts w:hint="eastAsia" w:ascii="仿宋_GB2312" w:hAnsi="仿宋_GB2312" w:eastAsia="仿宋_GB2312" w:cs="仿宋_GB2312"/>
          <w:b w:val="0"/>
          <w:bCs w:val="0"/>
          <w:color w:val="auto"/>
          <w:sz w:val="32"/>
          <w:szCs w:val="32"/>
          <w:highlight w:val="yellow"/>
        </w:rPr>
      </w:pPr>
      <w:r>
        <w:rPr>
          <w:rFonts w:hint="eastAsia" w:ascii="楷体_GB2312" w:hAnsi="楷体_GB2312" w:eastAsia="楷体_GB2312" w:cs="楷体_GB2312"/>
          <w:b/>
          <w:bCs/>
          <w:sz w:val="32"/>
          <w:szCs w:val="32"/>
        </w:rPr>
        <w:t>（五）实施碳排放达峰行动</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color w:val="auto"/>
          <w:sz w:val="32"/>
          <w:szCs w:val="32"/>
        </w:rPr>
        <w:t>健全议事协调机构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制定碳排放达峰行动计划。</w:t>
      </w:r>
    </w:p>
    <w:p>
      <w:pPr>
        <w:pStyle w:val="2"/>
        <w:keepNext w:val="0"/>
        <w:keepLines w:val="0"/>
        <w:pageBreakBefore w:val="0"/>
        <w:kinsoku/>
        <w:wordWrap/>
        <w:overflowPunct/>
        <w:topLinePunct w:val="0"/>
        <w:bidi w:val="0"/>
        <w:spacing w:after="0"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sz w:val="32"/>
          <w:szCs w:val="32"/>
        </w:rPr>
        <w:t>（六）构建绿色生产生活方式</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color w:val="auto"/>
          <w:sz w:val="32"/>
          <w:szCs w:val="32"/>
        </w:rPr>
        <w:t>推动产业结构调整。淘汰过剩落后产能，控制高耗能行业新增产能规模。推动高污染企业搬迁入园或者依法关闭，大力推进绿色制造。推进能源结构调整。推动煤炭清洁高效利用，强化煤炭消费总量控制；推进重点行业企业清洁化生产，加快推进“新能源+储能”模式，提高新能源占能源消费总量比例。加快船舶清洁能源推广使用，加大新能源汽车推广力度。推动运输结构调整。推进绿色生活和绿色消费。</w:t>
      </w:r>
    </w:p>
    <w:p>
      <w:pPr>
        <w:pStyle w:val="2"/>
        <w:keepNext w:val="0"/>
        <w:keepLines w:val="0"/>
        <w:pageBreakBefore w:val="0"/>
        <w:kinsoku/>
        <w:wordWrap/>
        <w:overflowPunct/>
        <w:topLinePunct w:val="0"/>
        <w:bidi w:val="0"/>
        <w:spacing w:after="0" w:line="60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bCs/>
          <w:sz w:val="32"/>
          <w:szCs w:val="32"/>
        </w:rPr>
        <w:t>（七）严格生态环境监管执法</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color w:val="auto"/>
          <w:sz w:val="32"/>
          <w:szCs w:val="32"/>
        </w:rPr>
        <w:t>严格生态环境行政许可。进一步完善生态环境行政许可制度，规范流程，做到严格把关、依法行政。严格生态环境执法。强化日常执法，落实“双随机、一公开”制度，强化日常监管，构建以排污许可证为主要依据的固定污染源监管执法体系。围绕深入打好污染防治攻坚战，开展系列专项执法行动。强化两法衔接，严厉打击生态环境违法行为。</w:t>
      </w:r>
    </w:p>
    <w:p>
      <w:pPr>
        <w:pStyle w:val="2"/>
        <w:keepNext w:val="0"/>
        <w:keepLines w:val="0"/>
        <w:pageBreakBefore w:val="0"/>
        <w:widowControl w:val="0"/>
        <w:kinsoku/>
        <w:wordWrap/>
        <w:overflowPunct/>
        <w:topLinePunct w:val="0"/>
        <w:bidi w:val="0"/>
        <w:spacing w:after="0" w:line="580" w:lineRule="exact"/>
        <w:ind w:firstLine="643" w:firstLineChars="200"/>
        <w:textAlignment w:val="auto"/>
        <w:outlineLvl w:val="9"/>
        <w:rPr>
          <w:rFonts w:hint="eastAsia" w:ascii="仿宋_GB2312" w:hAnsi="仿宋_GB2312" w:eastAsia="仿宋_GB2312" w:cs="仿宋_GB2312"/>
          <w:b w:val="0"/>
          <w:bCs w:val="0"/>
          <w:sz w:val="32"/>
          <w:szCs w:val="32"/>
        </w:rPr>
      </w:pPr>
      <w:r>
        <w:rPr>
          <w:rFonts w:hint="eastAsia" w:ascii="楷体_GB2312" w:hAnsi="楷体_GB2312" w:eastAsia="楷体_GB2312" w:cs="楷体_GB2312"/>
          <w:b/>
          <w:bCs/>
          <w:sz w:val="32"/>
          <w:szCs w:val="32"/>
        </w:rPr>
        <w:t>（八）防范化解生态环境风险</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color w:val="auto"/>
          <w:sz w:val="32"/>
          <w:szCs w:val="32"/>
        </w:rPr>
        <w:t>加强生态环境监控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加强“一废一库一品”环境监管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强化应急处置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kern w:val="0"/>
          <w:sz w:val="32"/>
          <w:szCs w:val="32"/>
        </w:rPr>
        <w:t>加强核与辐射安全监管</w:t>
      </w:r>
      <w:r>
        <w:rPr>
          <w:rFonts w:hint="eastAsia" w:ascii="仿宋_GB2312" w:hAnsi="仿宋_GB2312" w:eastAsia="仿宋_GB2312" w:cs="仿宋_GB2312"/>
          <w:b w:val="0"/>
          <w:bCs w:val="0"/>
          <w:sz w:val="32"/>
          <w:szCs w:val="32"/>
        </w:rPr>
        <w:t>。</w:t>
      </w:r>
    </w:p>
    <w:p>
      <w:pPr>
        <w:pStyle w:val="2"/>
        <w:keepNext w:val="0"/>
        <w:keepLines w:val="0"/>
        <w:pageBreakBefore w:val="0"/>
        <w:widowControl w:val="0"/>
        <w:kinsoku/>
        <w:wordWrap/>
        <w:overflowPunct/>
        <w:topLinePunct w:val="0"/>
        <w:bidi w:val="0"/>
        <w:spacing w:after="0" w:line="580" w:lineRule="exact"/>
        <w:ind w:firstLine="643"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rPr>
        <w:t>（九）服务经济高质量发展</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color w:val="auto"/>
          <w:sz w:val="32"/>
          <w:szCs w:val="32"/>
        </w:rPr>
        <w:t>推进全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“三线一单”分区管控成果集成和措施落地应用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加快推进环保信用体</w:t>
      </w:r>
      <w:r>
        <w:rPr>
          <w:rFonts w:hint="eastAsia" w:ascii="仿宋_GB2312" w:hAnsi="仿宋_GB2312" w:eastAsia="仿宋_GB2312" w:cs="仿宋_GB2312"/>
          <w:b w:val="0"/>
          <w:bCs w:val="0"/>
          <w:color w:val="auto"/>
          <w:sz w:val="32"/>
          <w:szCs w:val="32"/>
        </w:rPr>
        <w:t>系建设。推进环评审批和监督执法“两个正面清单”改革举措制度化。对符合环保要求的项目开辟绿色通道。强化生态环境政策宣传和帮企治污，支持服务企业绿色发展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扶持壮大环保产业。</w:t>
      </w:r>
    </w:p>
    <w:p>
      <w:pPr>
        <w:pStyle w:val="2"/>
        <w:keepNext w:val="0"/>
        <w:keepLines w:val="0"/>
        <w:pageBreakBefore w:val="0"/>
        <w:widowControl w:val="0"/>
        <w:kinsoku/>
        <w:wordWrap/>
        <w:overflowPunct/>
        <w:topLinePunct w:val="0"/>
        <w:bidi w:val="0"/>
        <w:spacing w:after="0" w:line="580" w:lineRule="exact"/>
        <w:ind w:firstLine="643" w:firstLineChars="200"/>
        <w:textAlignment w:val="auto"/>
        <w:outlineLvl w:val="9"/>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rPr>
        <w:t>（十）加强生态环境能力建设</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val="0"/>
          <w:bCs w:val="0"/>
          <w:kern w:val="0"/>
          <w:sz w:val="32"/>
          <w:szCs w:val="32"/>
        </w:rPr>
        <w:t>推进督察、执法、监测能力建设</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推进生态环境信息化能力建设</w:t>
      </w:r>
      <w:r>
        <w:rPr>
          <w:rFonts w:hint="eastAsia" w:ascii="仿宋_GB2312" w:hAnsi="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加强生态环境保护科技攻关。</w:t>
      </w:r>
      <w:r>
        <w:rPr>
          <w:rFonts w:hint="eastAsia" w:ascii="仿宋_GB2312" w:hAnsi="仿宋_GB2312" w:eastAsia="仿宋_GB2312" w:cs="仿宋_GB2312"/>
          <w:b w:val="0"/>
          <w:bCs w:val="0"/>
          <w:sz w:val="32"/>
          <w:szCs w:val="32"/>
        </w:rPr>
        <w:t>对PM</w:t>
      </w:r>
      <w:r>
        <w:rPr>
          <w:rFonts w:hint="eastAsia" w:ascii="仿宋_GB2312" w:hAnsi="仿宋_GB2312" w:eastAsia="仿宋_GB2312" w:cs="仿宋_GB2312"/>
          <w:b w:val="0"/>
          <w:bCs w:val="0"/>
          <w:sz w:val="32"/>
          <w:szCs w:val="32"/>
          <w:vertAlign w:val="subscript"/>
        </w:rPr>
        <w:t>2.5</w:t>
      </w:r>
      <w:r>
        <w:rPr>
          <w:rFonts w:hint="eastAsia" w:ascii="仿宋_GB2312" w:hAnsi="仿宋_GB2312" w:eastAsia="仿宋_GB2312" w:cs="仿宋_GB2312"/>
          <w:b w:val="0"/>
          <w:bCs w:val="0"/>
          <w:sz w:val="32"/>
          <w:szCs w:val="32"/>
        </w:rPr>
        <w:t>与臭氧协同控制、矿涌水治理、总磷控制、重金属污染治理、砷碱渣铍渣等危废治理</w:t>
      </w:r>
      <w:r>
        <w:rPr>
          <w:rFonts w:hint="eastAsia" w:ascii="仿宋_GB2312" w:hAnsi="仿宋_GB2312" w:cs="仿宋_GB2312"/>
          <w:b w:val="0"/>
          <w:bCs w:val="0"/>
          <w:sz w:val="32"/>
          <w:szCs w:val="32"/>
          <w:lang w:eastAsia="zh-CN"/>
        </w:rPr>
        <w:t>，</w:t>
      </w:r>
      <w:r>
        <w:rPr>
          <w:rFonts w:hint="eastAsia" w:ascii="仿宋_GB2312" w:hAnsi="仿宋_GB2312" w:eastAsia="仿宋_GB2312" w:cs="仿宋_GB2312"/>
          <w:b w:val="0"/>
          <w:bCs w:val="0"/>
          <w:sz w:val="32"/>
          <w:szCs w:val="32"/>
        </w:rPr>
        <w:t>提高科学治污水平。</w:t>
      </w:r>
      <w:r>
        <w:rPr>
          <w:rFonts w:hint="eastAsia" w:ascii="仿宋_GB2312" w:hAnsi="仿宋_GB2312" w:cs="仿宋_GB2312"/>
          <w:b w:val="0"/>
          <w:bCs w:val="0"/>
          <w:sz w:val="32"/>
          <w:szCs w:val="32"/>
          <w:lang w:val="en-US" w:eastAsia="zh-CN"/>
        </w:rPr>
        <w:t>（重点工作任务见附件）</w:t>
      </w:r>
    </w:p>
    <w:p>
      <w:pPr>
        <w:keepNext w:val="0"/>
        <w:keepLines w:val="0"/>
        <w:pageBreakBefore w:val="0"/>
        <w:widowControl w:val="0"/>
        <w:numPr>
          <w:ilvl w:val="0"/>
          <w:numId w:val="1"/>
        </w:numPr>
        <w:kinsoku/>
        <w:wordWrap/>
        <w:overflowPunct/>
        <w:topLinePunct w:val="0"/>
        <w:bidi w:val="0"/>
        <w:spacing w:line="580" w:lineRule="exact"/>
        <w:ind w:firstLine="640" w:firstLineChars="200"/>
        <w:textAlignment w:val="auto"/>
        <w:outlineLvl w:val="9"/>
        <w:rPr>
          <w:rFonts w:ascii="黑体" w:hAnsi="黑体" w:eastAsia="黑体" w:cs="黑体"/>
          <w:szCs w:val="32"/>
        </w:rPr>
      </w:pPr>
      <w:r>
        <w:rPr>
          <w:rFonts w:hint="eastAsia" w:ascii="黑体" w:hAnsi="黑体" w:eastAsia="黑体" w:cs="黑体"/>
          <w:szCs w:val="32"/>
        </w:rPr>
        <w:t>保障措施</w:t>
      </w:r>
    </w:p>
    <w:p>
      <w:pPr>
        <w:keepNext w:val="0"/>
        <w:keepLines w:val="0"/>
        <w:pageBreakBefore w:val="0"/>
        <w:widowControl w:val="0"/>
        <w:kinsoku/>
        <w:wordWrap/>
        <w:overflowPunct/>
        <w:topLinePunct w:val="0"/>
        <w:bidi w:val="0"/>
        <w:adjustRightInd w:val="0"/>
        <w:snapToGrid w:val="0"/>
        <w:spacing w:line="580" w:lineRule="exact"/>
        <w:ind w:firstLine="643" w:firstLineChars="200"/>
        <w:textAlignment w:val="auto"/>
        <w:outlineLvl w:val="9"/>
        <w:rPr>
          <w:szCs w:val="32"/>
        </w:rPr>
      </w:pPr>
      <w:r>
        <w:rPr>
          <w:rFonts w:hint="eastAsia" w:eastAsia="楷体_GB2312"/>
          <w:b/>
          <w:szCs w:val="32"/>
        </w:rPr>
        <w:t>（一）加强组织领导。</w:t>
      </w:r>
      <w:r>
        <w:rPr>
          <w:rFonts w:hint="eastAsia"/>
          <w:szCs w:val="32"/>
        </w:rPr>
        <w:t>各</w:t>
      </w:r>
      <w:r>
        <w:rPr>
          <w:rFonts w:hint="eastAsia"/>
          <w:szCs w:val="32"/>
          <w:lang w:eastAsia="zh-CN"/>
        </w:rPr>
        <w:t>乡镇、</w:t>
      </w:r>
      <w:r>
        <w:rPr>
          <w:rFonts w:hint="eastAsia"/>
          <w:szCs w:val="32"/>
        </w:rPr>
        <w:t>各部门要按照年度实施方案职责分工，对相关领域的整治，由</w:t>
      </w:r>
      <w:r>
        <w:rPr>
          <w:rFonts w:hint="eastAsia"/>
          <w:szCs w:val="32"/>
          <w:lang w:eastAsia="zh-CN"/>
        </w:rPr>
        <w:t>县</w:t>
      </w:r>
      <w:r>
        <w:rPr>
          <w:rFonts w:hint="eastAsia"/>
          <w:szCs w:val="32"/>
        </w:rPr>
        <w:t>直相关责任部门牵头、相关部门参与，加强政策指导和督促推进。各</w:t>
      </w:r>
      <w:r>
        <w:rPr>
          <w:rFonts w:hint="eastAsia"/>
          <w:szCs w:val="32"/>
          <w:lang w:eastAsia="zh-CN"/>
        </w:rPr>
        <w:t>乡镇</w:t>
      </w:r>
      <w:r>
        <w:rPr>
          <w:rFonts w:hint="eastAsia"/>
          <w:szCs w:val="32"/>
        </w:rPr>
        <w:t>党委、政府（管委会）要严格落实污染防治的主体责任，落实</w:t>
      </w:r>
      <w:r>
        <w:rPr>
          <w:szCs w:val="32"/>
        </w:rPr>
        <w:t>“</w:t>
      </w:r>
      <w:r>
        <w:rPr>
          <w:rFonts w:hint="eastAsia"/>
          <w:szCs w:val="32"/>
        </w:rPr>
        <w:t>党政同责</w:t>
      </w:r>
      <w:r>
        <w:rPr>
          <w:szCs w:val="32"/>
        </w:rPr>
        <w:t>”</w:t>
      </w:r>
      <w:r>
        <w:rPr>
          <w:rFonts w:hint="eastAsia"/>
          <w:szCs w:val="32"/>
        </w:rPr>
        <w:t>和</w:t>
      </w:r>
      <w:r>
        <w:rPr>
          <w:szCs w:val="32"/>
        </w:rPr>
        <w:t>“</w:t>
      </w:r>
      <w:r>
        <w:rPr>
          <w:rFonts w:hint="eastAsia"/>
          <w:szCs w:val="32"/>
        </w:rPr>
        <w:t>一岗双责</w:t>
      </w:r>
      <w:r>
        <w:rPr>
          <w:szCs w:val="32"/>
        </w:rPr>
        <w:t>”</w:t>
      </w:r>
      <w:r>
        <w:rPr>
          <w:rFonts w:hint="eastAsia"/>
          <w:szCs w:val="32"/>
        </w:rPr>
        <w:t>，主要领导亲自抓，分管领导全力抓，其它领导配合抓，要定期研究部署污染防治工作，以问题为导向，有针对性地强化工作措施，将环境质量目标和任务逐级分解，明确责任单位、责任人和时间节点，确保环境质量目标和污染防治重点项目全面完成。</w:t>
      </w:r>
      <w:r>
        <w:rPr>
          <w:rFonts w:hint="eastAsia"/>
          <w:szCs w:val="32"/>
          <w:lang w:eastAsia="zh-CN"/>
        </w:rPr>
        <w:t>县</w:t>
      </w:r>
      <w:r>
        <w:rPr>
          <w:rFonts w:hint="eastAsia"/>
          <w:szCs w:val="32"/>
        </w:rPr>
        <w:t>生态环境保护委员会办公室（以下简称</w:t>
      </w:r>
      <w:r>
        <w:rPr>
          <w:szCs w:val="32"/>
        </w:rPr>
        <w:t>“</w:t>
      </w:r>
      <w:r>
        <w:rPr>
          <w:rFonts w:hint="eastAsia"/>
          <w:szCs w:val="32"/>
          <w:lang w:eastAsia="zh-CN"/>
        </w:rPr>
        <w:t>县</w:t>
      </w:r>
      <w:r>
        <w:rPr>
          <w:rFonts w:hint="eastAsia"/>
          <w:szCs w:val="32"/>
        </w:rPr>
        <w:t>生环委办</w:t>
      </w:r>
      <w:r>
        <w:rPr>
          <w:szCs w:val="32"/>
        </w:rPr>
        <w:t>”</w:t>
      </w:r>
      <w:r>
        <w:rPr>
          <w:rFonts w:hint="eastAsia"/>
          <w:szCs w:val="32"/>
        </w:rPr>
        <w:t>）要加强对污染防治攻坚战工作综合协调、指导督促和督查督办</w:t>
      </w:r>
      <w:r>
        <w:rPr>
          <w:rFonts w:hint="eastAsia"/>
          <w:szCs w:val="32"/>
          <w:lang w:eastAsia="zh-CN"/>
        </w:rPr>
        <w:t>。</w:t>
      </w:r>
    </w:p>
    <w:p>
      <w:pPr>
        <w:keepNext w:val="0"/>
        <w:keepLines w:val="0"/>
        <w:pageBreakBefore w:val="0"/>
        <w:widowControl w:val="0"/>
        <w:kinsoku/>
        <w:wordWrap/>
        <w:overflowPunct/>
        <w:topLinePunct w:val="0"/>
        <w:bidi w:val="0"/>
        <w:spacing w:line="580" w:lineRule="exact"/>
        <w:ind w:firstLine="643" w:firstLineChars="200"/>
        <w:textAlignment w:val="auto"/>
        <w:outlineLvl w:val="9"/>
        <w:rPr>
          <w:rFonts w:ascii="仿宋_GB2312" w:hAnsi="仿宋"/>
          <w:color w:val="000000"/>
          <w:szCs w:val="32"/>
        </w:rPr>
      </w:pPr>
      <w:r>
        <w:rPr>
          <w:rFonts w:hint="eastAsia" w:eastAsia="楷体_GB2312"/>
          <w:b/>
          <w:szCs w:val="32"/>
        </w:rPr>
        <w:t>（</w:t>
      </w:r>
      <w:r>
        <w:rPr>
          <w:rFonts w:hint="eastAsia" w:eastAsia="楷体_GB2312"/>
          <w:b/>
          <w:szCs w:val="32"/>
          <w:lang w:val="en-US" w:eastAsia="zh-CN"/>
        </w:rPr>
        <w:t>二</w:t>
      </w:r>
      <w:r>
        <w:rPr>
          <w:rFonts w:hint="eastAsia" w:eastAsia="楷体_GB2312"/>
          <w:b/>
          <w:szCs w:val="32"/>
        </w:rPr>
        <w:t>）加大配套支持。</w:t>
      </w:r>
      <w:r>
        <w:rPr>
          <w:rFonts w:hint="eastAsia" w:ascii="仿宋_GB2312" w:hAnsi="仿宋"/>
          <w:color w:val="000000"/>
          <w:szCs w:val="32"/>
        </w:rPr>
        <w:t>加大资金投入力度，强化企业治污主体责任，积极推行PPP和环境污染第三方治理模式，吸纳社会资本参与污染防治工作，建立政府、企业、社会多元化投入机制。</w:t>
      </w:r>
      <w:r>
        <w:rPr>
          <w:rFonts w:ascii="仿宋_GB2312" w:hAnsi="仿宋"/>
          <w:color w:val="000000"/>
          <w:szCs w:val="32"/>
        </w:rPr>
        <w:t>推动生态补偿机制</w:t>
      </w:r>
      <w:r>
        <w:rPr>
          <w:rFonts w:hint="eastAsia" w:ascii="仿宋_GB2312" w:hAnsi="仿宋"/>
          <w:color w:val="000000"/>
          <w:szCs w:val="32"/>
        </w:rPr>
        <w:t>建设。优化生态环境行政审批，主动对接服务重大项目。强化科技支撑，整合各方科技资源，创新科技服务模式，加大生态环境治理技术研发与示范推广力度，加大对生态环保产业的扶持力度。</w:t>
      </w:r>
    </w:p>
    <w:p>
      <w:pPr>
        <w:keepNext w:val="0"/>
        <w:keepLines w:val="0"/>
        <w:pageBreakBefore w:val="0"/>
        <w:widowControl w:val="0"/>
        <w:tabs>
          <w:tab w:val="left" w:pos="5450"/>
        </w:tabs>
        <w:kinsoku/>
        <w:wordWrap/>
        <w:overflowPunct/>
        <w:topLinePunct w:val="0"/>
        <w:bidi w:val="0"/>
        <w:spacing w:line="580" w:lineRule="exact"/>
        <w:ind w:firstLine="643" w:firstLineChars="200"/>
        <w:textAlignment w:val="auto"/>
        <w:outlineLvl w:val="9"/>
        <w:rPr>
          <w:rFonts w:hint="eastAsia" w:ascii="仿宋_GB2312" w:hAnsi="仿宋"/>
          <w:color w:val="000000"/>
          <w:szCs w:val="32"/>
        </w:rPr>
      </w:pPr>
      <w:r>
        <w:rPr>
          <w:rFonts w:hint="eastAsia" w:eastAsia="楷体_GB2312"/>
          <w:b/>
          <w:szCs w:val="32"/>
        </w:rPr>
        <w:t>（</w:t>
      </w:r>
      <w:r>
        <w:rPr>
          <w:rFonts w:hint="eastAsia" w:eastAsia="楷体_GB2312"/>
          <w:b/>
          <w:szCs w:val="32"/>
          <w:lang w:val="en-US" w:eastAsia="zh-CN"/>
        </w:rPr>
        <w:t>三</w:t>
      </w:r>
      <w:r>
        <w:rPr>
          <w:rFonts w:hint="eastAsia" w:eastAsia="楷体_GB2312"/>
          <w:b/>
          <w:szCs w:val="32"/>
        </w:rPr>
        <w:t>）加强督办考核。</w:t>
      </w:r>
      <w:r>
        <w:rPr>
          <w:rFonts w:hint="eastAsia" w:ascii="仿宋" w:hAnsi="仿宋" w:eastAsia="仿宋" w:cs="仿宋"/>
          <w:color w:val="000000"/>
          <w:szCs w:val="32"/>
          <w:lang w:eastAsia="zh-CN"/>
        </w:rPr>
        <w:t>县</w:t>
      </w:r>
      <w:r>
        <w:rPr>
          <w:rFonts w:hint="eastAsia" w:ascii="仿宋_GB2312" w:hAnsi="仿宋"/>
          <w:color w:val="000000"/>
          <w:szCs w:val="32"/>
        </w:rPr>
        <w:t>生环委办</w:t>
      </w:r>
      <w:r>
        <w:rPr>
          <w:rFonts w:hint="eastAsia" w:ascii="仿宋_GB2312" w:hAnsi="仿宋"/>
          <w:color w:val="000000"/>
          <w:szCs w:val="32"/>
          <w:lang w:eastAsia="zh-CN"/>
        </w:rPr>
        <w:t>定期</w:t>
      </w:r>
      <w:r>
        <w:rPr>
          <w:rFonts w:hint="eastAsia" w:ascii="仿宋_GB2312" w:hAnsi="仿宋"/>
          <w:color w:val="000000"/>
          <w:szCs w:val="32"/>
        </w:rPr>
        <w:t>发布环境质量状况，适时通报污染防治工作进展情况。对任务进度滞后的</w:t>
      </w:r>
      <w:r>
        <w:rPr>
          <w:rFonts w:hint="eastAsia" w:ascii="仿宋_GB2312" w:hAnsi="仿宋"/>
          <w:color w:val="000000"/>
          <w:szCs w:val="32"/>
          <w:lang w:eastAsia="zh-CN"/>
        </w:rPr>
        <w:t>乡镇</w:t>
      </w:r>
      <w:r>
        <w:rPr>
          <w:rFonts w:hint="eastAsia" w:ascii="仿宋_GB2312" w:hAnsi="仿宋"/>
          <w:color w:val="000000"/>
          <w:szCs w:val="32"/>
        </w:rPr>
        <w:t>和部门，采取通报、约谈、挂牌督办等措施，强力推动问题整改。制定实施污染防治攻坚战考核细则，由</w:t>
      </w:r>
      <w:r>
        <w:rPr>
          <w:rFonts w:hint="eastAsia" w:ascii="仿宋_GB2312" w:hAnsi="仿宋"/>
          <w:color w:val="000000"/>
          <w:szCs w:val="32"/>
          <w:lang w:eastAsia="zh-CN"/>
        </w:rPr>
        <w:t>县</w:t>
      </w:r>
      <w:r>
        <w:rPr>
          <w:rFonts w:hint="eastAsia" w:ascii="仿宋_GB2312" w:hAnsi="仿宋"/>
          <w:color w:val="000000"/>
          <w:szCs w:val="32"/>
        </w:rPr>
        <w:t>生环委办具体组织对</w:t>
      </w:r>
      <w:r>
        <w:rPr>
          <w:rFonts w:hint="eastAsia" w:ascii="仿宋_GB2312" w:hAnsi="仿宋"/>
          <w:color w:val="000000"/>
          <w:szCs w:val="32"/>
          <w:lang w:eastAsia="zh-CN"/>
        </w:rPr>
        <w:t>乡镇</w:t>
      </w:r>
      <w:r>
        <w:rPr>
          <w:rFonts w:hint="eastAsia" w:ascii="仿宋_GB2312" w:hAnsi="仿宋"/>
          <w:color w:val="000000"/>
          <w:szCs w:val="32"/>
        </w:rPr>
        <w:t>、</w:t>
      </w:r>
      <w:r>
        <w:rPr>
          <w:rFonts w:hint="eastAsia" w:ascii="仿宋_GB2312" w:hAnsi="仿宋"/>
          <w:color w:val="000000"/>
          <w:szCs w:val="32"/>
          <w:lang w:eastAsia="zh-CN"/>
        </w:rPr>
        <w:t>县</w:t>
      </w:r>
      <w:r>
        <w:rPr>
          <w:rFonts w:hint="eastAsia" w:ascii="仿宋_GB2312" w:hAnsi="仿宋"/>
          <w:color w:val="000000"/>
          <w:szCs w:val="32"/>
        </w:rPr>
        <w:t>直相关单位考核。加强考核结果运用，实行奖优罚劣，考核结果予以通报。</w:t>
      </w:r>
    </w:p>
    <w:p>
      <w:pPr>
        <w:keepNext w:val="0"/>
        <w:keepLines w:val="0"/>
        <w:pageBreakBefore w:val="0"/>
        <w:widowControl w:val="0"/>
        <w:tabs>
          <w:tab w:val="left" w:pos="5450"/>
        </w:tabs>
        <w:kinsoku/>
        <w:wordWrap/>
        <w:overflowPunct/>
        <w:topLinePunct w:val="0"/>
        <w:bidi w:val="0"/>
        <w:spacing w:line="580" w:lineRule="exact"/>
        <w:ind w:firstLine="632" w:firstLineChars="200"/>
        <w:textAlignment w:val="auto"/>
        <w:outlineLvl w:val="9"/>
        <w:rPr>
          <w:rFonts w:ascii="仿宋" w:hAnsi="仿宋" w:eastAsia="仿宋" w:cs="仿宋_GB2312"/>
          <w:szCs w:val="32"/>
        </w:rPr>
      </w:pPr>
      <w:r>
        <w:rPr>
          <w:rFonts w:hint="eastAsia" w:ascii="仿宋" w:hAnsi="仿宋" w:eastAsia="仿宋" w:cs="黑体"/>
          <w:spacing w:val="-2"/>
          <w:szCs w:val="32"/>
          <w:lang w:eastAsia="zh-CN"/>
        </w:rPr>
        <w:t>县</w:t>
      </w:r>
      <w:r>
        <w:rPr>
          <w:rFonts w:hint="eastAsia" w:ascii="仿宋" w:hAnsi="仿宋" w:eastAsia="仿宋" w:cs="黑体"/>
          <w:spacing w:val="-2"/>
          <w:szCs w:val="32"/>
        </w:rPr>
        <w:t>洞庭清波办牵头，</w:t>
      </w:r>
      <w:r>
        <w:rPr>
          <w:rFonts w:hint="eastAsia" w:ascii="仿宋" w:hAnsi="仿宋" w:eastAsia="仿宋" w:cs="黑体"/>
          <w:spacing w:val="-2"/>
          <w:szCs w:val="32"/>
          <w:lang w:eastAsia="zh-CN"/>
        </w:rPr>
        <w:t>县</w:t>
      </w:r>
      <w:r>
        <w:rPr>
          <w:rFonts w:hint="eastAsia" w:ascii="仿宋" w:hAnsi="仿宋" w:eastAsia="仿宋" w:cs="黑体"/>
          <w:spacing w:val="-2"/>
          <w:szCs w:val="32"/>
        </w:rPr>
        <w:t>政府督查室、</w:t>
      </w:r>
      <w:r>
        <w:rPr>
          <w:rFonts w:hint="eastAsia" w:ascii="仿宋" w:hAnsi="仿宋" w:eastAsia="仿宋" w:cs="黑体"/>
          <w:spacing w:val="-2"/>
          <w:szCs w:val="32"/>
          <w:lang w:eastAsia="zh-CN"/>
        </w:rPr>
        <w:t>县</w:t>
      </w:r>
      <w:r>
        <w:rPr>
          <w:rFonts w:hint="eastAsia" w:ascii="仿宋" w:hAnsi="仿宋" w:eastAsia="仿宋" w:cs="黑体"/>
          <w:spacing w:val="-2"/>
          <w:szCs w:val="32"/>
        </w:rPr>
        <w:t>生环委办配合，定期不定期进行督查，对行动迟缓、措施不力、成效不明显的，将视情况进行通报、挂牌督办、约谈,对断面总磷等指标不降反升的责任单位、责任人将视情况进行精准问责。</w:t>
      </w:r>
    </w:p>
    <w:p>
      <w:pPr>
        <w:keepNext w:val="0"/>
        <w:keepLines w:val="0"/>
        <w:pageBreakBefore w:val="0"/>
        <w:widowControl w:val="0"/>
        <w:numPr>
          <w:ilvl w:val="0"/>
          <w:numId w:val="0"/>
        </w:numPr>
        <w:kinsoku/>
        <w:wordWrap/>
        <w:overflowPunct/>
        <w:topLinePunct w:val="0"/>
        <w:bidi w:val="0"/>
        <w:adjustRightInd w:val="0"/>
        <w:snapToGrid w:val="0"/>
        <w:spacing w:line="580" w:lineRule="exact"/>
        <w:ind w:firstLine="643" w:firstLineChars="200"/>
        <w:textAlignment w:val="auto"/>
        <w:outlineLvl w:val="9"/>
        <w:rPr>
          <w:rFonts w:hint="eastAsia" w:ascii="仿宋_GB2312" w:hAnsi="仿宋"/>
          <w:color w:val="000000"/>
          <w:szCs w:val="32"/>
        </w:rPr>
      </w:pPr>
      <w:r>
        <w:rPr>
          <w:rFonts w:hint="eastAsia" w:eastAsia="楷体_GB2312"/>
          <w:b/>
          <w:szCs w:val="32"/>
          <w:lang w:eastAsia="zh-CN"/>
        </w:rPr>
        <w:t>（</w:t>
      </w:r>
      <w:r>
        <w:rPr>
          <w:rFonts w:hint="eastAsia" w:eastAsia="楷体_GB2312"/>
          <w:b/>
          <w:szCs w:val="32"/>
          <w:lang w:val="en-US" w:eastAsia="zh-CN"/>
        </w:rPr>
        <w:t>四</w:t>
      </w:r>
      <w:r>
        <w:rPr>
          <w:rFonts w:hint="eastAsia" w:eastAsia="楷体_GB2312"/>
          <w:b/>
          <w:szCs w:val="32"/>
          <w:lang w:eastAsia="zh-CN"/>
        </w:rPr>
        <w:t>）</w:t>
      </w:r>
      <w:r>
        <w:rPr>
          <w:rFonts w:hint="eastAsia" w:eastAsia="楷体_GB2312"/>
          <w:b/>
          <w:szCs w:val="32"/>
        </w:rPr>
        <w:t>加强宣传发动。</w:t>
      </w:r>
      <w:r>
        <w:rPr>
          <w:rFonts w:hint="eastAsia" w:ascii="仿宋_GB2312" w:hAnsi="仿宋"/>
          <w:color w:val="000000"/>
          <w:szCs w:val="32"/>
        </w:rPr>
        <w:t>加大污染防治攻坚战宣传报道力度，</w:t>
      </w:r>
      <w:r>
        <w:rPr>
          <w:rFonts w:hint="eastAsia" w:ascii="仿宋_GB2312" w:hAnsi="仿宋_GB2312" w:cs="仿宋_GB2312"/>
          <w:szCs w:val="32"/>
        </w:rPr>
        <w:t>结合</w:t>
      </w:r>
      <w:r>
        <w:rPr>
          <w:rFonts w:ascii="Times New Roman" w:hAnsi="Times New Roman"/>
          <w:bCs/>
          <w:kern w:val="0"/>
          <w:szCs w:val="32"/>
        </w:rPr>
        <w:t>“六五”环境日</w:t>
      </w:r>
      <w:r>
        <w:rPr>
          <w:rFonts w:hint="eastAsia" w:ascii="仿宋_GB2312" w:hAnsi="仿宋_GB2312" w:cs="仿宋_GB2312"/>
          <w:szCs w:val="32"/>
        </w:rPr>
        <w:t>、环保督察等重要活动开展生态环保宣传。</w:t>
      </w:r>
      <w:r>
        <w:rPr>
          <w:rFonts w:hint="eastAsia" w:ascii="仿宋_GB2312" w:hAnsi="仿宋"/>
          <w:color w:val="000000"/>
          <w:szCs w:val="32"/>
        </w:rPr>
        <w:t>用好“12369”环保热线和“12345”政府热线举报电话，引导更多机构和个人参与生态环境保护监督，构建全民参与的社会格局。</w:t>
      </w:r>
    </w:p>
    <w:p>
      <w:pPr>
        <w:pStyle w:val="6"/>
        <w:keepNext w:val="0"/>
        <w:keepLines w:val="0"/>
        <w:pageBreakBefore w:val="0"/>
        <w:widowControl w:val="0"/>
        <w:numPr>
          <w:ilvl w:val="0"/>
          <w:numId w:val="0"/>
        </w:numPr>
        <w:kinsoku/>
        <w:wordWrap/>
        <w:overflowPunct/>
        <w:topLinePunct w:val="0"/>
        <w:bidi w:val="0"/>
        <w:spacing w:line="580" w:lineRule="exact"/>
        <w:ind w:firstLine="640"/>
        <w:textAlignment w:val="auto"/>
        <w:outlineLvl w:val="9"/>
        <w:rPr>
          <w:rFonts w:hint="eastAsia" w:ascii="仿宋" w:hAnsi="仿宋" w:eastAsia="仿宋" w:cs="仿宋"/>
          <w:b/>
          <w:bCs/>
          <w:sz w:val="32"/>
          <w:szCs w:val="32"/>
          <w:lang w:val="en-US" w:eastAsia="zh-CN"/>
        </w:rPr>
      </w:pPr>
    </w:p>
    <w:p>
      <w:pPr>
        <w:pStyle w:val="6"/>
        <w:keepNext w:val="0"/>
        <w:keepLines w:val="0"/>
        <w:pageBreakBefore w:val="0"/>
        <w:widowControl w:val="0"/>
        <w:numPr>
          <w:ilvl w:val="0"/>
          <w:numId w:val="0"/>
        </w:numPr>
        <w:kinsoku/>
        <w:wordWrap/>
        <w:overflowPunct/>
        <w:topLinePunct w:val="0"/>
        <w:bidi w:val="0"/>
        <w:adjustRightInd/>
        <w:snapToGrid/>
        <w:spacing w:line="580" w:lineRule="exact"/>
        <w:textAlignment w:val="auto"/>
        <w:outlineLvl w:val="9"/>
        <w:rPr>
          <w:rFonts w:hint="eastAsia" w:ascii="仿宋" w:hAnsi="仿宋" w:eastAsia="仿宋" w:cs="仿宋"/>
          <w:sz w:val="32"/>
          <w:szCs w:val="32"/>
          <w:lang w:val="en-US" w:eastAsia="zh-CN"/>
        </w:rPr>
      </w:pPr>
      <w:bookmarkStart w:id="1" w:name="_GoBack"/>
      <w:bookmarkEnd w:id="1"/>
      <w:r>
        <w:rPr>
          <w:rFonts w:hint="eastAsia" w:ascii="仿宋" w:hAnsi="仿宋" w:eastAsia="仿宋" w:cs="仿宋"/>
          <w:b/>
          <w:bCs/>
          <w:sz w:val="32"/>
          <w:szCs w:val="32"/>
          <w:lang w:val="en-US" w:eastAsia="zh-CN"/>
        </w:rPr>
        <w:t>附表：</w:t>
      </w:r>
    </w:p>
    <w:p>
      <w:pPr>
        <w:keepNext w:val="0"/>
        <w:keepLines w:val="0"/>
        <w:pageBreakBefore w:val="0"/>
        <w:widowControl w:val="0"/>
        <w:kinsoku/>
        <w:wordWrap/>
        <w:overflowPunct/>
        <w:topLinePunct w:val="0"/>
        <w:bidi w:val="0"/>
        <w:adjustRightInd/>
        <w:snapToGrid/>
        <w:spacing w:line="580" w:lineRule="exact"/>
        <w:ind w:firstLine="640" w:firstLineChars="200"/>
        <w:jc w:val="left"/>
        <w:textAlignment w:val="auto"/>
        <w:outlineLvl w:val="9"/>
        <w:rPr>
          <w:rFonts w:hint="eastAsia" w:ascii="仿宋" w:hAnsi="仿宋" w:eastAsia="仿宋" w:cs="仿宋"/>
          <w:b w:val="0"/>
          <w:bCs w:val="0"/>
          <w:color w:val="000000"/>
          <w:sz w:val="32"/>
          <w:szCs w:val="32"/>
          <w:highlight w:val="none"/>
          <w:lang w:eastAsia="zh-CN"/>
        </w:rPr>
      </w:pPr>
      <w:r>
        <w:rPr>
          <w:rFonts w:ascii="仿宋_GB2312" w:hAnsi="仿宋_GB2312" w:eastAsia="仿宋_GB2312" w:cs="仿宋_GB2312"/>
          <w:color w:val="000000"/>
          <w:sz w:val="32"/>
          <w:szCs w:val="32"/>
          <w:highlight w:val="none"/>
        </w:rPr>
        <w:t>1.1</w:t>
      </w:r>
      <w:r>
        <w:rPr>
          <w:rFonts w:hint="eastAsia" w:ascii="仿宋_GB2312" w:hAnsi="仿宋_GB2312" w:cs="仿宋_GB2312"/>
          <w:color w:val="000000"/>
          <w:sz w:val="32"/>
          <w:szCs w:val="32"/>
          <w:highlight w:val="none"/>
          <w:lang w:eastAsia="zh-CN"/>
        </w:rPr>
        <w:t>：</w:t>
      </w:r>
      <w:r>
        <w:rPr>
          <w:rFonts w:hint="eastAsia" w:ascii="仿宋" w:hAnsi="仿宋" w:eastAsia="仿宋" w:cs="仿宋"/>
          <w:b w:val="0"/>
          <w:bCs w:val="0"/>
          <w:color w:val="000000"/>
          <w:sz w:val="32"/>
          <w:szCs w:val="32"/>
          <w:highlight w:val="none"/>
          <w:lang w:val="en-US" w:eastAsia="zh-CN"/>
        </w:rPr>
        <w:t>《</w:t>
      </w:r>
      <w:r>
        <w:rPr>
          <w:rFonts w:hint="eastAsia" w:ascii="仿宋" w:hAnsi="仿宋" w:eastAsia="仿宋" w:cs="仿宋"/>
          <w:b w:val="0"/>
          <w:bCs w:val="0"/>
          <w:color w:val="000000"/>
          <w:sz w:val="32"/>
          <w:szCs w:val="32"/>
          <w:highlight w:val="none"/>
        </w:rPr>
        <w:t>2021年</w:t>
      </w:r>
      <w:r>
        <w:rPr>
          <w:rFonts w:hint="eastAsia" w:ascii="仿宋" w:hAnsi="仿宋" w:eastAsia="仿宋" w:cs="仿宋"/>
          <w:b w:val="0"/>
          <w:bCs w:val="0"/>
          <w:color w:val="000000"/>
          <w:sz w:val="32"/>
          <w:szCs w:val="32"/>
          <w:highlight w:val="none"/>
          <w:lang w:eastAsia="zh-CN"/>
        </w:rPr>
        <w:t>华容县</w:t>
      </w:r>
      <w:r>
        <w:rPr>
          <w:rFonts w:hint="eastAsia" w:ascii="仿宋" w:hAnsi="仿宋" w:eastAsia="仿宋" w:cs="仿宋"/>
          <w:b w:val="0"/>
          <w:bCs w:val="0"/>
          <w:color w:val="000000"/>
          <w:sz w:val="32"/>
          <w:szCs w:val="32"/>
          <w:highlight w:val="none"/>
        </w:rPr>
        <w:t>大气污染防治攻坚主要任务清单</w:t>
      </w:r>
      <w:r>
        <w:rPr>
          <w:rFonts w:hint="eastAsia" w:ascii="仿宋" w:hAnsi="仿宋" w:eastAsia="仿宋" w:cs="仿宋"/>
          <w:b w:val="0"/>
          <w:bCs w:val="0"/>
          <w:color w:val="000000"/>
          <w:sz w:val="32"/>
          <w:szCs w:val="32"/>
          <w:highlight w:val="none"/>
          <w:lang w:eastAsia="zh-CN"/>
        </w:rPr>
        <w:t>》</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ascii="仿宋_GB2312" w:hAnsi="仿宋_GB2312" w:eastAsia="仿宋_GB2312" w:cs="仿宋_GB2312"/>
          <w:color w:val="000000"/>
          <w:sz w:val="32"/>
          <w:szCs w:val="32"/>
          <w:highlight w:val="none"/>
        </w:rPr>
        <w:t>.</w:t>
      </w:r>
      <w:r>
        <w:rPr>
          <w:rFonts w:hint="eastAsia" w:ascii="仿宋_GB2312" w:hAnsi="仿宋_GB2312" w:cs="仿宋_GB2312"/>
          <w:color w:val="000000"/>
          <w:sz w:val="32"/>
          <w:szCs w:val="32"/>
          <w:highlight w:val="none"/>
          <w:lang w:val="en-US"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rPr>
        <w:t>全</w:t>
      </w:r>
      <w:r>
        <w:rPr>
          <w:rFonts w:hint="eastAsia" w:ascii="仿宋" w:hAnsi="仿宋" w:eastAsia="仿宋" w:cs="仿宋"/>
          <w:sz w:val="32"/>
          <w:szCs w:val="32"/>
          <w:lang w:eastAsia="zh-CN"/>
        </w:rPr>
        <w:t>县</w:t>
      </w:r>
      <w:r>
        <w:rPr>
          <w:rFonts w:hint="eastAsia" w:ascii="仿宋" w:hAnsi="仿宋" w:eastAsia="仿宋" w:cs="仿宋"/>
          <w:sz w:val="32"/>
          <w:szCs w:val="32"/>
        </w:rPr>
        <w:t>空气质量达标工作任务分解表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spacing w:line="580" w:lineRule="exact"/>
        <w:jc w:val="center"/>
        <w:textAlignment w:val="auto"/>
        <w:outlineLvl w:val="9"/>
        <w:rPr>
          <w:rFonts w:hint="eastAsia" w:ascii="仿宋" w:hAnsi="仿宋" w:eastAsia="仿宋" w:cs="仿宋"/>
          <w:b w:val="0"/>
          <w:bCs w:val="0"/>
          <w:color w:val="000000"/>
          <w:sz w:val="32"/>
          <w:szCs w:val="32"/>
          <w:highlight w:val="none"/>
          <w:lang w:eastAsia="zh-CN"/>
        </w:rPr>
      </w:pPr>
      <w:r>
        <w:rPr>
          <w:rFonts w:hint="eastAsia" w:ascii="仿宋" w:hAnsi="仿宋" w:eastAsia="仿宋" w:cs="仿宋"/>
          <w:sz w:val="32"/>
          <w:szCs w:val="32"/>
          <w:lang w:val="en-US" w:eastAsia="zh-CN"/>
        </w:rPr>
        <w:t xml:space="preserve">   2.1：《</w:t>
      </w:r>
      <w:r>
        <w:rPr>
          <w:rFonts w:hint="eastAsia" w:ascii="仿宋" w:hAnsi="仿宋" w:eastAsia="仿宋" w:cs="仿宋"/>
          <w:b w:val="0"/>
          <w:bCs w:val="0"/>
          <w:color w:val="000000"/>
          <w:sz w:val="32"/>
          <w:szCs w:val="32"/>
          <w:highlight w:val="none"/>
        </w:rPr>
        <w:t>2021年</w:t>
      </w:r>
      <w:r>
        <w:rPr>
          <w:rFonts w:hint="eastAsia" w:ascii="仿宋" w:hAnsi="仿宋" w:eastAsia="仿宋" w:cs="仿宋"/>
          <w:b w:val="0"/>
          <w:bCs w:val="0"/>
          <w:color w:val="000000"/>
          <w:sz w:val="32"/>
          <w:szCs w:val="32"/>
          <w:highlight w:val="none"/>
          <w:lang w:eastAsia="zh-CN"/>
        </w:rPr>
        <w:t>华容县</w:t>
      </w:r>
      <w:r>
        <w:rPr>
          <w:rFonts w:hint="eastAsia" w:ascii="仿宋" w:hAnsi="仿宋" w:eastAsia="仿宋" w:cs="仿宋"/>
          <w:b w:val="0"/>
          <w:bCs w:val="0"/>
          <w:color w:val="000000"/>
          <w:sz w:val="32"/>
          <w:szCs w:val="32"/>
          <w:highlight w:val="none"/>
        </w:rPr>
        <w:t>水污染防治攻坚主要任务清单</w:t>
      </w:r>
      <w:r>
        <w:rPr>
          <w:rFonts w:hint="eastAsia" w:ascii="仿宋" w:hAnsi="仿宋" w:eastAsia="仿宋" w:cs="仿宋"/>
          <w:b w:val="0"/>
          <w:bCs w:val="0"/>
          <w:color w:val="000000"/>
          <w:sz w:val="32"/>
          <w:szCs w:val="32"/>
          <w:highlight w:val="none"/>
          <w:lang w:eastAsia="zh-CN"/>
        </w:rPr>
        <w:t>》</w:t>
      </w:r>
    </w:p>
    <w:p>
      <w:pPr>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9"/>
        <w:rPr>
          <w:rFonts w:hint="eastAsia" w:ascii="仿宋" w:hAnsi="仿宋" w:eastAsia="仿宋" w:cs="仿宋"/>
          <w:b w:val="0"/>
          <w:bCs/>
          <w:color w:val="000000"/>
          <w:sz w:val="32"/>
          <w:szCs w:val="32"/>
          <w:lang w:eastAsia="zh-CN"/>
        </w:rPr>
      </w:pPr>
      <w:r>
        <w:rPr>
          <w:rFonts w:hint="eastAsia" w:ascii="仿宋" w:hAnsi="仿宋" w:eastAsia="仿宋" w:cs="仿宋"/>
          <w:sz w:val="32"/>
          <w:szCs w:val="32"/>
          <w:lang w:val="en-US" w:eastAsia="zh-CN"/>
        </w:rPr>
        <w:t>2.2：《</w:t>
      </w:r>
      <w:r>
        <w:rPr>
          <w:rFonts w:hint="eastAsia" w:ascii="仿宋" w:hAnsi="仿宋" w:eastAsia="仿宋" w:cs="仿宋"/>
          <w:b w:val="0"/>
          <w:bCs/>
          <w:color w:val="000000"/>
          <w:sz w:val="32"/>
          <w:szCs w:val="32"/>
          <w:lang w:val="en-US" w:eastAsia="zh-CN"/>
        </w:rPr>
        <w:t>全县</w:t>
      </w:r>
      <w:r>
        <w:rPr>
          <w:rFonts w:hint="eastAsia" w:ascii="仿宋" w:hAnsi="仿宋" w:eastAsia="仿宋" w:cs="仿宋"/>
          <w:b w:val="0"/>
          <w:bCs/>
          <w:color w:val="000000"/>
          <w:sz w:val="32"/>
          <w:szCs w:val="32"/>
        </w:rPr>
        <w:t>洞庭湖域水质改善任务分解表</w:t>
      </w:r>
      <w:r>
        <w:rPr>
          <w:rFonts w:hint="eastAsia" w:ascii="仿宋" w:hAnsi="仿宋" w:eastAsia="仿宋" w:cs="仿宋"/>
          <w:b w:val="0"/>
          <w:bCs/>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2.</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全</w:t>
      </w:r>
      <w:r>
        <w:rPr>
          <w:rFonts w:hint="eastAsia" w:ascii="仿宋" w:hAnsi="仿宋" w:eastAsia="仿宋" w:cs="仿宋"/>
          <w:b w:val="0"/>
          <w:bCs/>
          <w:sz w:val="32"/>
          <w:szCs w:val="32"/>
          <w:lang w:eastAsia="zh-CN"/>
        </w:rPr>
        <w:t>县</w:t>
      </w:r>
      <w:r>
        <w:rPr>
          <w:rFonts w:hint="eastAsia" w:ascii="仿宋" w:hAnsi="仿宋" w:eastAsia="仿宋" w:cs="仿宋"/>
          <w:b w:val="0"/>
          <w:bCs/>
          <w:sz w:val="32"/>
          <w:szCs w:val="32"/>
        </w:rPr>
        <w:t>洞庭湖域总磷浓度偏高问题整改</w:t>
      </w:r>
      <w:r>
        <w:rPr>
          <w:rFonts w:hint="eastAsia" w:ascii="仿宋" w:hAnsi="仿宋" w:eastAsia="仿宋" w:cs="仿宋"/>
          <w:b w:val="0"/>
          <w:bCs/>
          <w:sz w:val="32"/>
          <w:szCs w:val="32"/>
          <w:lang w:val="en-US" w:eastAsia="zh-CN"/>
        </w:rPr>
        <w:t>责任分解表》</w:t>
      </w:r>
    </w:p>
    <w:p>
      <w:pPr>
        <w:keepNext w:val="0"/>
        <w:keepLines w:val="0"/>
        <w:pageBreakBefore w:val="0"/>
        <w:widowControl w:val="0"/>
        <w:kinsoku/>
        <w:wordWrap/>
        <w:overflowPunct/>
        <w:topLinePunct w:val="0"/>
        <w:autoSpaceDE w:val="0"/>
        <w:autoSpaceDN w:val="0"/>
        <w:bidi w:val="0"/>
        <w:adjustRightInd/>
        <w:snapToGrid/>
        <w:spacing w:line="580" w:lineRule="exact"/>
        <w:ind w:left="1498" w:leftChars="200" w:hanging="858" w:hangingChars="300"/>
        <w:textAlignment w:val="auto"/>
        <w:outlineLvl w:val="9"/>
        <w:rPr>
          <w:rFonts w:hint="eastAsia" w:ascii="仿宋" w:hAnsi="仿宋" w:eastAsia="仿宋" w:cs="仿宋"/>
          <w:b w:val="0"/>
          <w:bCs/>
          <w:spacing w:val="0"/>
          <w:w w:val="100"/>
          <w:sz w:val="32"/>
          <w:szCs w:val="32"/>
          <w:lang w:eastAsia="zh-CN"/>
        </w:rPr>
      </w:pPr>
      <w:r>
        <w:rPr>
          <w:rFonts w:hint="eastAsia" w:ascii="仿宋" w:hAnsi="仿宋" w:eastAsia="仿宋" w:cs="仿宋"/>
          <w:b w:val="0"/>
          <w:bCs/>
          <w:spacing w:val="-17"/>
          <w:w w:val="100"/>
          <w:sz w:val="32"/>
          <w:szCs w:val="32"/>
        </w:rPr>
        <w:t>2.</w:t>
      </w:r>
      <w:r>
        <w:rPr>
          <w:rFonts w:hint="eastAsia" w:ascii="仿宋" w:hAnsi="仿宋" w:eastAsia="仿宋" w:cs="仿宋"/>
          <w:b w:val="0"/>
          <w:bCs/>
          <w:spacing w:val="-17"/>
          <w:w w:val="100"/>
          <w:sz w:val="32"/>
          <w:szCs w:val="32"/>
          <w:lang w:val="en-US" w:eastAsia="zh-CN"/>
        </w:rPr>
        <w:t>4</w:t>
      </w:r>
      <w:r>
        <w:rPr>
          <w:rFonts w:hint="eastAsia" w:ascii="仿宋" w:hAnsi="仿宋" w:eastAsia="仿宋" w:cs="仿宋"/>
          <w:b w:val="0"/>
          <w:bCs/>
          <w:spacing w:val="-17"/>
          <w:w w:val="100"/>
          <w:sz w:val="32"/>
          <w:szCs w:val="32"/>
        </w:rPr>
        <w:t>：</w:t>
      </w:r>
      <w:r>
        <w:rPr>
          <w:rFonts w:hint="eastAsia" w:ascii="仿宋" w:hAnsi="仿宋" w:eastAsia="仿宋" w:cs="仿宋"/>
          <w:b w:val="0"/>
          <w:bCs/>
          <w:spacing w:val="0"/>
          <w:w w:val="100"/>
          <w:sz w:val="32"/>
          <w:szCs w:val="32"/>
          <w:lang w:eastAsia="zh-CN"/>
        </w:rPr>
        <w:t>《</w:t>
      </w:r>
      <w:r>
        <w:rPr>
          <w:rFonts w:hint="eastAsia" w:ascii="仿宋" w:hAnsi="仿宋" w:eastAsia="仿宋" w:cs="仿宋"/>
          <w:b w:val="0"/>
          <w:bCs/>
          <w:spacing w:val="0"/>
          <w:w w:val="100"/>
          <w:sz w:val="32"/>
          <w:szCs w:val="32"/>
        </w:rPr>
        <w:t>2021年度</w:t>
      </w:r>
      <w:r>
        <w:rPr>
          <w:rFonts w:hint="eastAsia" w:ascii="仿宋" w:hAnsi="仿宋" w:eastAsia="仿宋" w:cs="仿宋"/>
          <w:b w:val="0"/>
          <w:bCs/>
          <w:spacing w:val="0"/>
          <w:w w:val="100"/>
          <w:sz w:val="32"/>
          <w:szCs w:val="32"/>
          <w:lang w:val="en-US" w:eastAsia="zh-CN"/>
        </w:rPr>
        <w:t>华容</w:t>
      </w:r>
      <w:r>
        <w:rPr>
          <w:rFonts w:hint="eastAsia" w:ascii="仿宋" w:hAnsi="仿宋" w:eastAsia="仿宋" w:cs="仿宋"/>
          <w:b w:val="0"/>
          <w:bCs/>
          <w:spacing w:val="0"/>
          <w:w w:val="100"/>
          <w:sz w:val="32"/>
          <w:szCs w:val="32"/>
          <w:lang w:eastAsia="zh-CN"/>
        </w:rPr>
        <w:t>县</w:t>
      </w:r>
      <w:r>
        <w:rPr>
          <w:rFonts w:hint="eastAsia" w:ascii="仿宋" w:hAnsi="仿宋" w:eastAsia="仿宋" w:cs="仿宋"/>
          <w:b w:val="0"/>
          <w:bCs/>
          <w:spacing w:val="0"/>
          <w:w w:val="100"/>
          <w:sz w:val="32"/>
          <w:szCs w:val="32"/>
        </w:rPr>
        <w:t>洞庭湖总磷污染控制与削减工程项目清单</w:t>
      </w:r>
      <w:r>
        <w:rPr>
          <w:rFonts w:hint="eastAsia" w:ascii="仿宋" w:hAnsi="仿宋" w:eastAsia="仿宋" w:cs="仿宋"/>
          <w:b w:val="0"/>
          <w:bCs/>
          <w:spacing w:val="0"/>
          <w:w w:val="100"/>
          <w:sz w:val="32"/>
          <w:szCs w:val="32"/>
          <w:lang w:eastAsia="zh-CN"/>
        </w:rPr>
        <w:t>》</w:t>
      </w:r>
    </w:p>
    <w:p>
      <w:pPr>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2021年全</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土壤污染防治</w:t>
      </w:r>
      <w:r>
        <w:rPr>
          <w:rFonts w:hint="eastAsia" w:ascii="仿宋" w:hAnsi="仿宋" w:eastAsia="仿宋" w:cs="仿宋"/>
          <w:b w:val="0"/>
          <w:bCs w:val="0"/>
          <w:sz w:val="32"/>
          <w:szCs w:val="32"/>
          <w:lang w:eastAsia="zh-CN"/>
        </w:rPr>
        <w:t>攻坚主要任务清单</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bidi w:val="0"/>
        <w:adjustRightInd/>
        <w:snapToGrid/>
        <w:spacing w:line="580" w:lineRule="exact"/>
        <w:ind w:firstLine="614" w:firstLineChars="200"/>
        <w:jc w:val="left"/>
        <w:textAlignment w:val="auto"/>
        <w:outlineLvl w:val="9"/>
        <w:rPr>
          <w:rFonts w:hint="eastAsia" w:ascii="仿宋" w:hAnsi="仿宋" w:eastAsia="仿宋" w:cs="仿宋"/>
          <w:spacing w:val="-17"/>
          <w:w w:val="96"/>
          <w:sz w:val="32"/>
          <w:szCs w:val="32"/>
          <w:lang w:eastAsia="zh-CN"/>
        </w:rPr>
      </w:pPr>
      <w:r>
        <w:rPr>
          <w:rFonts w:hint="eastAsia" w:ascii="仿宋" w:hAnsi="仿宋" w:eastAsia="仿宋" w:cs="仿宋"/>
          <w:w w:val="96"/>
          <w:sz w:val="32"/>
          <w:szCs w:val="32"/>
          <w:lang w:val="en-US" w:eastAsia="zh-CN"/>
        </w:rPr>
        <w:t>4：</w:t>
      </w:r>
      <w:r>
        <w:rPr>
          <w:rFonts w:hint="eastAsia" w:ascii="仿宋" w:hAnsi="仿宋" w:eastAsia="仿宋" w:cs="仿宋"/>
          <w:spacing w:val="-17"/>
          <w:w w:val="96"/>
          <w:sz w:val="32"/>
          <w:szCs w:val="32"/>
          <w:lang w:val="en-US" w:eastAsia="zh-CN"/>
        </w:rPr>
        <w:t>《</w:t>
      </w:r>
      <w:r>
        <w:rPr>
          <w:rFonts w:hint="eastAsia" w:ascii="仿宋" w:hAnsi="仿宋" w:eastAsia="仿宋" w:cs="仿宋"/>
          <w:spacing w:val="-17"/>
          <w:w w:val="96"/>
          <w:sz w:val="32"/>
          <w:szCs w:val="32"/>
        </w:rPr>
        <w:t>2021年度</w:t>
      </w:r>
      <w:r>
        <w:rPr>
          <w:rFonts w:hint="eastAsia" w:ascii="仿宋" w:hAnsi="仿宋" w:eastAsia="仿宋" w:cs="仿宋"/>
          <w:spacing w:val="-17"/>
          <w:w w:val="96"/>
          <w:sz w:val="32"/>
          <w:szCs w:val="32"/>
          <w:lang w:val="en-US" w:eastAsia="zh-CN"/>
        </w:rPr>
        <w:t>全</w:t>
      </w:r>
      <w:r>
        <w:rPr>
          <w:rFonts w:hint="eastAsia" w:ascii="仿宋" w:hAnsi="仿宋" w:eastAsia="仿宋" w:cs="仿宋"/>
          <w:spacing w:val="-17"/>
          <w:w w:val="96"/>
          <w:sz w:val="32"/>
          <w:szCs w:val="32"/>
          <w:lang w:eastAsia="zh-CN"/>
        </w:rPr>
        <w:t>县</w:t>
      </w:r>
      <w:r>
        <w:rPr>
          <w:rFonts w:hint="eastAsia" w:ascii="仿宋" w:hAnsi="仿宋" w:eastAsia="仿宋" w:cs="仿宋"/>
          <w:spacing w:val="-17"/>
          <w:w w:val="96"/>
          <w:sz w:val="32"/>
          <w:szCs w:val="32"/>
        </w:rPr>
        <w:t>农业农村污染</w:t>
      </w:r>
      <w:r>
        <w:rPr>
          <w:rFonts w:hint="eastAsia" w:ascii="仿宋" w:hAnsi="仿宋" w:eastAsia="仿宋" w:cs="仿宋"/>
          <w:spacing w:val="-17"/>
          <w:w w:val="96"/>
          <w:sz w:val="32"/>
          <w:szCs w:val="32"/>
          <w:lang w:val="en-US" w:eastAsia="zh-CN"/>
        </w:rPr>
        <w:t>防治攻坚战</w:t>
      </w:r>
      <w:r>
        <w:rPr>
          <w:rFonts w:hint="eastAsia" w:ascii="仿宋" w:hAnsi="仿宋" w:eastAsia="仿宋" w:cs="仿宋"/>
          <w:spacing w:val="-17"/>
          <w:w w:val="96"/>
          <w:sz w:val="32"/>
          <w:szCs w:val="32"/>
        </w:rPr>
        <w:t>工作任务分解表</w:t>
      </w:r>
      <w:r>
        <w:rPr>
          <w:rFonts w:hint="eastAsia" w:ascii="仿宋" w:hAnsi="仿宋" w:eastAsia="仿宋" w:cs="仿宋"/>
          <w:spacing w:val="-17"/>
          <w:w w:val="96"/>
          <w:sz w:val="32"/>
          <w:szCs w:val="32"/>
          <w:lang w:eastAsia="zh-CN"/>
        </w:rPr>
        <w:t>》</w:t>
      </w:r>
    </w:p>
    <w:p>
      <w:pPr>
        <w:pStyle w:val="37"/>
        <w:keepNext w:val="0"/>
        <w:keepLines w:val="0"/>
        <w:pageBreakBefore w:val="0"/>
        <w:widowControl w:val="0"/>
        <w:kinsoku/>
        <w:wordWrap/>
        <w:overflowPunct/>
        <w:topLinePunct w:val="0"/>
        <w:bidi w:val="0"/>
        <w:adjustRightInd/>
        <w:snapToGrid/>
        <w:spacing w:line="580" w:lineRule="exact"/>
        <w:ind w:firstLine="600" w:firstLineChars="200"/>
        <w:textAlignment w:val="auto"/>
        <w:outlineLvl w:val="9"/>
        <w:rPr>
          <w:rFonts w:hint="eastAsia" w:ascii="仿宋" w:hAnsi="仿宋" w:eastAsia="仿宋" w:cs="仿宋"/>
          <w:spacing w:val="-17"/>
          <w:w w:val="96"/>
          <w:kern w:val="2"/>
          <w:sz w:val="32"/>
          <w:szCs w:val="32"/>
          <w:lang w:val="en-US" w:eastAsia="zh-CN" w:bidi="ar-SA"/>
        </w:rPr>
      </w:pPr>
      <w:r>
        <w:rPr>
          <w:rFonts w:hint="eastAsia" w:ascii="仿宋" w:hAnsi="仿宋" w:eastAsia="仿宋" w:cs="仿宋"/>
          <w:w w:val="94"/>
          <w:sz w:val="32"/>
          <w:szCs w:val="32"/>
          <w:lang w:val="en-US" w:eastAsia="zh-CN"/>
        </w:rPr>
        <w:t>5.1：</w:t>
      </w:r>
      <w:r>
        <w:rPr>
          <w:rFonts w:hint="eastAsia" w:ascii="仿宋" w:hAnsi="仿宋" w:eastAsia="仿宋" w:cs="仿宋"/>
          <w:spacing w:val="-17"/>
          <w:w w:val="96"/>
          <w:kern w:val="2"/>
          <w:sz w:val="32"/>
          <w:szCs w:val="32"/>
          <w:lang w:val="en-US" w:eastAsia="zh-CN" w:bidi="ar-SA"/>
        </w:rPr>
        <w:t>《2020年前上级交办未销号突出环境问题整改责任分解表》</w:t>
      </w:r>
    </w:p>
    <w:p>
      <w:pPr>
        <w:pStyle w:val="37"/>
        <w:keepNext w:val="0"/>
        <w:keepLines w:val="0"/>
        <w:pageBreakBefore w:val="0"/>
        <w:widowControl w:val="0"/>
        <w:kinsoku/>
        <w:wordWrap/>
        <w:overflowPunct/>
        <w:topLinePunct w:val="0"/>
        <w:bidi w:val="0"/>
        <w:adjustRightInd/>
        <w:snapToGrid/>
        <w:spacing w:line="580" w:lineRule="exact"/>
        <w:ind w:firstLine="614" w:firstLineChars="200"/>
        <w:textAlignment w:val="auto"/>
        <w:outlineLvl w:val="9"/>
        <w:rPr>
          <w:rFonts w:hint="eastAsia" w:ascii="仿宋" w:hAnsi="仿宋" w:eastAsia="仿宋" w:cs="仿宋"/>
          <w:spacing w:val="-17"/>
          <w:w w:val="96"/>
          <w:kern w:val="2"/>
          <w:sz w:val="32"/>
          <w:szCs w:val="32"/>
          <w:lang w:val="en-US" w:eastAsia="zh-CN" w:bidi="ar-SA"/>
        </w:rPr>
      </w:pPr>
      <w:r>
        <w:rPr>
          <w:rFonts w:hint="eastAsia" w:ascii="仿宋" w:hAnsi="仿宋" w:eastAsia="仿宋" w:cs="仿宋"/>
          <w:w w:val="96"/>
          <w:sz w:val="32"/>
          <w:szCs w:val="32"/>
          <w:lang w:val="en-US" w:eastAsia="zh-CN"/>
        </w:rPr>
        <w:t>5.2：</w:t>
      </w:r>
      <w:r>
        <w:rPr>
          <w:rFonts w:hint="eastAsia" w:ascii="仿宋" w:hAnsi="仿宋" w:eastAsia="仿宋" w:cs="仿宋"/>
          <w:w w:val="96"/>
          <w:kern w:val="2"/>
          <w:sz w:val="32"/>
          <w:szCs w:val="32"/>
          <w:lang w:val="en-US" w:eastAsia="zh-CN" w:bidi="ar-SA"/>
        </w:rPr>
        <w:t>《</w:t>
      </w:r>
      <w:r>
        <w:rPr>
          <w:rFonts w:hint="eastAsia" w:ascii="仿宋" w:hAnsi="仿宋" w:eastAsia="仿宋" w:cs="仿宋"/>
          <w:spacing w:val="-17"/>
          <w:w w:val="96"/>
          <w:kern w:val="2"/>
          <w:sz w:val="32"/>
          <w:szCs w:val="32"/>
          <w:lang w:val="en-US" w:eastAsia="zh-CN" w:bidi="ar-SA"/>
        </w:rPr>
        <w:t>第二轮中央环保督察转办信访举报件办理责任分解表》</w:t>
      </w:r>
    </w:p>
    <w:p>
      <w:pPr>
        <w:keepNext w:val="0"/>
        <w:keepLines w:val="0"/>
        <w:pageBreakBefore w:val="0"/>
        <w:widowControl w:val="0"/>
        <w:kinsoku/>
        <w:wordWrap/>
        <w:overflowPunct/>
        <w:topLinePunct w:val="0"/>
        <w:bidi w:val="0"/>
        <w:adjustRightInd/>
        <w:snapToGrid/>
        <w:spacing w:line="580" w:lineRule="exact"/>
        <w:ind w:firstLine="640" w:firstLineChars="200"/>
        <w:jc w:val="both"/>
        <w:textAlignment w:val="auto"/>
        <w:outlineLvl w:val="9"/>
        <w:rPr>
          <w:rFonts w:hint="eastAsia" w:ascii="仿宋" w:hAnsi="仿宋" w:eastAsia="仿宋" w:cs="仿宋"/>
          <w:spacing w:val="-17"/>
          <w:w w:val="96"/>
          <w:kern w:val="2"/>
          <w:sz w:val="32"/>
          <w:szCs w:val="32"/>
          <w:lang w:val="en-US" w:eastAsia="zh-CN" w:bidi="ar-SA"/>
        </w:rPr>
      </w:pPr>
      <w:r>
        <w:rPr>
          <w:rFonts w:hint="eastAsia" w:ascii="仿宋" w:hAnsi="仿宋" w:eastAsia="仿宋" w:cs="仿宋"/>
          <w:sz w:val="32"/>
          <w:szCs w:val="32"/>
          <w:lang w:val="en-US" w:eastAsia="zh-CN"/>
        </w:rPr>
        <w:t>5.3：</w:t>
      </w:r>
      <w:r>
        <w:rPr>
          <w:rFonts w:hint="eastAsia" w:ascii="仿宋" w:hAnsi="仿宋" w:eastAsia="仿宋" w:cs="仿宋"/>
          <w:spacing w:val="-17"/>
          <w:w w:val="96"/>
          <w:kern w:val="2"/>
          <w:sz w:val="32"/>
          <w:szCs w:val="32"/>
          <w:lang w:val="en-US" w:eastAsia="zh-CN" w:bidi="ar-SA"/>
        </w:rPr>
        <w:t>《华容县化肥减量数据虚假失真问题整改责任分解表》</w:t>
      </w:r>
    </w:p>
    <w:p>
      <w:pPr>
        <w:keepNext w:val="0"/>
        <w:keepLines w:val="0"/>
        <w:pageBreakBefore w:val="0"/>
        <w:widowControl w:val="0"/>
        <w:kinsoku/>
        <w:wordWrap/>
        <w:overflowPunct/>
        <w:topLinePunct w:val="0"/>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5.4：</w:t>
      </w:r>
      <w:r>
        <w:rPr>
          <w:rFonts w:hint="eastAsia" w:ascii="仿宋" w:hAnsi="仿宋" w:eastAsia="仿宋" w:cs="仿宋"/>
          <w:sz w:val="32"/>
          <w:szCs w:val="32"/>
          <w:lang w:eastAsia="zh-CN"/>
        </w:rPr>
        <w:t>《</w:t>
      </w:r>
      <w:r>
        <w:rPr>
          <w:rFonts w:hint="eastAsia" w:ascii="仿宋" w:hAnsi="仿宋" w:eastAsia="仿宋" w:cs="仿宋"/>
          <w:sz w:val="32"/>
          <w:szCs w:val="32"/>
        </w:rPr>
        <w:t>省生态环境保护督察“回头看”及东洞庭湖生态环境保护专项督察反馈问题整改责任分解表</w:t>
      </w:r>
      <w:r>
        <w:rPr>
          <w:rFonts w:hint="eastAsia" w:ascii="仿宋" w:hAnsi="仿宋" w:eastAsia="仿宋" w:cs="仿宋"/>
          <w:sz w:val="32"/>
          <w:szCs w:val="32"/>
          <w:lang w:eastAsia="zh-CN"/>
        </w:rPr>
        <w:t>》</w:t>
      </w:r>
    </w:p>
    <w:p>
      <w:pPr>
        <w:pStyle w:val="37"/>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sectPr>
          <w:footerReference r:id="rId5" w:type="default"/>
          <w:footerReference r:id="rId6" w:type="even"/>
          <w:pgSz w:w="11906" w:h="16838"/>
          <w:pgMar w:top="2268" w:right="1701" w:bottom="1701" w:left="1701" w:header="851" w:footer="1417" w:gutter="0"/>
          <w:paperSrc/>
          <w:pgBorders>
            <w:top w:val="none" w:sz="0" w:space="0"/>
            <w:left w:val="none" w:sz="0" w:space="0"/>
            <w:bottom w:val="none" w:sz="0" w:space="0"/>
            <w:right w:val="none" w:sz="0" w:space="0"/>
          </w:pgBorders>
          <w:pgNumType w:fmt="numberInDash"/>
          <w:cols w:space="0" w:num="1"/>
          <w:rtlGutter w:val="0"/>
          <w:docGrid w:linePitch="435" w:charSpace="0"/>
        </w:sectPr>
      </w:pPr>
      <w:r>
        <w:rPr>
          <w:rFonts w:hint="eastAsia" w:ascii="仿宋" w:hAnsi="仿宋" w:eastAsia="仿宋" w:cs="仿宋"/>
          <w:sz w:val="32"/>
          <w:szCs w:val="32"/>
          <w:lang w:val="en-US" w:eastAsia="zh-CN"/>
        </w:rPr>
        <w:t>5.5：《</w:t>
      </w:r>
      <w:r>
        <w:rPr>
          <w:rFonts w:hint="eastAsia" w:ascii="仿宋" w:hAnsi="仿宋" w:eastAsia="仿宋" w:cs="仿宋"/>
          <w:kern w:val="2"/>
          <w:sz w:val="32"/>
          <w:szCs w:val="32"/>
          <w:lang w:val="en-US" w:eastAsia="zh-CN" w:bidi="ar-SA"/>
        </w:rPr>
        <w:t>2021年湖南省生态环境警示片披露涉岳问题整改责任分解表》</w:t>
      </w:r>
    </w:p>
    <w:p>
      <w:pPr>
        <w:jc w:val="left"/>
        <w:rPr>
          <w:rFonts w:hint="eastAsia" w:ascii="仿宋" w:hAnsi="仿宋" w:eastAsia="仿宋_GB2312" w:cs="仿宋"/>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附表</w:t>
      </w:r>
      <w:r>
        <w:rPr>
          <w:rFonts w:ascii="仿宋_GB2312" w:hAnsi="仿宋_GB2312" w:eastAsia="仿宋_GB2312" w:cs="仿宋_GB2312"/>
          <w:color w:val="000000"/>
          <w:sz w:val="32"/>
          <w:szCs w:val="32"/>
          <w:highlight w:val="none"/>
        </w:rPr>
        <w:t>1.1</w:t>
      </w:r>
    </w:p>
    <w:p>
      <w:pPr>
        <w:jc w:val="center"/>
        <w:rPr>
          <w:rFonts w:hint="eastAsia" w:ascii="方正小标宋简体" w:hAnsi="方正小标宋简体" w:eastAsia="方正小标宋简体" w:cs="方正小标宋简体"/>
          <w:b w:val="0"/>
          <w:bCs w:val="0"/>
          <w:color w:val="000000"/>
          <w:sz w:val="44"/>
          <w:szCs w:val="44"/>
          <w:highlight w:val="none"/>
        </w:rPr>
      </w:pPr>
      <w:r>
        <w:rPr>
          <w:rFonts w:hint="eastAsia" w:ascii="宋体" w:hAnsi="宋体" w:eastAsia="宋体" w:cs="宋体"/>
          <w:b/>
          <w:bCs/>
          <w:color w:val="000000"/>
          <w:sz w:val="44"/>
          <w:szCs w:val="44"/>
          <w:highlight w:val="none"/>
          <w:lang w:val="en-US" w:eastAsia="zh-CN"/>
        </w:rPr>
        <w:t xml:space="preserve"> </w:t>
      </w:r>
      <w:r>
        <w:rPr>
          <w:rFonts w:hint="eastAsia" w:ascii="方正小标宋简体" w:hAnsi="方正小标宋简体" w:eastAsia="方正小标宋简体" w:cs="方正小标宋简体"/>
          <w:b w:val="0"/>
          <w:bCs w:val="0"/>
          <w:color w:val="000000"/>
          <w:sz w:val="44"/>
          <w:szCs w:val="44"/>
          <w:highlight w:val="none"/>
        </w:rPr>
        <w:t>2021年</w:t>
      </w:r>
      <w:r>
        <w:rPr>
          <w:rFonts w:hint="eastAsia" w:ascii="方正小标宋简体" w:hAnsi="方正小标宋简体" w:eastAsia="方正小标宋简体" w:cs="方正小标宋简体"/>
          <w:b w:val="0"/>
          <w:bCs w:val="0"/>
          <w:color w:val="000000"/>
          <w:sz w:val="44"/>
          <w:szCs w:val="44"/>
          <w:highlight w:val="none"/>
          <w:lang w:eastAsia="zh-CN"/>
        </w:rPr>
        <w:t>华容县</w:t>
      </w:r>
      <w:r>
        <w:rPr>
          <w:rFonts w:hint="eastAsia" w:ascii="方正小标宋简体" w:hAnsi="方正小标宋简体" w:eastAsia="方正小标宋简体" w:cs="方正小标宋简体"/>
          <w:b w:val="0"/>
          <w:bCs w:val="0"/>
          <w:color w:val="000000"/>
          <w:sz w:val="44"/>
          <w:szCs w:val="44"/>
          <w:highlight w:val="none"/>
        </w:rPr>
        <w:t>大气污染防治攻坚主要任务清单</w:t>
      </w:r>
    </w:p>
    <w:tbl>
      <w:tblPr>
        <w:tblStyle w:val="16"/>
        <w:tblW w:w="13887"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8616"/>
        <w:gridCol w:w="1635"/>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Align w:val="center"/>
          </w:tcPr>
          <w:p>
            <w:pPr>
              <w:jc w:val="center"/>
              <w:rPr>
                <w:rFonts w:ascii="黑体" w:eastAsia="黑体" w:cs="黑体"/>
                <w:b w:val="0"/>
                <w:bCs w:val="0"/>
                <w:color w:val="000000"/>
                <w:sz w:val="21"/>
                <w:szCs w:val="21"/>
                <w:highlight w:val="none"/>
              </w:rPr>
            </w:pPr>
            <w:r>
              <w:rPr>
                <w:rFonts w:hint="eastAsia" w:ascii="黑体" w:eastAsia="黑体" w:cs="黑体"/>
                <w:b w:val="0"/>
                <w:bCs w:val="0"/>
                <w:color w:val="000000"/>
                <w:sz w:val="21"/>
                <w:szCs w:val="21"/>
                <w:highlight w:val="none"/>
              </w:rPr>
              <w:t>任务类别</w:t>
            </w:r>
          </w:p>
        </w:tc>
        <w:tc>
          <w:tcPr>
            <w:tcW w:w="8616" w:type="dxa"/>
            <w:vAlign w:val="center"/>
          </w:tcPr>
          <w:p>
            <w:pPr>
              <w:jc w:val="center"/>
              <w:rPr>
                <w:rFonts w:ascii="黑体" w:eastAsia="黑体" w:cs="黑体"/>
                <w:b w:val="0"/>
                <w:bCs w:val="0"/>
                <w:color w:val="000000"/>
                <w:sz w:val="21"/>
                <w:szCs w:val="21"/>
                <w:highlight w:val="none"/>
              </w:rPr>
            </w:pPr>
            <w:r>
              <w:rPr>
                <w:rFonts w:ascii="黑体" w:eastAsia="黑体" w:cs="黑体"/>
                <w:b w:val="0"/>
                <w:bCs w:val="0"/>
                <w:color w:val="000000"/>
                <w:sz w:val="21"/>
                <w:szCs w:val="21"/>
                <w:highlight w:val="none"/>
              </w:rPr>
              <w:t>2021</w:t>
            </w:r>
            <w:r>
              <w:rPr>
                <w:rFonts w:hint="eastAsia" w:ascii="黑体" w:eastAsia="黑体" w:cs="黑体"/>
                <w:b w:val="0"/>
                <w:bCs w:val="0"/>
                <w:color w:val="000000"/>
                <w:sz w:val="21"/>
                <w:szCs w:val="21"/>
                <w:highlight w:val="none"/>
              </w:rPr>
              <w:t>年主要任务</w:t>
            </w:r>
          </w:p>
        </w:tc>
        <w:tc>
          <w:tcPr>
            <w:tcW w:w="1635" w:type="dxa"/>
            <w:vAlign w:val="center"/>
          </w:tcPr>
          <w:p>
            <w:pPr>
              <w:jc w:val="center"/>
              <w:rPr>
                <w:rFonts w:hint="eastAsia" w:ascii="黑体" w:eastAsia="黑体" w:cs="黑体"/>
                <w:b w:val="0"/>
                <w:bCs w:val="0"/>
                <w:color w:val="000000"/>
                <w:sz w:val="21"/>
                <w:szCs w:val="21"/>
                <w:highlight w:val="none"/>
                <w:lang w:eastAsia="zh-CN"/>
              </w:rPr>
            </w:pPr>
            <w:r>
              <w:rPr>
                <w:rFonts w:hint="eastAsia" w:ascii="黑体" w:eastAsia="黑体" w:cs="黑体"/>
                <w:b w:val="0"/>
                <w:bCs w:val="0"/>
                <w:color w:val="000000"/>
                <w:sz w:val="21"/>
                <w:szCs w:val="21"/>
                <w:highlight w:val="none"/>
                <w:lang w:eastAsia="zh-CN"/>
              </w:rPr>
              <w:t>牵头单位</w:t>
            </w:r>
          </w:p>
        </w:tc>
        <w:tc>
          <w:tcPr>
            <w:tcW w:w="2108" w:type="dxa"/>
            <w:vAlign w:val="center"/>
          </w:tcPr>
          <w:p>
            <w:pPr>
              <w:jc w:val="center"/>
              <w:rPr>
                <w:rFonts w:ascii="黑体" w:eastAsia="黑体" w:cs="黑体"/>
                <w:b w:val="0"/>
                <w:bCs w:val="0"/>
                <w:color w:val="000000"/>
                <w:sz w:val="21"/>
                <w:szCs w:val="21"/>
                <w:highlight w:val="none"/>
              </w:rPr>
            </w:pPr>
            <w:r>
              <w:rPr>
                <w:rFonts w:hint="eastAsia" w:ascii="黑体" w:eastAsia="黑体" w:cs="黑体"/>
                <w:b w:val="0"/>
                <w:bCs w:val="0"/>
                <w:color w:val="000000"/>
                <w:sz w:val="21"/>
                <w:szCs w:val="21"/>
                <w:highlight w:val="none"/>
                <w:lang w:eastAsia="zh-CN"/>
              </w:rPr>
              <w:t>协助</w:t>
            </w:r>
            <w:r>
              <w:rPr>
                <w:rFonts w:hint="eastAsia" w:ascii="黑体" w:eastAsia="黑体" w:cs="黑体"/>
                <w:b w:val="0"/>
                <w:bCs w:val="0"/>
                <w:color w:val="000000"/>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1.</w:t>
            </w:r>
            <w:r>
              <w:rPr>
                <w:rFonts w:hint="eastAsia" w:ascii="仿宋_GB2312" w:hAnsi="仿宋_GB2312" w:eastAsia="仿宋_GB2312" w:cs="仿宋_GB2312"/>
                <w:b/>
                <w:bCs/>
                <w:color w:val="000000"/>
                <w:sz w:val="21"/>
                <w:szCs w:val="21"/>
                <w:highlight w:val="none"/>
              </w:rPr>
              <w:t>组织开展碳达峰行动</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b/>
                <w:bCs/>
                <w:color w:val="000000"/>
                <w:sz w:val="21"/>
                <w:szCs w:val="21"/>
                <w:highlight w:val="none"/>
                <w:lang w:eastAsia="zh-CN"/>
              </w:rPr>
            </w:pPr>
            <w:r>
              <w:rPr>
                <w:rFonts w:hint="eastAsia" w:ascii="仿宋_GB2312" w:hAnsi="仿宋_GB2312" w:eastAsia="仿宋_GB2312" w:cs="仿宋_GB2312"/>
                <w:color w:val="000000"/>
                <w:sz w:val="21"/>
                <w:szCs w:val="21"/>
                <w:highlight w:val="none"/>
              </w:rPr>
              <w:t>①分解落实“十四五”碳强度考核目标。编制</w:t>
            </w:r>
            <w:r>
              <w:rPr>
                <w:rFonts w:hint="eastAsia" w:ascii="仿宋_GB2312" w:hAnsi="仿宋_GB2312" w:eastAsia="仿宋_GB2312" w:cs="仿宋_GB2312"/>
                <w:color w:val="000000"/>
                <w:sz w:val="21"/>
                <w:szCs w:val="21"/>
                <w:highlight w:val="none"/>
                <w:lang w:eastAsia="zh-CN"/>
              </w:rPr>
              <w:t>华容县</w:t>
            </w:r>
            <w:r>
              <w:rPr>
                <w:rFonts w:hint="eastAsia" w:ascii="仿宋_GB2312" w:hAnsi="仿宋_GB2312" w:eastAsia="仿宋_GB2312" w:cs="仿宋_GB2312"/>
                <w:color w:val="000000"/>
                <w:sz w:val="21"/>
                <w:szCs w:val="21"/>
                <w:highlight w:val="none"/>
              </w:rPr>
              <w:t>二氧化碳排放达峰行动方案、“十四五”应对气候变化</w:t>
            </w:r>
            <w:r>
              <w:rPr>
                <w:rFonts w:hint="eastAsia" w:ascii="仿宋_GB2312" w:hAnsi="仿宋_GB2312" w:eastAsia="仿宋_GB2312" w:cs="仿宋_GB2312"/>
                <w:color w:val="000000"/>
                <w:sz w:val="21"/>
                <w:szCs w:val="21"/>
                <w:highlight w:val="none"/>
                <w:lang w:eastAsia="zh-CN"/>
              </w:rPr>
              <w:t>等</w:t>
            </w:r>
            <w:r>
              <w:rPr>
                <w:rFonts w:hint="eastAsia" w:ascii="仿宋_GB2312" w:hAnsi="仿宋_GB2312" w:eastAsia="仿宋_GB2312" w:cs="仿宋_GB2312"/>
                <w:color w:val="000000"/>
                <w:sz w:val="21"/>
                <w:szCs w:val="21"/>
                <w:highlight w:val="none"/>
              </w:rPr>
              <w:t>规划。</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县发改局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县工信局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县住建局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②推进碳排放权交易；推进工业园区达峰行动试点</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县直相关单位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③推进林业碳汇开发。</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县林业局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2.</w:t>
            </w:r>
            <w:r>
              <w:rPr>
                <w:rFonts w:hint="eastAsia" w:ascii="仿宋_GB2312" w:hAnsi="仿宋_GB2312" w:eastAsia="仿宋_GB2312" w:cs="仿宋_GB2312"/>
                <w:b/>
                <w:bCs/>
                <w:color w:val="000000"/>
                <w:sz w:val="21"/>
                <w:szCs w:val="21"/>
                <w:highlight w:val="none"/>
              </w:rPr>
              <w:t>持续推进产业结构调整</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①按照《产业结构调整指导目录》，制定全</w:t>
            </w:r>
            <w:r>
              <w:rPr>
                <w:rFonts w:hint="eastAsia" w:ascii="仿宋_GB2312" w:hAnsi="仿宋_GB2312" w:eastAsia="仿宋_GB2312" w:cs="仿宋_GB2312"/>
                <w:color w:val="000000"/>
                <w:sz w:val="21"/>
                <w:szCs w:val="21"/>
                <w:highlight w:val="none"/>
                <w:lang w:eastAsia="zh-CN"/>
              </w:rPr>
              <w:t>县</w:t>
            </w:r>
            <w:r>
              <w:rPr>
                <w:rFonts w:hint="eastAsia" w:ascii="仿宋_GB2312" w:hAnsi="仿宋_GB2312" w:eastAsia="仿宋_GB2312" w:cs="仿宋_GB2312"/>
                <w:color w:val="000000"/>
                <w:sz w:val="21"/>
                <w:szCs w:val="21"/>
                <w:highlight w:val="none"/>
              </w:rPr>
              <w:t>依法依规推动落后产能退出工作方案</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县工信局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②强化“三线一单”成果落地应用，严格控制重点行业建设项目新增主要污染物排放，确保区域污染物削减措施落实。</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jc w:val="center"/>
              <w:rPr>
                <w:rFonts w:hint="eastAsia" w:ascii="仿宋_GB2312" w:hAnsi="仿宋_GB2312" w:eastAsia="仿宋_GB2312" w:cs="仿宋_GB2312"/>
                <w:color w:val="000000"/>
                <w:sz w:val="21"/>
                <w:szCs w:val="21"/>
                <w:highlight w:val="none"/>
                <w:lang w:val="en" w:eastAsia="zh-CN"/>
              </w:rPr>
            </w:pPr>
            <w:r>
              <w:rPr>
                <w:rFonts w:hint="eastAsia" w:ascii="仿宋_GB2312" w:hAnsi="仿宋_GB2312" w:eastAsia="仿宋_GB2312" w:cs="仿宋_GB2312"/>
                <w:color w:val="000000"/>
                <w:sz w:val="21"/>
                <w:szCs w:val="21"/>
                <w:highlight w:val="none"/>
                <w:lang w:val="en" w:eastAsia="zh-CN"/>
              </w:rPr>
              <w:t>县自然资源局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3.</w:t>
            </w:r>
            <w:r>
              <w:rPr>
                <w:rFonts w:hint="eastAsia" w:ascii="仿宋_GB2312" w:hAnsi="仿宋_GB2312" w:eastAsia="仿宋_GB2312" w:cs="仿宋_GB2312"/>
                <w:b/>
                <w:bCs/>
                <w:color w:val="000000"/>
                <w:sz w:val="21"/>
                <w:szCs w:val="21"/>
                <w:highlight w:val="none"/>
              </w:rPr>
              <w:t>持续推进能源结构调整</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①全</w:t>
            </w:r>
            <w:r>
              <w:rPr>
                <w:rFonts w:hint="eastAsia" w:ascii="仿宋_GB2312" w:hAnsi="仿宋_GB2312" w:eastAsia="仿宋_GB2312" w:cs="仿宋_GB2312"/>
                <w:color w:val="000000"/>
                <w:sz w:val="21"/>
                <w:szCs w:val="21"/>
                <w:highlight w:val="none"/>
                <w:lang w:eastAsia="zh-CN"/>
              </w:rPr>
              <w:t>县</w:t>
            </w:r>
            <w:r>
              <w:rPr>
                <w:rFonts w:hint="eastAsia" w:ascii="仿宋_GB2312" w:hAnsi="仿宋_GB2312" w:eastAsia="仿宋_GB2312" w:cs="仿宋_GB2312"/>
                <w:color w:val="000000"/>
                <w:sz w:val="21"/>
                <w:szCs w:val="21"/>
                <w:highlight w:val="none"/>
              </w:rPr>
              <w:t>煤炭占一次能源比重下降</w:t>
            </w:r>
            <w:r>
              <w:rPr>
                <w:rFonts w:ascii="仿宋_GB2312" w:hAnsi="仿宋_GB2312" w:eastAsia="仿宋_GB2312" w:cs="仿宋_GB2312"/>
                <w:color w:val="000000"/>
                <w:sz w:val="21"/>
                <w:szCs w:val="21"/>
                <w:highlight w:val="none"/>
              </w:rPr>
              <w:t>0.2</w:t>
            </w:r>
            <w:r>
              <w:rPr>
                <w:rFonts w:hint="eastAsia" w:ascii="仿宋_GB2312" w:hAnsi="仿宋_GB2312" w:eastAsia="仿宋_GB2312" w:cs="仿宋_GB2312"/>
                <w:color w:val="000000"/>
                <w:sz w:val="21"/>
                <w:szCs w:val="21"/>
                <w:highlight w:val="none"/>
              </w:rPr>
              <w:t>个百分点，非化石能源占一次能源比重</w:t>
            </w:r>
            <w:r>
              <w:rPr>
                <w:rFonts w:hint="eastAsia" w:ascii="仿宋_GB2312" w:hAnsi="仿宋_GB2312" w:eastAsia="仿宋_GB2312" w:cs="仿宋_GB2312"/>
                <w:color w:val="000000"/>
                <w:sz w:val="21"/>
                <w:szCs w:val="21"/>
                <w:highlight w:val="none"/>
                <w:lang w:eastAsia="zh-CN"/>
              </w:rPr>
              <w:t>达到</w:t>
            </w:r>
            <w:r>
              <w:rPr>
                <w:rFonts w:ascii="仿宋_GB2312" w:hAnsi="仿宋_GB2312" w:eastAsia="仿宋_GB2312" w:cs="仿宋_GB2312"/>
                <w:color w:val="000000"/>
                <w:sz w:val="21"/>
                <w:szCs w:val="21"/>
                <w:highlight w:val="none"/>
              </w:rPr>
              <w:t>21%</w:t>
            </w:r>
            <w:r>
              <w:rPr>
                <w:rFonts w:hint="eastAsia" w:ascii="仿宋_GB2312" w:hAnsi="仿宋_GB2312" w:eastAsia="仿宋_GB2312" w:cs="仿宋_GB2312"/>
                <w:color w:val="000000"/>
                <w:sz w:val="21"/>
                <w:szCs w:val="21"/>
                <w:highlight w:val="none"/>
              </w:rPr>
              <w:t>，天然气消费占比升至</w:t>
            </w:r>
            <w:r>
              <w:rPr>
                <w:rFonts w:ascii="仿宋_GB2312" w:hAnsi="仿宋_GB2312" w:eastAsia="仿宋_GB2312" w:cs="仿宋_GB2312"/>
                <w:color w:val="000000"/>
                <w:sz w:val="21"/>
                <w:szCs w:val="21"/>
                <w:highlight w:val="none"/>
              </w:rPr>
              <w:t>3.8%</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县发改局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②积极推进燃气下乡</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县城管局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③持续实施锅炉管控，城区淘汰</w:t>
            </w:r>
            <w:r>
              <w:rPr>
                <w:rFonts w:ascii="仿宋_GB2312" w:hAnsi="仿宋_GB2312" w:eastAsia="仿宋_GB2312" w:cs="仿宋_GB2312"/>
                <w:color w:val="000000"/>
                <w:sz w:val="21"/>
                <w:szCs w:val="21"/>
                <w:highlight w:val="none"/>
              </w:rPr>
              <w:t>35</w:t>
            </w:r>
            <w:r>
              <w:rPr>
                <w:rFonts w:hint="eastAsia" w:ascii="仿宋_GB2312" w:hAnsi="仿宋_GB2312" w:eastAsia="仿宋_GB2312" w:cs="仿宋_GB2312"/>
                <w:color w:val="000000"/>
                <w:sz w:val="21"/>
                <w:szCs w:val="21"/>
                <w:highlight w:val="none"/>
              </w:rPr>
              <w:t>蒸吨</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小时以下的燃煤锅炉；新建燃气锅炉须安装低氮燃烧器。</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28"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4.</w:t>
            </w:r>
            <w:r>
              <w:rPr>
                <w:rFonts w:hint="eastAsia" w:ascii="仿宋_GB2312" w:hAnsi="仿宋_GB2312" w:eastAsia="仿宋_GB2312" w:cs="仿宋_GB2312"/>
                <w:b/>
                <w:bCs/>
                <w:color w:val="000000"/>
                <w:sz w:val="21"/>
                <w:szCs w:val="21"/>
                <w:highlight w:val="none"/>
              </w:rPr>
              <w:t>持续推进交通结构调整</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①全面实施轻型车国六排放标准</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县公安局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②鼓励将老旧车辆和非道路移动机械替换成清洁能源车（机）建成区新增公交车辆中新能源车比例不低于</w:t>
            </w:r>
            <w:r>
              <w:rPr>
                <w:rFonts w:ascii="仿宋_GB2312" w:hAnsi="仿宋_GB2312" w:eastAsia="仿宋_GB2312" w:cs="仿宋_GB2312"/>
                <w:color w:val="000000"/>
                <w:sz w:val="21"/>
                <w:szCs w:val="21"/>
                <w:highlight w:val="none"/>
              </w:rPr>
              <w:t>70%</w:t>
            </w:r>
            <w:r>
              <w:rPr>
                <w:rFonts w:hint="eastAsia" w:ascii="仿宋_GB2312" w:hAnsi="仿宋_GB2312" w:eastAsia="仿宋_GB2312" w:cs="仿宋_GB2312"/>
                <w:color w:val="000000"/>
                <w:sz w:val="21"/>
                <w:szCs w:val="21"/>
                <w:highlight w:val="none"/>
              </w:rPr>
              <w:t>，新增物流配送车辆中新能源车比例不低于</w:t>
            </w:r>
            <w:r>
              <w:rPr>
                <w:rFonts w:ascii="仿宋_GB2312" w:hAnsi="仿宋_GB2312" w:eastAsia="仿宋_GB2312" w:cs="仿宋_GB2312"/>
                <w:color w:val="000000"/>
                <w:sz w:val="21"/>
                <w:szCs w:val="21"/>
                <w:highlight w:val="none"/>
              </w:rPr>
              <w:t>30%</w:t>
            </w:r>
            <w:r>
              <w:rPr>
                <w:rFonts w:hint="eastAsia" w:ascii="仿宋_GB2312" w:hAnsi="仿宋_GB2312" w:eastAsia="仿宋_GB2312" w:cs="仿宋_GB2312"/>
                <w:color w:val="000000"/>
                <w:sz w:val="21"/>
                <w:szCs w:val="21"/>
                <w:highlight w:val="none"/>
              </w:rPr>
              <w:t>，新增和更新网络预约出租车中新能源汽车比例原则上不低于</w:t>
            </w:r>
            <w:r>
              <w:rPr>
                <w:rFonts w:ascii="仿宋_GB2312" w:hAnsi="仿宋_GB2312" w:eastAsia="仿宋_GB2312" w:cs="仿宋_GB2312"/>
                <w:color w:val="000000"/>
                <w:sz w:val="21"/>
                <w:szCs w:val="21"/>
                <w:highlight w:val="none"/>
              </w:rPr>
              <w:t>20%</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县工信局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县交通运输局</w:t>
            </w:r>
          </w:p>
        </w:tc>
        <w:tc>
          <w:tcPr>
            <w:tcW w:w="2108" w:type="dxa"/>
            <w:vAlign w:val="center"/>
          </w:tcPr>
          <w:p>
            <w:pPr>
              <w:jc w:val="center"/>
              <w:rPr>
                <w:rFonts w:ascii="仿宋_GB2312" w:hAnsi="仿宋_GB2312" w:eastAsia="仿宋_GB2312" w:cs="仿宋_GB2312"/>
                <w:color w:val="000000"/>
                <w:sz w:val="21"/>
                <w:szCs w:val="21"/>
                <w:highlight w:val="none"/>
              </w:rPr>
            </w:pPr>
          </w:p>
          <w:p>
            <w:pPr>
              <w:jc w:val="center"/>
              <w:rPr>
                <w:rFonts w:ascii="仿宋_GB2312" w:hAnsi="仿宋_GB2312" w:eastAsia="仿宋_GB2312" w:cs="仿宋_GB2312"/>
                <w:color w:val="000000"/>
                <w:sz w:val="21"/>
                <w:szCs w:val="21"/>
                <w:highlight w:val="none"/>
              </w:rPr>
            </w:pPr>
          </w:p>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jc w:val="lef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④</w:t>
            </w:r>
            <w:r>
              <w:rPr>
                <w:rFonts w:hint="eastAsia" w:ascii="仿宋_GB2312" w:hAnsi="仿宋_GB2312" w:eastAsia="仿宋_GB2312" w:cs="仿宋_GB2312"/>
                <w:color w:val="000000"/>
                <w:sz w:val="21"/>
                <w:szCs w:val="21"/>
                <w:highlight w:val="none"/>
                <w:lang w:eastAsia="zh-CN"/>
              </w:rPr>
              <w:t>积极</w:t>
            </w:r>
            <w:r>
              <w:rPr>
                <w:rFonts w:hint="eastAsia" w:ascii="仿宋_GB2312" w:hAnsi="仿宋_GB2312" w:eastAsia="仿宋_GB2312" w:cs="仿宋_GB2312"/>
                <w:color w:val="000000"/>
                <w:sz w:val="21"/>
                <w:szCs w:val="21"/>
                <w:highlight w:val="none"/>
              </w:rPr>
              <w:t>淘汰老旧机动车</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县公安局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jc w:val="lef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⑤强制报废已达到报废船龄的运输船舶。</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县交通运输局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华容海事处</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5.</w:t>
            </w:r>
            <w:r>
              <w:rPr>
                <w:rFonts w:hint="eastAsia" w:ascii="仿宋_GB2312" w:hAnsi="仿宋_GB2312" w:eastAsia="仿宋_GB2312" w:cs="仿宋_GB2312"/>
                <w:b/>
                <w:bCs/>
                <w:color w:val="000000"/>
                <w:sz w:val="21"/>
                <w:szCs w:val="21"/>
                <w:highlight w:val="none"/>
              </w:rPr>
              <w:t>提高资源能源利用效率</w:t>
            </w:r>
          </w:p>
        </w:tc>
        <w:tc>
          <w:tcPr>
            <w:tcW w:w="8616" w:type="dxa"/>
            <w:vAlign w:val="center"/>
          </w:tcPr>
          <w:p>
            <w:pPr>
              <w:jc w:val="lef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①推进循环经济产业项目建设，搭建资源共享、废物处理、服务高效的公共平台，促进城</w:t>
            </w:r>
            <w:r>
              <w:rPr>
                <w:rFonts w:hint="eastAsia" w:ascii="仿宋_GB2312" w:hAnsi="仿宋_GB2312" w:eastAsia="仿宋_GB2312" w:cs="仿宋_GB2312"/>
                <w:color w:val="000000"/>
                <w:sz w:val="21"/>
                <w:szCs w:val="21"/>
                <w:highlight w:val="none"/>
                <w:lang w:eastAsia="zh-CN"/>
              </w:rPr>
              <w:t>区</w:t>
            </w:r>
            <w:r>
              <w:rPr>
                <w:rFonts w:hint="eastAsia" w:ascii="仿宋_GB2312" w:hAnsi="仿宋_GB2312" w:eastAsia="仿宋_GB2312" w:cs="仿宋_GB2312"/>
                <w:color w:val="000000"/>
                <w:sz w:val="21"/>
                <w:szCs w:val="21"/>
                <w:highlight w:val="none"/>
              </w:rPr>
              <w:t>垃圾及工业废物资源综合利用</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县发改局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华容分局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jc w:val="lef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②严格实行区域流域用水总量和强度控制。因地制宜调整种植结构，推进农业灌溉用水总量控制和定额管理</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县水利局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县发改局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华容分局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县农业农村局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jc w:val="lef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③全</w:t>
            </w:r>
            <w:r>
              <w:rPr>
                <w:rFonts w:hint="eastAsia" w:ascii="仿宋_GB2312" w:hAnsi="仿宋_GB2312" w:eastAsia="仿宋_GB2312" w:cs="仿宋_GB2312"/>
                <w:color w:val="000000"/>
                <w:sz w:val="21"/>
                <w:szCs w:val="21"/>
                <w:highlight w:val="none"/>
                <w:lang w:eastAsia="zh-CN"/>
              </w:rPr>
              <w:t>县</w:t>
            </w:r>
            <w:r>
              <w:rPr>
                <w:rFonts w:hint="eastAsia" w:ascii="仿宋_GB2312" w:hAnsi="仿宋_GB2312" w:eastAsia="仿宋_GB2312" w:cs="仿宋_GB2312"/>
                <w:color w:val="000000"/>
                <w:sz w:val="21"/>
                <w:szCs w:val="21"/>
                <w:highlight w:val="none"/>
              </w:rPr>
              <w:t>用水总量、万元</w:t>
            </w:r>
            <w:r>
              <w:rPr>
                <w:rFonts w:ascii="仿宋_GB2312" w:hAnsi="仿宋_GB2312" w:eastAsia="仿宋_GB2312" w:cs="仿宋_GB2312"/>
                <w:color w:val="000000"/>
                <w:sz w:val="21"/>
                <w:szCs w:val="21"/>
                <w:highlight w:val="none"/>
              </w:rPr>
              <w:t>GDP</w:t>
            </w:r>
            <w:r>
              <w:rPr>
                <w:rFonts w:hint="eastAsia" w:ascii="仿宋_GB2312" w:hAnsi="仿宋_GB2312" w:eastAsia="仿宋_GB2312" w:cs="仿宋_GB2312"/>
                <w:color w:val="000000"/>
                <w:sz w:val="21"/>
                <w:szCs w:val="21"/>
                <w:highlight w:val="none"/>
              </w:rPr>
              <w:t>用水量、万元工业增加值用水量完成</w:t>
            </w:r>
            <w:r>
              <w:rPr>
                <w:rFonts w:hint="eastAsia" w:ascii="仿宋_GB2312" w:hAnsi="仿宋_GB2312" w:eastAsia="仿宋_GB2312" w:cs="仿宋_GB2312"/>
                <w:color w:val="000000"/>
                <w:sz w:val="21"/>
                <w:szCs w:val="21"/>
                <w:highlight w:val="none"/>
                <w:lang w:eastAsia="zh-CN"/>
              </w:rPr>
              <w:t>市</w:t>
            </w:r>
            <w:r>
              <w:rPr>
                <w:rFonts w:hint="eastAsia" w:ascii="仿宋_GB2312" w:hAnsi="仿宋_GB2312" w:eastAsia="仿宋_GB2312" w:cs="仿宋_GB2312"/>
                <w:color w:val="000000"/>
                <w:sz w:val="21"/>
                <w:szCs w:val="21"/>
                <w:highlight w:val="none"/>
              </w:rPr>
              <w:t>级下达</w:t>
            </w:r>
            <w:r>
              <w:rPr>
                <w:rFonts w:hint="eastAsia" w:ascii="仿宋_GB2312" w:hAnsi="仿宋_GB2312" w:eastAsia="仿宋_GB2312" w:cs="仿宋_GB2312"/>
                <w:color w:val="000000"/>
                <w:sz w:val="21"/>
                <w:szCs w:val="21"/>
                <w:highlight w:val="none"/>
                <w:lang w:eastAsia="zh-CN"/>
              </w:rPr>
              <w:t>的</w:t>
            </w:r>
            <w:r>
              <w:rPr>
                <w:rFonts w:hint="eastAsia" w:ascii="仿宋_GB2312" w:hAnsi="仿宋_GB2312" w:eastAsia="仿宋_GB2312" w:cs="仿宋_GB2312"/>
                <w:color w:val="000000"/>
                <w:sz w:val="21"/>
                <w:szCs w:val="21"/>
                <w:highlight w:val="none"/>
              </w:rPr>
              <w:t>指标。</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县水利局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县发改局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县工信局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县住建局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县农业农村局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6.</w:t>
            </w:r>
            <w:r>
              <w:rPr>
                <w:rFonts w:hint="eastAsia" w:ascii="仿宋_GB2312" w:hAnsi="仿宋_GB2312" w:eastAsia="仿宋_GB2312" w:cs="仿宋_GB2312"/>
                <w:b/>
                <w:bCs/>
                <w:color w:val="000000"/>
                <w:sz w:val="21"/>
                <w:szCs w:val="21"/>
                <w:highlight w:val="none"/>
              </w:rPr>
              <w:t>推动发展绿色建筑</w:t>
            </w:r>
          </w:p>
        </w:tc>
        <w:tc>
          <w:tcPr>
            <w:tcW w:w="8616" w:type="dxa"/>
            <w:vAlign w:val="center"/>
          </w:tcPr>
          <w:p>
            <w:pPr>
              <w:jc w:val="lef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推进绿色建造、钢结构装配式住宅建设、浅层地热能开发应用等试点工作，全年城镇绿色建筑竣工面积占新建建筑比例达到</w:t>
            </w:r>
            <w:r>
              <w:rPr>
                <w:rFonts w:ascii="仿宋_GB2312" w:hAnsi="仿宋_GB2312" w:eastAsia="仿宋_GB2312" w:cs="仿宋_GB2312"/>
                <w:color w:val="000000"/>
                <w:sz w:val="21"/>
                <w:szCs w:val="21"/>
                <w:highlight w:val="none"/>
              </w:rPr>
              <w:t>70%</w:t>
            </w:r>
            <w:r>
              <w:rPr>
                <w:rFonts w:hint="eastAsia" w:ascii="仿宋_GB2312" w:hAnsi="仿宋_GB2312" w:eastAsia="仿宋_GB2312" w:cs="仿宋_GB2312"/>
                <w:color w:val="000000"/>
                <w:sz w:val="21"/>
                <w:szCs w:val="21"/>
                <w:highlight w:val="none"/>
              </w:rPr>
              <w:t>，城镇装配式新建建筑占比达到</w:t>
            </w:r>
            <w:r>
              <w:rPr>
                <w:rFonts w:ascii="仿宋_GB2312" w:hAnsi="仿宋_GB2312" w:eastAsia="仿宋_GB2312" w:cs="仿宋_GB2312"/>
                <w:color w:val="000000"/>
                <w:sz w:val="21"/>
                <w:szCs w:val="21"/>
                <w:highlight w:val="none"/>
              </w:rPr>
              <w:t>32%</w:t>
            </w:r>
            <w:r>
              <w:rPr>
                <w:rFonts w:hint="eastAsia" w:ascii="仿宋_GB2312" w:hAnsi="仿宋_GB2312" w:eastAsia="仿宋_GB2312" w:cs="仿宋_GB2312"/>
                <w:color w:val="000000"/>
                <w:sz w:val="21"/>
                <w:szCs w:val="21"/>
                <w:highlight w:val="none"/>
              </w:rPr>
              <w:t>。加快推进建筑垃圾管理和资源化利用示范工作。</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县住建局</w:t>
            </w:r>
          </w:p>
        </w:tc>
        <w:tc>
          <w:tcPr>
            <w:tcW w:w="2108" w:type="dxa"/>
            <w:vAlign w:val="center"/>
          </w:tcPr>
          <w:p>
            <w:pPr>
              <w:jc w:val="center"/>
              <w:rPr>
                <w:rFonts w:ascii="仿宋_GB2312" w:hAnsi="仿宋_GB2312" w:eastAsia="仿宋_GB2312" w:cs="仿宋_GB2312"/>
                <w:color w:val="000000"/>
                <w:sz w:val="21"/>
                <w:szCs w:val="21"/>
                <w:highlight w:val="none"/>
              </w:rPr>
            </w:pPr>
          </w:p>
          <w:p>
            <w:pPr>
              <w:jc w:val="center"/>
              <w:rPr>
                <w:rFonts w:ascii="仿宋_GB2312" w:hAnsi="仿宋_GB2312" w:eastAsia="仿宋_GB2312" w:cs="仿宋_GB2312"/>
                <w:color w:val="000000"/>
                <w:sz w:val="21"/>
                <w:szCs w:val="21"/>
                <w:highlight w:val="none"/>
              </w:rPr>
            </w:pPr>
          </w:p>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 w:hRule="atLeast"/>
        </w:trPr>
        <w:tc>
          <w:tcPr>
            <w:tcW w:w="1528"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7.</w:t>
            </w:r>
            <w:r>
              <w:rPr>
                <w:rFonts w:hint="eastAsia" w:ascii="仿宋_GB2312" w:hAnsi="仿宋_GB2312" w:eastAsia="仿宋_GB2312" w:cs="仿宋_GB2312"/>
                <w:b/>
                <w:bCs/>
                <w:color w:val="000000"/>
                <w:sz w:val="21"/>
                <w:szCs w:val="21"/>
                <w:highlight w:val="none"/>
              </w:rPr>
              <w:t>提升绿色生产水平</w:t>
            </w:r>
          </w:p>
        </w:tc>
        <w:tc>
          <w:tcPr>
            <w:tcW w:w="8616" w:type="dxa"/>
            <w:vAlign w:val="center"/>
          </w:tcPr>
          <w:p>
            <w:pPr>
              <w:jc w:val="lef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①引导企业开发绿色产品</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县工信局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jc w:val="lef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②制定和公布重点企业清洁生产审核名单，按期推进完成强制性清洁生产审核工作任务。</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县工信局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县发改局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8.</w:t>
            </w:r>
            <w:r>
              <w:rPr>
                <w:rFonts w:hint="eastAsia" w:ascii="仿宋_GB2312" w:hAnsi="仿宋_GB2312" w:eastAsia="仿宋_GB2312" w:cs="仿宋_GB2312"/>
                <w:b/>
                <w:bCs/>
                <w:color w:val="000000"/>
                <w:sz w:val="21"/>
                <w:szCs w:val="21"/>
                <w:highlight w:val="none"/>
              </w:rPr>
              <w:t>推进绿色生活和绿色消费</w:t>
            </w:r>
          </w:p>
        </w:tc>
        <w:tc>
          <w:tcPr>
            <w:tcW w:w="8616" w:type="dxa"/>
            <w:vAlign w:val="center"/>
          </w:tcPr>
          <w:p>
            <w:pPr>
              <w:jc w:val="lef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①落实《节约型机关创建行动方案》，在党政机关</w:t>
            </w:r>
            <w:r>
              <w:rPr>
                <w:rFonts w:hint="eastAsia" w:ascii="仿宋_GB2312" w:hAnsi="仿宋_GB2312" w:eastAsia="仿宋_GB2312" w:cs="仿宋_GB2312"/>
                <w:color w:val="000000"/>
                <w:sz w:val="21"/>
                <w:szCs w:val="21"/>
                <w:highlight w:val="none"/>
                <w:lang w:eastAsia="zh-CN"/>
              </w:rPr>
              <w:t>、事业单位</w:t>
            </w:r>
            <w:r>
              <w:rPr>
                <w:rFonts w:hint="eastAsia" w:ascii="仿宋_GB2312" w:hAnsi="仿宋_GB2312" w:eastAsia="仿宋_GB2312" w:cs="仿宋_GB2312"/>
                <w:color w:val="000000"/>
                <w:sz w:val="21"/>
                <w:szCs w:val="21"/>
                <w:highlight w:val="none"/>
              </w:rPr>
              <w:t>开展节约型机关创建工作</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县机关事务服务中心</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县发改局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县财政局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jc w:val="lef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②加强塑料污染治理，狠抓源头防控，强化塑料废弃物回收利用和处置，加强监管执法</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县发改局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县直相关部门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jc w:val="lef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③推进城</w:t>
            </w:r>
            <w:r>
              <w:rPr>
                <w:rFonts w:hint="eastAsia" w:ascii="仿宋_GB2312" w:hAnsi="仿宋_GB2312" w:eastAsia="仿宋_GB2312" w:cs="仿宋_GB2312"/>
                <w:color w:val="000000"/>
                <w:sz w:val="21"/>
                <w:szCs w:val="21"/>
                <w:highlight w:val="none"/>
                <w:lang w:eastAsia="zh-CN"/>
              </w:rPr>
              <w:t>区</w:t>
            </w:r>
            <w:r>
              <w:rPr>
                <w:rFonts w:hint="eastAsia" w:ascii="仿宋_GB2312" w:hAnsi="仿宋_GB2312" w:eastAsia="仿宋_GB2312" w:cs="仿宋_GB2312"/>
                <w:color w:val="000000"/>
                <w:sz w:val="21"/>
                <w:szCs w:val="21"/>
                <w:highlight w:val="none"/>
              </w:rPr>
              <w:t>生活垃圾分类及垃圾处理设施建设，</w:t>
            </w:r>
            <w:r>
              <w:rPr>
                <w:rFonts w:hint="eastAsia" w:ascii="仿宋_GB2312" w:hAnsi="仿宋_GB2312" w:eastAsia="仿宋_GB2312" w:cs="仿宋_GB2312"/>
                <w:color w:val="000000"/>
                <w:sz w:val="21"/>
                <w:szCs w:val="21"/>
                <w:highlight w:val="none"/>
                <w:lang w:eastAsia="zh-CN"/>
              </w:rPr>
              <w:t>城区</w:t>
            </w:r>
            <w:r>
              <w:rPr>
                <w:rFonts w:hint="eastAsia" w:ascii="仿宋_GB2312" w:hAnsi="仿宋_GB2312" w:eastAsia="仿宋_GB2312" w:cs="仿宋_GB2312"/>
                <w:color w:val="000000"/>
                <w:sz w:val="21"/>
                <w:szCs w:val="21"/>
                <w:highlight w:val="none"/>
              </w:rPr>
              <w:t>至少要将</w:t>
            </w:r>
            <w:r>
              <w:rPr>
                <w:rFonts w:ascii="仿宋_GB2312" w:hAnsi="仿宋_GB2312" w:eastAsia="仿宋_GB2312" w:cs="仿宋_GB2312"/>
                <w:color w:val="000000"/>
                <w:sz w:val="21"/>
                <w:szCs w:val="21"/>
                <w:highlight w:val="none"/>
              </w:rPr>
              <w:t>2</w:t>
            </w:r>
            <w:r>
              <w:rPr>
                <w:rFonts w:hint="eastAsia" w:ascii="仿宋_GB2312" w:hAnsi="仿宋_GB2312" w:eastAsia="仿宋_GB2312" w:cs="仿宋_GB2312"/>
                <w:color w:val="000000"/>
                <w:sz w:val="21"/>
                <w:szCs w:val="21"/>
                <w:highlight w:val="none"/>
              </w:rPr>
              <w:t>条街道建成示范区。</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县城管局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9.</w:t>
            </w:r>
            <w:r>
              <w:rPr>
                <w:rFonts w:hint="eastAsia" w:ascii="仿宋_GB2312" w:hAnsi="仿宋_GB2312" w:eastAsia="仿宋_GB2312" w:cs="仿宋_GB2312"/>
                <w:b/>
                <w:bCs/>
                <w:color w:val="000000"/>
                <w:sz w:val="21"/>
                <w:szCs w:val="21"/>
                <w:highlight w:val="none"/>
              </w:rPr>
              <w:t>开展</w:t>
            </w:r>
            <w:r>
              <w:rPr>
                <w:rFonts w:ascii="仿宋_GB2312" w:hAnsi="仿宋_GB2312" w:eastAsia="仿宋_GB2312" w:cs="仿宋_GB2312"/>
                <w:b/>
                <w:bCs/>
                <w:color w:val="000000"/>
                <w:sz w:val="21"/>
                <w:szCs w:val="21"/>
                <w:highlight w:val="none"/>
              </w:rPr>
              <w:t>NO</w:t>
            </w:r>
            <w:r>
              <w:rPr>
                <w:rFonts w:hint="eastAsia" w:ascii="仿宋_GB2312" w:hAnsi="仿宋_GB2312" w:cs="仿宋_GB2312"/>
                <w:b/>
                <w:bCs/>
                <w:color w:val="000000"/>
                <w:sz w:val="21"/>
                <w:szCs w:val="21"/>
                <w:highlight w:val="none"/>
                <w:vertAlign w:val="subscript"/>
                <w:lang w:val="en-US" w:eastAsia="zh-CN"/>
              </w:rPr>
              <w:t>X</w:t>
            </w:r>
            <w:r>
              <w:rPr>
                <w:rFonts w:hint="eastAsia" w:ascii="仿宋_GB2312" w:hAnsi="仿宋_GB2312" w:eastAsia="仿宋_GB2312" w:cs="仿宋_GB2312"/>
                <w:b/>
                <w:bCs/>
                <w:color w:val="000000"/>
                <w:sz w:val="21"/>
                <w:szCs w:val="21"/>
                <w:highlight w:val="none"/>
              </w:rPr>
              <w:t>和</w:t>
            </w:r>
            <w:r>
              <w:rPr>
                <w:rFonts w:ascii="仿宋_GB2312" w:hAnsi="仿宋_GB2312" w:eastAsia="仿宋_GB2312" w:cs="仿宋_GB2312"/>
                <w:b/>
                <w:bCs/>
                <w:color w:val="000000"/>
                <w:sz w:val="21"/>
                <w:szCs w:val="21"/>
                <w:highlight w:val="none"/>
              </w:rPr>
              <w:t>VOCs</w:t>
            </w:r>
            <w:r>
              <w:rPr>
                <w:rFonts w:hint="eastAsia" w:ascii="仿宋_GB2312" w:hAnsi="仿宋_GB2312" w:eastAsia="仿宋_GB2312" w:cs="仿宋_GB2312"/>
                <w:b/>
                <w:bCs/>
                <w:color w:val="000000"/>
                <w:sz w:val="21"/>
                <w:szCs w:val="21"/>
                <w:highlight w:val="none"/>
              </w:rPr>
              <w:t>排放总量控制</w:t>
            </w:r>
          </w:p>
        </w:tc>
        <w:tc>
          <w:tcPr>
            <w:tcW w:w="8616" w:type="dxa"/>
            <w:vAlign w:val="center"/>
          </w:tcPr>
          <w:p>
            <w:pPr>
              <w:jc w:val="lef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对涉及</w:t>
            </w:r>
            <w:r>
              <w:rPr>
                <w:rFonts w:ascii="仿宋_GB2312" w:hAnsi="仿宋_GB2312" w:eastAsia="仿宋_GB2312" w:cs="仿宋_GB2312"/>
                <w:color w:val="000000"/>
                <w:sz w:val="21"/>
                <w:szCs w:val="21"/>
                <w:highlight w:val="none"/>
              </w:rPr>
              <w:t>NO</w:t>
            </w:r>
            <w:r>
              <w:rPr>
                <w:rFonts w:hint="eastAsia" w:ascii="仿宋_GB2312" w:hAnsi="仿宋_GB2312" w:cs="仿宋_GB2312"/>
                <w:color w:val="000000"/>
                <w:sz w:val="21"/>
                <w:szCs w:val="21"/>
                <w:highlight w:val="none"/>
                <w:vertAlign w:val="subscript"/>
                <w:lang w:val="en-US" w:eastAsia="zh-CN"/>
              </w:rPr>
              <w:t>X</w:t>
            </w:r>
            <w:r>
              <w:rPr>
                <w:rFonts w:hint="eastAsia" w:ascii="仿宋_GB2312" w:hAnsi="仿宋_GB2312" w:eastAsia="仿宋_GB2312" w:cs="仿宋_GB2312"/>
                <w:color w:val="000000"/>
                <w:sz w:val="21"/>
                <w:szCs w:val="21"/>
                <w:highlight w:val="none"/>
              </w:rPr>
              <w:t>和</w:t>
            </w:r>
            <w:r>
              <w:rPr>
                <w:rFonts w:ascii="仿宋_GB2312" w:hAnsi="仿宋_GB2312" w:eastAsia="仿宋_GB2312" w:cs="仿宋_GB2312"/>
                <w:color w:val="000000"/>
                <w:sz w:val="21"/>
                <w:szCs w:val="21"/>
                <w:highlight w:val="none"/>
              </w:rPr>
              <w:t>VOCs</w:t>
            </w:r>
            <w:r>
              <w:rPr>
                <w:rFonts w:hint="eastAsia" w:ascii="仿宋_GB2312" w:hAnsi="仿宋_GB2312" w:eastAsia="仿宋_GB2312" w:cs="仿宋_GB2312"/>
                <w:color w:val="000000"/>
                <w:sz w:val="21"/>
                <w:szCs w:val="21"/>
                <w:highlight w:val="none"/>
              </w:rPr>
              <w:t>排量大的重点企业和项目，大力实施总量削减计划；结合空气质量改善要求，梳理工程项目，制定工作计划、工程措施并推进实施。</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10.</w:t>
            </w:r>
            <w:r>
              <w:rPr>
                <w:rFonts w:hint="eastAsia" w:ascii="仿宋_GB2312" w:hAnsi="仿宋_GB2312" w:eastAsia="仿宋_GB2312" w:cs="仿宋_GB2312"/>
                <w:b/>
                <w:bCs/>
                <w:color w:val="000000"/>
                <w:sz w:val="21"/>
                <w:szCs w:val="21"/>
                <w:highlight w:val="none"/>
              </w:rPr>
              <w:t>深化工业源污染防治</w:t>
            </w:r>
          </w:p>
        </w:tc>
        <w:tc>
          <w:tcPr>
            <w:tcW w:w="8616" w:type="dxa"/>
            <w:vAlign w:val="center"/>
          </w:tcPr>
          <w:p>
            <w:pPr>
              <w:jc w:val="left"/>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①完成工业炉窑综合治理项目。完成挥发性有机物重点企业整治</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②对已完成锅炉、工业窑炉、</w:t>
            </w:r>
            <w:r>
              <w:rPr>
                <w:rFonts w:ascii="仿宋_GB2312" w:hAnsi="仿宋_GB2312" w:eastAsia="仿宋_GB2312" w:cs="仿宋_GB2312"/>
                <w:color w:val="000000"/>
                <w:sz w:val="21"/>
                <w:szCs w:val="21"/>
                <w:highlight w:val="none"/>
              </w:rPr>
              <w:t>VOCs</w:t>
            </w:r>
            <w:r>
              <w:rPr>
                <w:rFonts w:hint="eastAsia" w:ascii="仿宋_GB2312" w:hAnsi="仿宋_GB2312" w:eastAsia="仿宋_GB2312" w:cs="仿宋_GB2312"/>
                <w:color w:val="000000"/>
                <w:sz w:val="21"/>
                <w:szCs w:val="21"/>
                <w:highlight w:val="none"/>
              </w:rPr>
              <w:t>治理的企业，加强监管，确保污染防治设施运行正常，做到稳定达标排放。包装印刷、工业涂装、家具制造等行业，通过使用水性、粉末、高固体分、无溶剂、辐射固化等低</w:t>
            </w:r>
            <w:r>
              <w:rPr>
                <w:rFonts w:ascii="仿宋_GB2312" w:hAnsi="仿宋_GB2312" w:eastAsia="仿宋_GB2312" w:cs="仿宋_GB2312"/>
                <w:color w:val="000000"/>
                <w:sz w:val="21"/>
                <w:szCs w:val="21"/>
                <w:highlight w:val="none"/>
              </w:rPr>
              <w:t>VOCs</w:t>
            </w:r>
            <w:r>
              <w:rPr>
                <w:rFonts w:hint="eastAsia" w:ascii="仿宋_GB2312" w:hAnsi="仿宋_GB2312" w:eastAsia="仿宋_GB2312" w:cs="仿宋_GB2312"/>
                <w:color w:val="000000"/>
                <w:sz w:val="21"/>
                <w:szCs w:val="21"/>
                <w:highlight w:val="none"/>
              </w:rPr>
              <w:t>含量的涂料、油墨、胶粘剂、清洗剂等，从源头减少</w:t>
            </w:r>
            <w:r>
              <w:rPr>
                <w:rFonts w:ascii="仿宋_GB2312" w:hAnsi="仿宋_GB2312" w:eastAsia="仿宋_GB2312" w:cs="仿宋_GB2312"/>
                <w:color w:val="000000"/>
                <w:sz w:val="21"/>
                <w:szCs w:val="21"/>
                <w:highlight w:val="none"/>
              </w:rPr>
              <w:t>VOCs</w:t>
            </w:r>
            <w:r>
              <w:rPr>
                <w:rFonts w:hint="eastAsia" w:ascii="仿宋_GB2312" w:hAnsi="仿宋_GB2312" w:eastAsia="仿宋_GB2312" w:cs="仿宋_GB2312"/>
                <w:color w:val="000000"/>
                <w:sz w:val="21"/>
                <w:szCs w:val="21"/>
                <w:highlight w:val="none"/>
              </w:rPr>
              <w:t>产生。对含</w:t>
            </w:r>
            <w:r>
              <w:rPr>
                <w:rFonts w:ascii="仿宋_GB2312" w:hAnsi="仿宋_GB2312" w:eastAsia="仿宋_GB2312" w:cs="仿宋_GB2312"/>
                <w:color w:val="000000"/>
                <w:sz w:val="21"/>
                <w:szCs w:val="21"/>
                <w:highlight w:val="none"/>
              </w:rPr>
              <w:t>VOCs</w:t>
            </w:r>
            <w:r>
              <w:rPr>
                <w:rFonts w:hint="eastAsia" w:ascii="仿宋_GB2312" w:hAnsi="仿宋_GB2312" w:eastAsia="仿宋_GB2312" w:cs="仿宋_GB2312"/>
                <w:color w:val="000000"/>
                <w:sz w:val="21"/>
                <w:szCs w:val="21"/>
                <w:highlight w:val="none"/>
              </w:rPr>
              <w:t>物料储存、转移和输送、设备与管线组件泄漏、敞开液面逸散以及工艺过程等五类无组织排放源实施管控，通过采取密闭、工艺改进、废气有效收集等措施，削减</w:t>
            </w:r>
            <w:r>
              <w:rPr>
                <w:rFonts w:ascii="仿宋_GB2312" w:hAnsi="仿宋_GB2312" w:eastAsia="仿宋_GB2312" w:cs="仿宋_GB2312"/>
                <w:color w:val="000000"/>
                <w:sz w:val="21"/>
                <w:szCs w:val="21"/>
                <w:highlight w:val="none"/>
              </w:rPr>
              <w:t>VOCs</w:t>
            </w:r>
            <w:r>
              <w:rPr>
                <w:rFonts w:hint="eastAsia" w:ascii="仿宋_GB2312" w:hAnsi="仿宋_GB2312" w:eastAsia="仿宋_GB2312" w:cs="仿宋_GB2312"/>
                <w:color w:val="000000"/>
                <w:sz w:val="21"/>
                <w:szCs w:val="21"/>
                <w:highlight w:val="none"/>
              </w:rPr>
              <w:t>无组织排放。鼓励企业采用多种技术的组合工艺，提高</w:t>
            </w:r>
            <w:r>
              <w:rPr>
                <w:rFonts w:ascii="仿宋_GB2312" w:hAnsi="仿宋_GB2312" w:eastAsia="仿宋_GB2312" w:cs="仿宋_GB2312"/>
                <w:color w:val="000000"/>
                <w:sz w:val="21"/>
                <w:szCs w:val="21"/>
                <w:highlight w:val="none"/>
              </w:rPr>
              <w:t>VOCs</w:t>
            </w:r>
            <w:r>
              <w:rPr>
                <w:rFonts w:hint="eastAsia" w:ascii="仿宋_GB2312" w:hAnsi="仿宋_GB2312" w:eastAsia="仿宋_GB2312" w:cs="仿宋_GB2312"/>
                <w:color w:val="000000"/>
                <w:sz w:val="21"/>
                <w:szCs w:val="21"/>
                <w:highlight w:val="none"/>
              </w:rPr>
              <w:t>治理效率。规范企业对含</w:t>
            </w:r>
            <w:r>
              <w:rPr>
                <w:rFonts w:ascii="仿宋_GB2312" w:hAnsi="仿宋_GB2312" w:eastAsia="仿宋_GB2312" w:cs="仿宋_GB2312"/>
                <w:color w:val="000000"/>
                <w:sz w:val="21"/>
                <w:szCs w:val="21"/>
                <w:highlight w:val="none"/>
              </w:rPr>
              <w:t>VOCs</w:t>
            </w:r>
            <w:r>
              <w:rPr>
                <w:rFonts w:hint="eastAsia" w:ascii="仿宋_GB2312" w:hAnsi="仿宋_GB2312" w:eastAsia="仿宋_GB2312" w:cs="仿宋_GB2312"/>
                <w:color w:val="000000"/>
                <w:sz w:val="21"/>
                <w:szCs w:val="21"/>
                <w:highlight w:val="none"/>
              </w:rPr>
              <w:t>废料储存、运输、处置行为</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③加强砖瓦、水泥、商品混凝土、沥青搅拌等建材、码头等行业无组织排放治理。</w:t>
            </w:r>
            <w:r>
              <w:rPr>
                <w:rFonts w:ascii="仿宋_GB2312" w:hAnsi="仿宋_GB2312" w:eastAsia="仿宋_GB2312" w:cs="仿宋_GB2312"/>
                <w:color w:val="000000"/>
                <w:sz w:val="21"/>
                <w:szCs w:val="21"/>
                <w:highlight w:val="none"/>
              </w:rPr>
              <w:t xml:space="preserve"> </w:t>
            </w:r>
            <w:r>
              <w:rPr>
                <w:rFonts w:hint="eastAsia" w:ascii="仿宋_GB2312" w:hAnsi="仿宋_GB2312" w:eastAsia="仿宋_GB2312" w:cs="仿宋_GB2312"/>
                <w:color w:val="000000"/>
                <w:sz w:val="21"/>
                <w:szCs w:val="21"/>
                <w:highlight w:val="none"/>
              </w:rPr>
              <w:t>控制企业粉状物料无组织排放。对易产生扬尘的粉状、粒状物料及燃料应当密闭储存</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运输采用密闭皮带、封闭通廊、管状带式输送机或密闭车厢等密闭输送方式。</w:t>
            </w:r>
            <w:r>
              <w:rPr>
                <w:rFonts w:ascii="仿宋_GB2312" w:hAnsi="仿宋_GB2312" w:eastAsia="仿宋_GB2312" w:cs="仿宋_GB2312"/>
                <w:color w:val="000000"/>
                <w:sz w:val="21"/>
                <w:szCs w:val="21"/>
                <w:highlight w:val="none"/>
              </w:rPr>
              <w:t xml:space="preserve"> </w:t>
            </w:r>
            <w:r>
              <w:rPr>
                <w:rFonts w:hint="eastAsia" w:ascii="仿宋_GB2312" w:hAnsi="仿宋_GB2312" w:eastAsia="仿宋_GB2312" w:cs="仿宋_GB2312"/>
                <w:color w:val="000000"/>
                <w:sz w:val="21"/>
                <w:szCs w:val="21"/>
                <w:highlight w:val="none"/>
              </w:rPr>
              <w:t>控制企业块状物料无组织排放。块状物料采用入棚入仓或建设防风抑尘网等方式进行存储</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并设有洒水、喷淋、苫盖等综合措施进行抑尘。控制企业生产工艺过程无组织排放。生产工艺产尘点</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装置</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应封闭</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采用密闭生产装置</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对打磨、切割、粉碎、搅拌等加工环节产生无组织排放产尘点的设置集气罩或收尘装置并配备除尘设施</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车间不能有可见烟尘外逸。控制企业物料装卸运输无组织排放。汽车、皮带输送机等卸料点设置集气罩或密闭罩</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并配备除尘设施。控制企业综合无组织排放。料场路面应实施硬化。配备洒水车等降尘设备，生产期间每天上班和下班前各清扫、洒水一次，一周全场道路冲洗一次。出口处配备车轮和车身净化装置。</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p>
            <w:pPr>
              <w:pStyle w:val="18"/>
              <w:ind w:firstLine="0" w:firstLineChars="0"/>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县交通运输局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县发改局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11.</w:t>
            </w:r>
            <w:r>
              <w:rPr>
                <w:rFonts w:hint="eastAsia" w:ascii="仿宋_GB2312" w:hAnsi="仿宋_GB2312" w:eastAsia="仿宋_GB2312" w:cs="仿宋_GB2312"/>
                <w:b/>
                <w:bCs/>
                <w:color w:val="000000"/>
                <w:sz w:val="21"/>
                <w:szCs w:val="21"/>
                <w:highlight w:val="none"/>
              </w:rPr>
              <w:t>加大油品监管力度</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①建立健全常态化油品监督检查机制，以柴油货车集中停放地、施工工地、运输企业为重点，对不达标油品追踪溯源，全年完成油品抽检，油品合格率达到92%以上。打击黑加油站，提升车用油品，开展黑加油站点、流动加油车、假劣尿素专项整治行动，坚决清除、彻底取缔无证无照经营的黑加油站（车）。打击不按规定销售符合国家标准要求车用汽、柴油的行为；掺杂使假、以假充真、以次充好的行为；经营走私或非法炼制成品油的行为等。</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县市场监管局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②落实《关于加强城市高污染燃料禁燃区管理的通告》（岳政告〔</w:t>
            </w:r>
            <w:r>
              <w:rPr>
                <w:rFonts w:ascii="仿宋_GB2312" w:hAnsi="仿宋_GB2312" w:eastAsia="仿宋_GB2312" w:cs="仿宋_GB2312"/>
                <w:color w:val="000000"/>
                <w:sz w:val="21"/>
                <w:szCs w:val="21"/>
                <w:highlight w:val="none"/>
              </w:rPr>
              <w:t>2020</w:t>
            </w:r>
            <w:r>
              <w:rPr>
                <w:rFonts w:hint="eastAsia" w:ascii="仿宋_GB2312" w:hAnsi="仿宋_GB2312" w:eastAsia="仿宋_GB2312" w:cs="仿宋_GB2312"/>
                <w:color w:val="000000"/>
                <w:sz w:val="21"/>
                <w:szCs w:val="21"/>
                <w:highlight w:val="none"/>
              </w:rPr>
              <w:t>〕</w:t>
            </w:r>
            <w:r>
              <w:rPr>
                <w:rFonts w:ascii="仿宋_GB2312" w:hAnsi="仿宋_GB2312" w:eastAsia="仿宋_GB2312" w:cs="仿宋_GB2312"/>
                <w:color w:val="000000"/>
                <w:sz w:val="21"/>
                <w:szCs w:val="21"/>
                <w:highlight w:val="none"/>
              </w:rPr>
              <w:t>2</w:t>
            </w:r>
            <w:r>
              <w:rPr>
                <w:rFonts w:hint="eastAsia" w:ascii="仿宋_GB2312" w:hAnsi="仿宋_GB2312" w:eastAsia="仿宋_GB2312" w:cs="仿宋_GB2312"/>
                <w:color w:val="000000"/>
                <w:sz w:val="21"/>
                <w:szCs w:val="21"/>
                <w:highlight w:val="none"/>
              </w:rPr>
              <w:t>号）的各项规定，市场监管部门依法查处禁燃区内违法生产、销售、使用相应高污染燃料的行为。</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县市场监管局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spacing w:line="280" w:lineRule="exact"/>
              <w:jc w:val="left"/>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③对汽油储油库、油罐车、加油站清单实行动态更新，储油库和年销售汽油量大于</w:t>
            </w:r>
            <w:r>
              <w:rPr>
                <w:rFonts w:ascii="仿宋_GB2312" w:hAnsi="仿宋_GB2312" w:eastAsia="仿宋_GB2312" w:cs="仿宋_GB2312"/>
                <w:color w:val="000000"/>
                <w:sz w:val="21"/>
                <w:szCs w:val="21"/>
                <w:highlight w:val="none"/>
              </w:rPr>
              <w:t>5000</w:t>
            </w:r>
            <w:r>
              <w:rPr>
                <w:rFonts w:hint="eastAsia" w:ascii="仿宋_GB2312" w:hAnsi="仿宋_GB2312" w:eastAsia="仿宋_GB2312" w:cs="仿宋_GB2312"/>
                <w:color w:val="000000"/>
                <w:sz w:val="21"/>
                <w:szCs w:val="21"/>
                <w:highlight w:val="none"/>
              </w:rPr>
              <w:t>吨的加油站安装油气回收自动监测设备，并定期检查运行情况。加强油气回收治理设施监管，对储油库、加油站油气污染防治设施运行情况进行检查，检查频次每季度</w:t>
            </w:r>
            <w:r>
              <w:rPr>
                <w:rFonts w:ascii="仿宋_GB2312" w:hAnsi="仿宋_GB2312" w:eastAsia="仿宋_GB2312" w:cs="仿宋_GB2312"/>
                <w:color w:val="000000"/>
                <w:sz w:val="21"/>
                <w:szCs w:val="21"/>
                <w:highlight w:val="none"/>
              </w:rPr>
              <w:t>1</w:t>
            </w:r>
            <w:r>
              <w:rPr>
                <w:rFonts w:hint="eastAsia" w:ascii="仿宋_GB2312" w:hAnsi="仿宋_GB2312" w:eastAsia="仿宋_GB2312" w:cs="仿宋_GB2312"/>
                <w:color w:val="000000"/>
                <w:sz w:val="21"/>
                <w:szCs w:val="21"/>
                <w:highlight w:val="none"/>
              </w:rPr>
              <w:t>次。</w:t>
            </w:r>
          </w:p>
        </w:tc>
        <w:tc>
          <w:tcPr>
            <w:tcW w:w="1635"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县商务粮食局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528" w:type="dxa"/>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12.</w:t>
            </w:r>
            <w:r>
              <w:rPr>
                <w:rFonts w:hint="eastAsia" w:ascii="仿宋_GB2312" w:hAnsi="仿宋_GB2312" w:eastAsia="仿宋_GB2312" w:cs="仿宋_GB2312"/>
                <w:b/>
                <w:bCs/>
                <w:color w:val="000000"/>
                <w:sz w:val="21"/>
                <w:szCs w:val="21"/>
                <w:highlight w:val="none"/>
              </w:rPr>
              <w:t>加强新生产机动车环保达标监管</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机动车</w:t>
            </w:r>
            <w:r>
              <w:rPr>
                <w:rFonts w:hint="eastAsia" w:ascii="仿宋_GB2312" w:hAnsi="仿宋_GB2312" w:cs="仿宋_GB2312"/>
                <w:color w:val="000000"/>
                <w:sz w:val="21"/>
                <w:szCs w:val="21"/>
                <w:highlight w:val="none"/>
                <w:lang w:eastAsia="zh-CN"/>
              </w:rPr>
              <w:t>销售</w:t>
            </w:r>
            <w:r>
              <w:rPr>
                <w:rFonts w:hint="eastAsia" w:ascii="仿宋_GB2312" w:hAnsi="仿宋_GB2312" w:eastAsia="仿宋_GB2312" w:cs="仿宋_GB2312"/>
                <w:color w:val="000000"/>
                <w:sz w:val="21"/>
                <w:szCs w:val="21"/>
                <w:highlight w:val="none"/>
              </w:rPr>
              <w:t>企业主要车型的年度抽检率达到</w:t>
            </w:r>
            <w:r>
              <w:rPr>
                <w:rFonts w:ascii="仿宋_GB2312" w:hAnsi="仿宋_GB2312" w:eastAsia="仿宋_GB2312" w:cs="仿宋_GB2312"/>
                <w:color w:val="000000"/>
                <w:sz w:val="21"/>
                <w:szCs w:val="21"/>
                <w:highlight w:val="none"/>
              </w:rPr>
              <w:t>80%</w:t>
            </w:r>
            <w:r>
              <w:rPr>
                <w:rFonts w:hint="eastAsia" w:ascii="仿宋_GB2312" w:hAnsi="仿宋_GB2312" w:eastAsia="仿宋_GB2312" w:cs="仿宋_GB2312"/>
                <w:color w:val="000000"/>
                <w:sz w:val="21"/>
                <w:szCs w:val="21"/>
                <w:highlight w:val="none"/>
              </w:rPr>
              <w:t>，非道路移动机械生产（进口）企业主要机型的年度抽检率达到</w:t>
            </w:r>
            <w:r>
              <w:rPr>
                <w:rFonts w:ascii="仿宋_GB2312" w:hAnsi="仿宋_GB2312" w:eastAsia="仿宋_GB2312" w:cs="仿宋_GB2312"/>
                <w:color w:val="000000"/>
                <w:sz w:val="21"/>
                <w:szCs w:val="21"/>
                <w:highlight w:val="none"/>
              </w:rPr>
              <w:t>60%</w:t>
            </w:r>
            <w:r>
              <w:rPr>
                <w:rFonts w:hint="eastAsia" w:ascii="仿宋_GB2312" w:hAnsi="仿宋_GB2312" w:eastAsia="仿宋_GB2312" w:cs="仿宋_GB2312"/>
                <w:color w:val="000000"/>
                <w:sz w:val="21"/>
                <w:szCs w:val="21"/>
                <w:highlight w:val="none"/>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县公安局</w:t>
            </w:r>
          </w:p>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13.</w:t>
            </w:r>
            <w:r>
              <w:rPr>
                <w:rFonts w:hint="eastAsia" w:ascii="仿宋_GB2312" w:hAnsi="仿宋_GB2312" w:eastAsia="仿宋_GB2312" w:cs="仿宋_GB2312"/>
                <w:b/>
                <w:bCs/>
                <w:color w:val="000000"/>
                <w:sz w:val="21"/>
                <w:szCs w:val="21"/>
                <w:highlight w:val="none"/>
              </w:rPr>
              <w:t>加大在用车监督管理力度</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①对机动车排放检验机构开展“双随机、一公开”监督抽查；对检验全过程进行监管。</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县市场监管局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②进一步加大路检路查执法力度，推进城</w:t>
            </w:r>
            <w:r>
              <w:rPr>
                <w:rFonts w:hint="eastAsia" w:ascii="仿宋_GB2312" w:hAnsi="仿宋_GB2312" w:eastAsia="仿宋_GB2312" w:cs="仿宋_GB2312"/>
                <w:color w:val="000000"/>
                <w:sz w:val="21"/>
                <w:szCs w:val="21"/>
                <w:highlight w:val="none"/>
                <w:lang w:eastAsia="zh-CN"/>
              </w:rPr>
              <w:t>区</w:t>
            </w:r>
            <w:r>
              <w:rPr>
                <w:rFonts w:hint="eastAsia" w:ascii="仿宋_GB2312" w:hAnsi="仿宋_GB2312" w:eastAsia="仿宋_GB2312" w:cs="仿宋_GB2312"/>
                <w:color w:val="000000"/>
                <w:sz w:val="21"/>
                <w:szCs w:val="21"/>
                <w:highlight w:val="none"/>
              </w:rPr>
              <w:t>主干道柴油货车限行；组织开展柴油货车污染专项治理，在重点路段、柴油货车集中停放地和重点单位开展路检路查、入户抽查（特护期加大检查力度）</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县公安局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县交通运输局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③全面实施汽车排放检验与维修制度，建立健全相关工作机制，至少建成</w:t>
            </w:r>
            <w:r>
              <w:rPr>
                <w:rFonts w:ascii="仿宋_GB2312" w:hAnsi="仿宋_GB2312" w:eastAsia="仿宋_GB2312" w:cs="仿宋_GB2312"/>
                <w:color w:val="000000"/>
                <w:sz w:val="21"/>
                <w:szCs w:val="21"/>
                <w:highlight w:val="none"/>
              </w:rPr>
              <w:t>1</w:t>
            </w:r>
            <w:r>
              <w:rPr>
                <w:rFonts w:hint="eastAsia" w:ascii="仿宋_GB2312" w:hAnsi="仿宋_GB2312" w:eastAsia="仿宋_GB2312" w:cs="仿宋_GB2312"/>
                <w:color w:val="000000"/>
                <w:sz w:val="21"/>
                <w:szCs w:val="21"/>
                <w:highlight w:val="none"/>
              </w:rPr>
              <w:t>个汽车排放性能维修站，实现检验</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维修</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复检闭环管理。</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县交通运输局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w:t>
            </w:r>
          </w:p>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14.</w:t>
            </w:r>
            <w:r>
              <w:rPr>
                <w:rFonts w:hint="eastAsia" w:ascii="仿宋_GB2312" w:hAnsi="仿宋_GB2312" w:eastAsia="仿宋_GB2312" w:cs="仿宋_GB2312"/>
                <w:b/>
                <w:bCs/>
                <w:color w:val="000000"/>
                <w:sz w:val="21"/>
                <w:szCs w:val="21"/>
                <w:highlight w:val="none"/>
              </w:rPr>
              <w:t>加强非道路移动机械监管</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①持续推进非道路移动机械摸底调查和编码登记，挂牌率达到</w:t>
            </w:r>
            <w:r>
              <w:rPr>
                <w:rFonts w:ascii="仿宋_GB2312" w:hAnsi="仿宋_GB2312" w:eastAsia="仿宋_GB2312" w:cs="仿宋_GB2312"/>
                <w:color w:val="000000"/>
                <w:sz w:val="21"/>
                <w:szCs w:val="21"/>
                <w:highlight w:val="none"/>
              </w:rPr>
              <w:t>90%</w:t>
            </w:r>
            <w:r>
              <w:rPr>
                <w:rFonts w:hint="eastAsia" w:ascii="仿宋_GB2312" w:hAnsi="仿宋_GB2312" w:eastAsia="仿宋_GB2312" w:cs="仿宋_GB2312"/>
                <w:color w:val="000000"/>
                <w:sz w:val="21"/>
                <w:szCs w:val="21"/>
                <w:highlight w:val="none"/>
              </w:rPr>
              <w:t>以上</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cs="仿宋_GB2312"/>
                <w:color w:val="000000"/>
                <w:sz w:val="21"/>
                <w:szCs w:val="21"/>
                <w:highlight w:val="none"/>
                <w:lang w:eastAsia="zh-CN"/>
              </w:rPr>
              <w:t>县公安局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②按照《关于划定使用高排放非道路移动机械区域的通知》（岳生环委办〔</w:t>
            </w:r>
            <w:r>
              <w:rPr>
                <w:rFonts w:ascii="仿宋_GB2312" w:hAnsi="仿宋_GB2312" w:eastAsia="仿宋_GB2312" w:cs="仿宋_GB2312"/>
                <w:color w:val="000000"/>
                <w:sz w:val="21"/>
                <w:szCs w:val="21"/>
                <w:highlight w:val="none"/>
              </w:rPr>
              <w:t>2020</w:t>
            </w:r>
            <w:r>
              <w:rPr>
                <w:rFonts w:hint="eastAsia" w:ascii="仿宋_GB2312" w:hAnsi="仿宋_GB2312" w:eastAsia="仿宋_GB2312" w:cs="仿宋_GB2312"/>
                <w:color w:val="000000"/>
                <w:sz w:val="21"/>
                <w:szCs w:val="21"/>
                <w:highlight w:val="none"/>
              </w:rPr>
              <w:t>〕</w:t>
            </w:r>
            <w:r>
              <w:rPr>
                <w:rFonts w:ascii="仿宋_GB2312" w:hAnsi="仿宋_GB2312" w:eastAsia="仿宋_GB2312" w:cs="仿宋_GB2312"/>
                <w:color w:val="000000"/>
                <w:sz w:val="21"/>
                <w:szCs w:val="21"/>
                <w:highlight w:val="none"/>
              </w:rPr>
              <w:t>134</w:t>
            </w:r>
            <w:r>
              <w:rPr>
                <w:rFonts w:hint="eastAsia" w:ascii="仿宋_GB2312" w:hAnsi="仿宋_GB2312" w:eastAsia="仿宋_GB2312" w:cs="仿宋_GB2312"/>
                <w:color w:val="000000"/>
                <w:sz w:val="21"/>
                <w:szCs w:val="21"/>
                <w:highlight w:val="none"/>
              </w:rPr>
              <w:t>号）要求，以高排放机械禁用区、施工工地、物流园为重点，加大非道路移动机械排放控制区管控力度，实行进出场登记，监督抽测，依法查处排放不合格或在禁用区使用不符合要求的非道路移动机械，基本消除冒黑烟现象</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pStyle w:val="1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县住建局</w:t>
            </w:r>
          </w:p>
          <w:p>
            <w:pPr>
              <w:pStyle w:val="1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县城管局</w:t>
            </w:r>
          </w:p>
          <w:p>
            <w:pPr>
              <w:pStyle w:val="1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县交通运输局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③严格执行船检制度</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加强船舶污染物设施的监督检查，确保船舶按规定配备污染处理设施并保证设备处于良好运行状态。严禁使用劣质柴油。筹措河船型标准化专项资金</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鼓励更新改造和淘汰非标准化船型以及</w:t>
            </w:r>
            <w:r>
              <w:rPr>
                <w:rFonts w:ascii="仿宋_GB2312" w:hAnsi="仿宋_GB2312" w:eastAsia="仿宋_GB2312" w:cs="仿宋_GB2312"/>
                <w:color w:val="000000"/>
                <w:sz w:val="21"/>
                <w:szCs w:val="21"/>
                <w:highlight w:val="none"/>
              </w:rPr>
              <w:t xml:space="preserve"> 20 </w:t>
            </w:r>
            <w:r>
              <w:rPr>
                <w:rFonts w:hint="eastAsia" w:ascii="仿宋_GB2312" w:hAnsi="仿宋_GB2312" w:eastAsia="仿宋_GB2312" w:cs="仿宋_GB2312"/>
                <w:color w:val="000000"/>
                <w:sz w:val="21"/>
                <w:szCs w:val="21"/>
                <w:highlight w:val="none"/>
              </w:rPr>
              <w:t>年以上的内河航运船舶</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县交通运输局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15.</w:t>
            </w:r>
            <w:r>
              <w:rPr>
                <w:rFonts w:hint="eastAsia" w:ascii="仿宋_GB2312" w:hAnsi="仿宋_GB2312" w:eastAsia="仿宋_GB2312" w:cs="仿宋_GB2312"/>
                <w:b/>
                <w:bCs/>
                <w:color w:val="000000"/>
                <w:sz w:val="21"/>
                <w:szCs w:val="21"/>
                <w:highlight w:val="none"/>
              </w:rPr>
              <w:t>强化扬尘污染精细化管控</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①加强施工扬尘控制，城</w:t>
            </w:r>
            <w:r>
              <w:rPr>
                <w:rFonts w:hint="eastAsia" w:ascii="仿宋_GB2312" w:hAnsi="仿宋_GB2312" w:eastAsia="仿宋_GB2312" w:cs="仿宋_GB2312"/>
                <w:color w:val="000000"/>
                <w:sz w:val="21"/>
                <w:szCs w:val="21"/>
                <w:highlight w:val="none"/>
                <w:lang w:eastAsia="zh-CN"/>
              </w:rPr>
              <w:t>区</w:t>
            </w:r>
            <w:r>
              <w:rPr>
                <w:rFonts w:hint="eastAsia" w:ascii="仿宋_GB2312" w:hAnsi="仿宋_GB2312" w:eastAsia="仿宋_GB2312" w:cs="仿宋_GB2312"/>
                <w:color w:val="000000"/>
                <w:sz w:val="21"/>
                <w:szCs w:val="21"/>
                <w:highlight w:val="none"/>
              </w:rPr>
              <w:t>规划区内严格</w:t>
            </w:r>
            <w:r>
              <w:rPr>
                <w:rFonts w:hint="eastAsia" w:ascii="仿宋_GB2312" w:hAnsi="仿宋_GB2312" w:eastAsia="仿宋_GB2312" w:cs="仿宋_GB2312"/>
                <w:color w:val="000000"/>
                <w:sz w:val="21"/>
                <w:szCs w:val="21"/>
                <w:highlight w:val="none"/>
                <w:lang w:eastAsia="zh-CN"/>
              </w:rPr>
              <w:t>落实</w:t>
            </w:r>
            <w:r>
              <w:rPr>
                <w:rFonts w:hint="eastAsia" w:ascii="仿宋_GB2312" w:hAnsi="仿宋_GB2312" w:eastAsia="仿宋_GB2312" w:cs="仿宋_GB2312"/>
                <w:color w:val="000000"/>
                <w:sz w:val="21"/>
                <w:szCs w:val="21"/>
                <w:highlight w:val="none"/>
              </w:rPr>
              <w:t>施工“六个</w:t>
            </w:r>
            <w:r>
              <w:rPr>
                <w:rFonts w:hint="eastAsia" w:ascii="仿宋_GB2312" w:hAnsi="仿宋_GB2312" w:eastAsia="仿宋_GB2312" w:cs="仿宋_GB2312"/>
                <w:color w:val="000000"/>
                <w:sz w:val="21"/>
                <w:szCs w:val="21"/>
                <w:highlight w:val="none"/>
                <w:lang w:val="en-US" w:eastAsia="zh-CN"/>
              </w:rPr>
              <w:t>100%</w:t>
            </w:r>
            <w:r>
              <w:rPr>
                <w:rFonts w:hint="eastAsia"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lang w:eastAsia="zh-CN"/>
              </w:rPr>
              <w:t>措施。</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县住建局</w:t>
            </w:r>
          </w:p>
          <w:p>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县城管局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②强化</w:t>
            </w:r>
            <w:r>
              <w:rPr>
                <w:rFonts w:hint="eastAsia" w:ascii="仿宋_GB2312" w:hAnsi="仿宋_GB2312" w:eastAsia="仿宋_GB2312" w:cs="仿宋_GB2312"/>
                <w:color w:val="000000"/>
                <w:sz w:val="21"/>
                <w:szCs w:val="21"/>
                <w:highlight w:val="none"/>
                <w:lang w:eastAsia="zh-CN"/>
              </w:rPr>
              <w:t>城区</w:t>
            </w:r>
            <w:r>
              <w:rPr>
                <w:rFonts w:hint="eastAsia" w:ascii="仿宋_GB2312" w:hAnsi="仿宋_GB2312" w:eastAsia="仿宋_GB2312" w:cs="仿宋_GB2312"/>
                <w:color w:val="000000"/>
                <w:sz w:val="21"/>
                <w:szCs w:val="21"/>
                <w:highlight w:val="none"/>
              </w:rPr>
              <w:t>道路扬尘管控，推进低尘机械化湿式清扫作业，提高道路机械化清扫率</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县城管局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③加强渣土车扬尘全过程管理，实现动态跟踪监管。</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县城管局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④加强</w:t>
            </w:r>
            <w:r>
              <w:rPr>
                <w:rFonts w:hint="eastAsia" w:ascii="仿宋_GB2312" w:hAnsi="仿宋_GB2312" w:eastAsia="仿宋_GB2312" w:cs="仿宋_GB2312"/>
                <w:color w:val="000000"/>
                <w:sz w:val="21"/>
                <w:szCs w:val="21"/>
                <w:highlight w:val="none"/>
                <w:lang w:eastAsia="zh-CN"/>
              </w:rPr>
              <w:t>交通道路施工和</w:t>
            </w:r>
            <w:r>
              <w:rPr>
                <w:rFonts w:hint="eastAsia" w:ascii="仿宋_GB2312" w:hAnsi="仿宋_GB2312" w:eastAsia="仿宋_GB2312" w:cs="仿宋_GB2312"/>
                <w:color w:val="000000"/>
                <w:sz w:val="21"/>
                <w:szCs w:val="21"/>
                <w:highlight w:val="none"/>
              </w:rPr>
              <w:t>码头作业扬尘控制，大型煤炭、矿石码头完成防风抑尘设施建设。</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县交通运输局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⑤加强渣土堆放贮存管理</w:t>
            </w:r>
            <w:r>
              <w:rPr>
                <w:rFonts w:hint="eastAsia" w:ascii="仿宋_GB2312" w:hAnsi="仿宋_GB2312" w:eastAsia="仿宋_GB2312" w:cs="仿宋_GB2312"/>
                <w:color w:val="000000"/>
                <w:sz w:val="21"/>
                <w:szCs w:val="21"/>
                <w:highlight w:val="none"/>
                <w:lang w:val="en-US"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县住建局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⑥加大城区以外省道</w:t>
            </w:r>
            <w:r>
              <w:rPr>
                <w:rFonts w:hint="eastAsia" w:ascii="仿宋_GB2312" w:hAnsi="仿宋_GB2312" w:eastAsia="仿宋_GB2312" w:cs="仿宋_GB2312"/>
                <w:color w:val="000000"/>
                <w:sz w:val="21"/>
                <w:szCs w:val="21"/>
                <w:highlight w:val="none"/>
                <w:lang w:eastAsia="zh-CN"/>
              </w:rPr>
              <w:t>的</w:t>
            </w:r>
            <w:r>
              <w:rPr>
                <w:rFonts w:hint="eastAsia" w:ascii="仿宋_GB2312" w:hAnsi="仿宋_GB2312" w:eastAsia="仿宋_GB2312" w:cs="仿宋_GB2312"/>
                <w:color w:val="000000"/>
                <w:sz w:val="21"/>
                <w:szCs w:val="21"/>
                <w:highlight w:val="none"/>
              </w:rPr>
              <w:t>路</w:t>
            </w:r>
            <w:r>
              <w:rPr>
                <w:rFonts w:hint="eastAsia" w:ascii="仿宋_GB2312" w:hAnsi="仿宋_GB2312" w:eastAsia="仿宋_GB2312" w:cs="仿宋_GB2312"/>
                <w:color w:val="000000"/>
                <w:sz w:val="21"/>
                <w:szCs w:val="21"/>
                <w:highlight w:val="none"/>
                <w:lang w:eastAsia="zh-CN"/>
              </w:rPr>
              <w:t>面</w:t>
            </w:r>
            <w:r>
              <w:rPr>
                <w:rFonts w:hint="eastAsia" w:ascii="仿宋_GB2312" w:hAnsi="仿宋_GB2312" w:eastAsia="仿宋_GB2312" w:cs="仿宋_GB2312"/>
                <w:color w:val="000000"/>
                <w:sz w:val="21"/>
                <w:szCs w:val="21"/>
                <w:highlight w:val="none"/>
              </w:rPr>
              <w:t>保洁工作，编制扬尘治理专项方案，配备清扫除尘等机械化作业设备，非雨天洒水保洁不低于</w:t>
            </w:r>
            <w:r>
              <w:rPr>
                <w:rFonts w:ascii="仿宋_GB2312" w:hAnsi="仿宋_GB2312" w:eastAsia="仿宋_GB2312" w:cs="仿宋_GB2312"/>
                <w:color w:val="000000"/>
                <w:sz w:val="21"/>
                <w:szCs w:val="21"/>
                <w:highlight w:val="none"/>
              </w:rPr>
              <w:t>2</w:t>
            </w:r>
            <w:r>
              <w:rPr>
                <w:rFonts w:hint="eastAsia" w:ascii="仿宋_GB2312" w:hAnsi="仿宋_GB2312" w:eastAsia="仿宋_GB2312" w:cs="仿宋_GB2312"/>
                <w:color w:val="000000"/>
                <w:sz w:val="21"/>
                <w:szCs w:val="21"/>
                <w:highlight w:val="none"/>
              </w:rPr>
              <w:t>次</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天（特护期不低于</w:t>
            </w:r>
            <w:r>
              <w:rPr>
                <w:rFonts w:ascii="仿宋_GB2312" w:hAnsi="仿宋_GB2312" w:eastAsia="仿宋_GB2312" w:cs="仿宋_GB2312"/>
                <w:color w:val="000000"/>
                <w:sz w:val="21"/>
                <w:szCs w:val="21"/>
                <w:highlight w:val="none"/>
              </w:rPr>
              <w:t>4</w:t>
            </w:r>
            <w:r>
              <w:rPr>
                <w:rFonts w:hint="eastAsia" w:ascii="仿宋_GB2312" w:hAnsi="仿宋_GB2312" w:eastAsia="仿宋_GB2312" w:cs="仿宋_GB2312"/>
                <w:color w:val="000000"/>
                <w:sz w:val="21"/>
                <w:szCs w:val="21"/>
                <w:highlight w:val="none"/>
              </w:rPr>
              <w:t>次</w:t>
            </w:r>
            <w:r>
              <w:rPr>
                <w:rFonts w:ascii="仿宋_GB2312" w:hAnsi="仿宋_GB2312" w:eastAsia="仿宋_GB2312" w:cs="仿宋_GB2312"/>
                <w:color w:val="000000"/>
                <w:sz w:val="21"/>
                <w:szCs w:val="21"/>
                <w:highlight w:val="none"/>
              </w:rPr>
              <w:t>/</w:t>
            </w:r>
            <w:r>
              <w:rPr>
                <w:rFonts w:hint="eastAsia" w:ascii="仿宋_GB2312" w:hAnsi="仿宋_GB2312" w:eastAsia="仿宋_GB2312" w:cs="仿宋_GB2312"/>
                <w:color w:val="000000"/>
                <w:sz w:val="21"/>
                <w:szCs w:val="21"/>
                <w:highlight w:val="none"/>
              </w:rPr>
              <w:t>天）。</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县城管局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⑦城区开展裸土排查，建立台账，明确责任主体。</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县住建局</w:t>
            </w:r>
          </w:p>
          <w:p>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_GB2312" w:hAnsi="仿宋_GB2312" w:eastAsia="仿宋_GB2312" w:cs="仿宋_GB2312"/>
                <w:color w:val="000000"/>
                <w:sz w:val="21"/>
                <w:szCs w:val="21"/>
                <w:highlight w:val="none"/>
                <w:lang w:val="en" w:eastAsia="zh-CN"/>
              </w:rPr>
            </w:pPr>
            <w:r>
              <w:rPr>
                <w:rFonts w:hint="eastAsia" w:ascii="仿宋_GB2312" w:hAnsi="仿宋_GB2312" w:eastAsia="仿宋_GB2312" w:cs="仿宋_GB2312"/>
                <w:color w:val="000000"/>
                <w:sz w:val="21"/>
                <w:szCs w:val="21"/>
                <w:highlight w:val="none"/>
                <w:lang w:val="en" w:eastAsia="zh-CN"/>
              </w:rPr>
              <w:t>县自然资源局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528" w:type="dxa"/>
            <w:vMerge w:val="continue"/>
            <w:vAlign w:val="center"/>
          </w:tcPr>
          <w:p>
            <w:pPr>
              <w:jc w:val="left"/>
              <w:rPr>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⑧对在传统产业整治和升级、倒逼“僵尸企业”转型升级、“散乱污”企业整治、清理退出重点区域污染企业过程中关闭、永久停产的企业生产厂地要进行废弃物堆场清理和场地覆盖</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县机关事务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服务中心</w:t>
            </w:r>
          </w:p>
          <w:p>
            <w:pPr>
              <w:pStyle w:val="1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县工信局</w:t>
            </w:r>
          </w:p>
        </w:tc>
        <w:tc>
          <w:tcPr>
            <w:tcW w:w="21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1528" w:type="dxa"/>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16.</w:t>
            </w:r>
            <w:r>
              <w:rPr>
                <w:rFonts w:hint="eastAsia" w:ascii="仿宋_GB2312" w:hAnsi="仿宋_GB2312" w:eastAsia="仿宋_GB2312" w:cs="仿宋_GB2312"/>
                <w:b/>
                <w:bCs/>
                <w:color w:val="000000"/>
                <w:sz w:val="21"/>
                <w:szCs w:val="21"/>
                <w:highlight w:val="none"/>
              </w:rPr>
              <w:t>加强餐饮油烟污染整治</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加强城</w:t>
            </w:r>
            <w:r>
              <w:rPr>
                <w:rFonts w:hint="eastAsia" w:ascii="仿宋_GB2312" w:hAnsi="仿宋_GB2312" w:eastAsia="仿宋_GB2312" w:cs="仿宋_GB2312"/>
                <w:color w:val="000000"/>
                <w:sz w:val="21"/>
                <w:szCs w:val="21"/>
                <w:highlight w:val="none"/>
                <w:lang w:eastAsia="zh-CN"/>
              </w:rPr>
              <w:t>区</w:t>
            </w:r>
            <w:r>
              <w:rPr>
                <w:rFonts w:hint="eastAsia" w:ascii="仿宋_GB2312" w:hAnsi="仿宋_GB2312" w:eastAsia="仿宋_GB2312" w:cs="仿宋_GB2312"/>
                <w:color w:val="000000"/>
                <w:sz w:val="21"/>
                <w:szCs w:val="21"/>
                <w:highlight w:val="none"/>
              </w:rPr>
              <w:t>餐饮油烟源头治理，加强油烟净化设施建设及运行监管，督促建成区范围内公共机构食堂、</w:t>
            </w:r>
            <w:r>
              <w:rPr>
                <w:rFonts w:ascii="仿宋_GB2312" w:hAnsi="仿宋_GB2312" w:eastAsia="仿宋_GB2312" w:cs="仿宋_GB2312"/>
                <w:color w:val="000000"/>
                <w:sz w:val="21"/>
                <w:szCs w:val="21"/>
                <w:highlight w:val="none"/>
              </w:rPr>
              <w:t>4</w:t>
            </w:r>
            <w:r>
              <w:rPr>
                <w:rFonts w:hint="eastAsia" w:ascii="仿宋_GB2312" w:hAnsi="仿宋_GB2312" w:eastAsia="仿宋_GB2312" w:cs="仿宋_GB2312"/>
                <w:color w:val="000000"/>
                <w:sz w:val="21"/>
                <w:szCs w:val="21"/>
                <w:highlight w:val="none"/>
              </w:rPr>
              <w:t>个灶头（含）以上的饮食服务经营场所安装高效油烟净化装置，确保净化设施高效稳定运行，推进安装油烟在线监测设施。</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县城管局</w:t>
            </w:r>
          </w:p>
        </w:tc>
        <w:tc>
          <w:tcPr>
            <w:tcW w:w="21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1528" w:type="dxa"/>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17.</w:t>
            </w:r>
            <w:r>
              <w:rPr>
                <w:rFonts w:hint="eastAsia" w:ascii="仿宋_GB2312" w:hAnsi="仿宋_GB2312" w:eastAsia="仿宋_GB2312" w:cs="仿宋_GB2312"/>
                <w:b/>
                <w:bCs/>
                <w:color w:val="000000"/>
                <w:sz w:val="21"/>
                <w:szCs w:val="21"/>
                <w:highlight w:val="none"/>
              </w:rPr>
              <w:t>推进秸秆综合利用和露天禁烧</w:t>
            </w:r>
          </w:p>
        </w:tc>
        <w:tc>
          <w:tcPr>
            <w:tcW w:w="8616" w:type="dxa"/>
            <w:vAlign w:val="center"/>
          </w:tcPr>
          <w:p>
            <w:pPr>
              <w:pStyle w:val="6"/>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坚持疏堵结合，因地制宜大力推进秸秆综合利用，完善秸秆资源台账；强秸秆禁烧管控，形成“县</w:t>
            </w:r>
            <w:r>
              <w:rPr>
                <w:rFonts w:hint="eastAsia" w:ascii="仿宋_GB2312" w:hAnsi="仿宋_GB2312" w:eastAsia="仿宋_GB2312" w:cs="仿宋_GB2312"/>
                <w:color w:val="000000"/>
                <w:sz w:val="21"/>
                <w:szCs w:val="21"/>
                <w:highlight w:val="none"/>
                <w:lang w:eastAsia="zh-CN"/>
              </w:rPr>
              <w:t>级</w:t>
            </w:r>
            <w:r>
              <w:rPr>
                <w:rFonts w:hint="eastAsia" w:ascii="仿宋_GB2312" w:hAnsi="仿宋_GB2312" w:eastAsia="仿宋_GB2312" w:cs="仿宋_GB2312"/>
                <w:color w:val="000000"/>
                <w:sz w:val="21"/>
                <w:szCs w:val="21"/>
                <w:highlight w:val="none"/>
              </w:rPr>
              <w:t>检查、乡镇监管、村居落实”的网格化监管责任体系。持续开展夏收和秋收阶段秸秆禁烧专项巡查，及时处置露天焚烧秸秆的行为；综合运用无人机、卫星遥感监控等手段，提高秸秆焚烧火点监测的效率和水平；强化</w:t>
            </w:r>
            <w:r>
              <w:rPr>
                <w:rFonts w:hint="eastAsia" w:ascii="仿宋_GB2312" w:hAnsi="仿宋_GB2312" w:eastAsia="仿宋_GB2312" w:cs="仿宋_GB2312"/>
                <w:color w:val="000000"/>
                <w:sz w:val="21"/>
                <w:szCs w:val="21"/>
                <w:highlight w:val="none"/>
                <w:lang w:eastAsia="zh-CN"/>
              </w:rPr>
              <w:t>乡镇人民</w:t>
            </w:r>
            <w:r>
              <w:rPr>
                <w:rFonts w:hint="eastAsia" w:ascii="仿宋_GB2312" w:hAnsi="仿宋_GB2312" w:eastAsia="仿宋_GB2312" w:cs="仿宋_GB2312"/>
                <w:color w:val="000000"/>
                <w:sz w:val="21"/>
                <w:szCs w:val="21"/>
                <w:highlight w:val="none"/>
              </w:rPr>
              <w:t>政府秸秆禁烧责任，严格落实监管目标责任考核制度</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县农业农村局</w:t>
            </w:r>
          </w:p>
        </w:tc>
        <w:tc>
          <w:tcPr>
            <w:tcW w:w="21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18.</w:t>
            </w:r>
            <w:r>
              <w:rPr>
                <w:rFonts w:hint="eastAsia" w:ascii="仿宋_GB2312" w:hAnsi="仿宋_GB2312" w:eastAsia="仿宋_GB2312" w:cs="仿宋_GB2312"/>
                <w:b/>
                <w:bCs/>
                <w:color w:val="000000"/>
                <w:sz w:val="21"/>
                <w:szCs w:val="21"/>
                <w:highlight w:val="none"/>
              </w:rPr>
              <w:t>提升大气环境预警预报能力</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加强空气质量预测预报能力建设。健全和规范重污染天气预警发布、应急启动、响应、解除机制及程序。</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县气象局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19.</w:t>
            </w:r>
            <w:r>
              <w:rPr>
                <w:rFonts w:hint="eastAsia" w:ascii="仿宋_GB2312" w:hAnsi="仿宋_GB2312" w:eastAsia="仿宋_GB2312" w:cs="仿宋_GB2312"/>
                <w:b/>
                <w:bCs/>
                <w:color w:val="000000"/>
                <w:sz w:val="21"/>
                <w:szCs w:val="21"/>
                <w:highlight w:val="none"/>
              </w:rPr>
              <w:t>夯实重污染天气应急措施</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①持续推进大气污染源清单动态更新工作，修订和细化应急减排清单；加强移动源面源应急减排，强化涉大宗物料运输单位错峰运输应急管控</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p>
            <w:pPr>
              <w:pStyle w:val="1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县工信局</w:t>
            </w:r>
          </w:p>
          <w:p>
            <w:pPr>
              <w:pStyle w:val="1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县住建局</w:t>
            </w:r>
          </w:p>
        </w:tc>
        <w:tc>
          <w:tcPr>
            <w:tcW w:w="21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②科学实施特护期水泥行业错峰生产，减少污染物排放</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县工信局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528" w:type="dxa"/>
            <w:vMerge w:val="continue"/>
            <w:vAlign w:val="center"/>
          </w:tcPr>
          <w:p>
            <w:pPr>
              <w:jc w:val="left"/>
              <w:rPr>
                <w:rFonts w:ascii="仿宋_GB2312" w:hAnsi="仿宋_GB2312" w:eastAsia="仿宋_GB2312" w:cs="仿宋_GB2312"/>
                <w:b/>
                <w:bCs/>
                <w:color w:val="000000"/>
                <w:sz w:val="21"/>
                <w:szCs w:val="21"/>
                <w:highlight w:val="none"/>
              </w:rPr>
            </w:pP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③科学开展人工影响天气作业。</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县气象局</w:t>
            </w:r>
          </w:p>
        </w:tc>
        <w:tc>
          <w:tcPr>
            <w:tcW w:w="21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28" w:type="dxa"/>
            <w:vAlign w:val="center"/>
          </w:tcPr>
          <w:p>
            <w:pPr>
              <w:spacing w:line="300" w:lineRule="exact"/>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20.</w:t>
            </w:r>
            <w:r>
              <w:rPr>
                <w:rFonts w:hint="eastAsia" w:ascii="仿宋_GB2312" w:hAnsi="仿宋_GB2312" w:eastAsia="仿宋_GB2312" w:cs="仿宋_GB2312"/>
                <w:b/>
                <w:bCs/>
                <w:color w:val="000000"/>
                <w:sz w:val="21"/>
                <w:szCs w:val="21"/>
                <w:highlight w:val="none"/>
              </w:rPr>
              <w:t>开展区域联防联控</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深入开展</w:t>
            </w:r>
            <w:r>
              <w:rPr>
                <w:rFonts w:hint="eastAsia" w:ascii="仿宋_GB2312" w:hAnsi="仿宋_GB2312" w:eastAsia="仿宋_GB2312" w:cs="仿宋_GB2312"/>
                <w:b w:val="0"/>
                <w:bCs w:val="0"/>
                <w:sz w:val="32"/>
                <w:szCs w:val="32"/>
              </w:rPr>
              <w:t>PM</w:t>
            </w:r>
            <w:r>
              <w:rPr>
                <w:rFonts w:hint="eastAsia" w:ascii="仿宋_GB2312" w:hAnsi="仿宋_GB2312" w:eastAsia="仿宋_GB2312" w:cs="仿宋_GB2312"/>
                <w:b w:val="0"/>
                <w:bCs w:val="0"/>
                <w:sz w:val="32"/>
                <w:szCs w:val="32"/>
                <w:vertAlign w:val="subscript"/>
              </w:rPr>
              <w:t>2.5</w:t>
            </w:r>
            <w:r>
              <w:rPr>
                <w:rFonts w:hint="eastAsia" w:ascii="仿宋_GB2312" w:hAnsi="仿宋_GB2312" w:eastAsia="仿宋_GB2312" w:cs="仿宋_GB2312"/>
                <w:color w:val="000000"/>
                <w:sz w:val="21"/>
                <w:szCs w:val="21"/>
                <w:highlight w:val="none"/>
              </w:rPr>
              <w:t>和臭氧协同管控，健全完善联防联控协作机制和长效机制，提升污染天气联合应对水平。</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528" w:type="dxa"/>
            <w:vAlign w:val="center"/>
          </w:tcPr>
          <w:p>
            <w:pPr>
              <w:spacing w:line="300" w:lineRule="exact"/>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21.</w:t>
            </w:r>
            <w:r>
              <w:rPr>
                <w:rFonts w:hint="eastAsia" w:ascii="仿宋_GB2312" w:hAnsi="仿宋_GB2312" w:eastAsia="仿宋_GB2312" w:cs="仿宋_GB2312"/>
                <w:b/>
                <w:bCs/>
                <w:color w:val="000000"/>
                <w:sz w:val="21"/>
                <w:szCs w:val="21"/>
                <w:highlight w:val="none"/>
              </w:rPr>
              <w:t>加强空气质量监测能力</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优化城</w:t>
            </w:r>
            <w:r>
              <w:rPr>
                <w:rFonts w:hint="eastAsia" w:ascii="仿宋_GB2312" w:hAnsi="仿宋_GB2312" w:eastAsia="仿宋_GB2312" w:cs="仿宋_GB2312"/>
                <w:color w:val="000000"/>
                <w:sz w:val="21"/>
                <w:szCs w:val="21"/>
                <w:highlight w:val="none"/>
                <w:lang w:eastAsia="zh-CN"/>
              </w:rPr>
              <w:t>区</w:t>
            </w:r>
            <w:r>
              <w:rPr>
                <w:rFonts w:hint="eastAsia" w:ascii="仿宋_GB2312" w:hAnsi="仿宋_GB2312" w:eastAsia="仿宋_GB2312" w:cs="仿宋_GB2312"/>
                <w:color w:val="000000"/>
                <w:sz w:val="21"/>
                <w:szCs w:val="21"/>
                <w:highlight w:val="none"/>
              </w:rPr>
              <w:t>环境空气质量监测网络，科学布设</w:t>
            </w:r>
            <w:r>
              <w:rPr>
                <w:rFonts w:ascii="仿宋_GB2312" w:hAnsi="仿宋_GB2312" w:eastAsia="仿宋_GB2312" w:cs="仿宋_GB2312"/>
                <w:color w:val="000000"/>
                <w:sz w:val="21"/>
                <w:szCs w:val="21"/>
                <w:highlight w:val="none"/>
              </w:rPr>
              <w:t>VOCs</w:t>
            </w:r>
            <w:r>
              <w:rPr>
                <w:rFonts w:hint="eastAsia" w:ascii="仿宋_GB2312" w:hAnsi="仿宋_GB2312" w:eastAsia="仿宋_GB2312" w:cs="仿宋_GB2312"/>
                <w:color w:val="000000"/>
                <w:sz w:val="21"/>
                <w:szCs w:val="21"/>
                <w:highlight w:val="none"/>
              </w:rPr>
              <w:t>监测点位，提升</w:t>
            </w:r>
            <w:r>
              <w:rPr>
                <w:rFonts w:ascii="仿宋_GB2312" w:hAnsi="仿宋_GB2312" w:eastAsia="仿宋_GB2312" w:cs="仿宋_GB2312"/>
                <w:color w:val="000000"/>
                <w:sz w:val="21"/>
                <w:szCs w:val="21"/>
                <w:highlight w:val="none"/>
              </w:rPr>
              <w:t>VOCs</w:t>
            </w:r>
            <w:r>
              <w:rPr>
                <w:rFonts w:hint="eastAsia" w:ascii="仿宋_GB2312" w:hAnsi="仿宋_GB2312" w:eastAsia="仿宋_GB2312" w:cs="仿宋_GB2312"/>
                <w:color w:val="000000"/>
                <w:sz w:val="21"/>
                <w:szCs w:val="21"/>
                <w:highlight w:val="none"/>
              </w:rPr>
              <w:t>监测能力；完善大气颗粒物组分及光化学监测网，逐步推进数据集成共享和综合分析平台建设；推进重点工业园区站、大气边界站等的建设；落实数据质量责任，对环境监测活动全过程进行动态监控。</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p>
            <w:pPr>
              <w:pStyle w:val="6"/>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ascii="仿宋_GB2312" w:hAnsi="仿宋_GB2312" w:eastAsia="仿宋_GB2312" w:cs="仿宋_GB2312"/>
                <w:color w:val="000000"/>
                <w:sz w:val="21"/>
                <w:szCs w:val="21"/>
                <w:highlight w:val="none"/>
              </w:rPr>
            </w:pPr>
          </w:p>
        </w:tc>
        <w:tc>
          <w:tcPr>
            <w:tcW w:w="21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1528" w:type="dxa"/>
            <w:vAlign w:val="center"/>
          </w:tcPr>
          <w:p>
            <w:pPr>
              <w:spacing w:line="300" w:lineRule="exact"/>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22.</w:t>
            </w:r>
            <w:r>
              <w:rPr>
                <w:rFonts w:hint="eastAsia" w:ascii="仿宋_GB2312" w:hAnsi="仿宋_GB2312" w:eastAsia="仿宋_GB2312" w:cs="仿宋_GB2312"/>
                <w:b/>
                <w:bCs/>
                <w:color w:val="000000"/>
                <w:sz w:val="21"/>
                <w:szCs w:val="21"/>
                <w:highlight w:val="none"/>
              </w:rPr>
              <w:t>完善污染源监控</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建立以排污许可制为核心的固定污染源</w:t>
            </w:r>
            <w:r>
              <w:rPr>
                <w:rFonts w:ascii="仿宋_GB2312" w:hAnsi="仿宋_GB2312" w:eastAsia="仿宋_GB2312" w:cs="仿宋_GB2312"/>
                <w:color w:val="000000"/>
                <w:sz w:val="21"/>
                <w:szCs w:val="21"/>
                <w:highlight w:val="none"/>
              </w:rPr>
              <w:t>VOCs</w:t>
            </w:r>
            <w:r>
              <w:rPr>
                <w:rFonts w:hint="eastAsia" w:ascii="仿宋_GB2312" w:hAnsi="仿宋_GB2312" w:eastAsia="仿宋_GB2312" w:cs="仿宋_GB2312"/>
                <w:color w:val="000000"/>
                <w:sz w:val="21"/>
                <w:szCs w:val="21"/>
                <w:highlight w:val="none"/>
              </w:rPr>
              <w:t>监控体系；强化油罐车、储油库、加油站等油品储运销环节油气回收工作。完善“天地车人”一体化的机动车排放监控系统，实现与</w:t>
            </w:r>
            <w:r>
              <w:rPr>
                <w:rFonts w:hint="eastAsia" w:ascii="仿宋_GB2312" w:hAnsi="仿宋_GB2312" w:eastAsia="仿宋_GB2312" w:cs="仿宋_GB2312"/>
                <w:color w:val="000000"/>
                <w:sz w:val="21"/>
                <w:szCs w:val="21"/>
                <w:highlight w:val="none"/>
                <w:lang w:eastAsia="zh-CN"/>
              </w:rPr>
              <w:t>上</w:t>
            </w:r>
            <w:r>
              <w:rPr>
                <w:rFonts w:hint="eastAsia" w:ascii="仿宋_GB2312" w:hAnsi="仿宋_GB2312" w:eastAsia="仿宋_GB2312" w:cs="仿宋_GB2312"/>
                <w:color w:val="000000"/>
                <w:sz w:val="21"/>
                <w:szCs w:val="21"/>
                <w:highlight w:val="none"/>
              </w:rPr>
              <w:t>级生态环境部门联网</w:t>
            </w:r>
            <w:r>
              <w:rPr>
                <w:rFonts w:hint="eastAsia" w:ascii="仿宋_GB2312" w:hAnsi="仿宋_GB2312" w:eastAsia="仿宋_GB2312" w:cs="仿宋_GB2312"/>
                <w:color w:val="000000"/>
                <w:sz w:val="21"/>
                <w:szCs w:val="21"/>
                <w:highlight w:val="none"/>
                <w:lang w:eastAsia="zh-CN"/>
              </w:rPr>
              <w:t>。</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县商务粮食局</w:t>
            </w:r>
          </w:p>
        </w:tc>
        <w:tc>
          <w:tcPr>
            <w:tcW w:w="2108"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1528" w:type="dxa"/>
            <w:vAlign w:val="center"/>
          </w:tcPr>
          <w:p>
            <w:pPr>
              <w:spacing w:line="280" w:lineRule="exact"/>
              <w:jc w:val="left"/>
              <w:rPr>
                <w:rFonts w:hint="eastAsia" w:ascii="仿宋_GB2312" w:hAnsi="仿宋_GB2312" w:eastAsia="仿宋_GB2312" w:cs="仿宋_GB2312"/>
                <w:b/>
                <w:bCs/>
                <w:color w:val="000000"/>
                <w:sz w:val="21"/>
                <w:szCs w:val="21"/>
                <w:highlight w:val="none"/>
                <w:lang w:eastAsia="zh-CN"/>
              </w:rPr>
            </w:pPr>
            <w:r>
              <w:rPr>
                <w:rFonts w:ascii="仿宋_GB2312" w:hAnsi="仿宋_GB2312" w:eastAsia="仿宋_GB2312" w:cs="仿宋_GB2312"/>
                <w:b/>
                <w:bCs/>
                <w:color w:val="000000"/>
                <w:sz w:val="21"/>
                <w:szCs w:val="21"/>
                <w:highlight w:val="none"/>
              </w:rPr>
              <w:t>23.</w:t>
            </w:r>
            <w:r>
              <w:rPr>
                <w:rFonts w:hint="eastAsia" w:ascii="仿宋_GB2312" w:hAnsi="仿宋_GB2312" w:eastAsia="仿宋_GB2312" w:cs="仿宋_GB2312"/>
                <w:b/>
                <w:bCs/>
                <w:color w:val="000000"/>
                <w:sz w:val="21"/>
                <w:szCs w:val="21"/>
                <w:highlight w:val="none"/>
              </w:rPr>
              <w:t>开展汽修行业</w:t>
            </w:r>
            <w:r>
              <w:rPr>
                <w:rFonts w:ascii="仿宋_GB2312" w:hAnsi="仿宋_GB2312" w:eastAsia="仿宋_GB2312" w:cs="仿宋_GB2312"/>
                <w:b/>
                <w:bCs/>
                <w:color w:val="000000"/>
                <w:sz w:val="21"/>
                <w:szCs w:val="21"/>
                <w:highlight w:val="none"/>
              </w:rPr>
              <w:t>VOCs</w:t>
            </w:r>
            <w:r>
              <w:rPr>
                <w:rFonts w:hint="eastAsia" w:ascii="仿宋_GB2312" w:hAnsi="仿宋_GB2312" w:eastAsia="仿宋_GB2312" w:cs="仿宋_GB2312"/>
                <w:b/>
                <w:bCs/>
                <w:color w:val="000000"/>
                <w:sz w:val="21"/>
                <w:szCs w:val="21"/>
                <w:highlight w:val="none"/>
              </w:rPr>
              <w:t>治理</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①对无证照、无环保手续、无环保治理设施以及处理效率低下、不能达标排放或存在未批先建行为的单位依法关停或取缔。</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②取缔露天和敞开式汽修喷涂作业。对有维修许可证、环保手续、营业执照的汽修企业，现有喷漆、烤漆房需密闭改造并匹配建设废气收集处理系统，减少无组织废气逸散。</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县交通运输局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县市场监管局</w:t>
            </w:r>
            <w:r>
              <w:rPr>
                <w:rFonts w:hint="eastAsia" w:ascii="仿宋_GB2312" w:hAnsi="仿宋_GB2312" w:cs="仿宋_GB2312"/>
                <w:color w:val="000000"/>
                <w:sz w:val="21"/>
                <w:szCs w:val="21"/>
                <w:highlight w:val="none"/>
                <w:lang w:eastAsia="zh-CN"/>
              </w:rPr>
              <w:t>县交警大队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县工信局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市生态环境局华容分局</w:t>
            </w:r>
          </w:p>
        </w:tc>
        <w:tc>
          <w:tcPr>
            <w:tcW w:w="2108" w:type="dxa"/>
            <w:vAlign w:val="center"/>
          </w:tcPr>
          <w:p>
            <w:pPr>
              <w:jc w:val="center"/>
              <w:rPr>
                <w:rFonts w:ascii="仿宋_GB2312" w:hAnsi="仿宋_GB2312" w:eastAsia="仿宋_GB2312" w:cs="仿宋_GB2312"/>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528" w:type="dxa"/>
            <w:vAlign w:val="center"/>
          </w:tcPr>
          <w:p>
            <w:pPr>
              <w:spacing w:line="280" w:lineRule="exact"/>
              <w:jc w:val="left"/>
              <w:rPr>
                <w:rFonts w:hint="eastAsia" w:ascii="仿宋_GB2312" w:hAnsi="仿宋_GB2312" w:eastAsia="仿宋_GB2312" w:cs="仿宋_GB2312"/>
                <w:b/>
                <w:bCs/>
                <w:color w:val="000000"/>
                <w:sz w:val="21"/>
                <w:szCs w:val="21"/>
                <w:highlight w:val="none"/>
                <w:lang w:eastAsia="zh-CN"/>
              </w:rPr>
            </w:pPr>
            <w:r>
              <w:rPr>
                <w:rFonts w:ascii="仿宋_GB2312" w:hAnsi="仿宋_GB2312" w:eastAsia="仿宋_GB2312" w:cs="仿宋_GB2312"/>
                <w:b/>
                <w:bCs/>
                <w:color w:val="000000"/>
                <w:sz w:val="21"/>
                <w:szCs w:val="21"/>
                <w:highlight w:val="none"/>
              </w:rPr>
              <w:t>24.</w:t>
            </w:r>
            <w:r>
              <w:rPr>
                <w:rFonts w:hint="eastAsia" w:ascii="仿宋_GB2312" w:hAnsi="仿宋_GB2312" w:eastAsia="仿宋_GB2312" w:cs="仿宋_GB2312"/>
                <w:b/>
                <w:bCs/>
                <w:color w:val="000000"/>
                <w:sz w:val="21"/>
                <w:szCs w:val="21"/>
                <w:highlight w:val="none"/>
              </w:rPr>
              <w:t>禁燃区烟花爆竹管理</w:t>
            </w:r>
          </w:p>
        </w:tc>
        <w:tc>
          <w:tcPr>
            <w:tcW w:w="86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加强烟花爆竹燃放管理。</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县城管局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县公安局</w:t>
            </w:r>
          </w:p>
        </w:tc>
        <w:tc>
          <w:tcPr>
            <w:tcW w:w="2108" w:type="dxa"/>
            <w:vAlign w:val="center"/>
          </w:tcPr>
          <w:p>
            <w:pPr>
              <w:jc w:val="center"/>
              <w:rPr>
                <w:rFonts w:ascii="仿宋_GB2312" w:hAnsi="仿宋_GB2312" w:eastAsia="仿宋_GB2312" w:cs="仿宋_GB2312"/>
                <w:color w:val="000000"/>
                <w:sz w:val="21"/>
                <w:szCs w:val="21"/>
                <w:highlight w:val="none"/>
              </w:rPr>
            </w:pPr>
          </w:p>
        </w:tc>
      </w:tr>
    </w:tbl>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320" w:firstLineChars="100"/>
        <w:rPr>
          <w:rFonts w:hint="eastAsia" w:ascii="仿宋" w:hAnsi="仿宋" w:eastAsia="仿宋" w:cs="仿宋"/>
          <w:sz w:val="32"/>
          <w:szCs w:val="32"/>
        </w:rPr>
      </w:pPr>
    </w:p>
    <w:p>
      <w:pPr>
        <w:ind w:firstLine="320" w:firstLineChars="100"/>
        <w:rPr>
          <w:rFonts w:hint="eastAsia" w:ascii="方正小标宋简体" w:hAnsi="方正小标宋简体" w:eastAsia="方正小标宋简体" w:cs="方正小标宋简体"/>
          <w:sz w:val="44"/>
          <w:szCs w:val="44"/>
        </w:rPr>
      </w:pPr>
      <w:r>
        <w:rPr>
          <w:rFonts w:hint="eastAsia" w:ascii="仿宋" w:hAnsi="仿宋" w:eastAsia="仿宋" w:cs="仿宋"/>
          <w:sz w:val="32"/>
          <w:szCs w:val="32"/>
        </w:rPr>
        <w:t>附表1</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方正小标宋简体" w:hAnsi="方正小标宋简体" w:eastAsia="方正小标宋简体" w:cs="方正小标宋简体"/>
          <w:sz w:val="44"/>
          <w:szCs w:val="44"/>
        </w:rPr>
        <w:t xml:space="preserve">         </w:t>
      </w:r>
    </w:p>
    <w:p>
      <w:pPr>
        <w:ind w:firstLine="2650" w:firstLineChars="600"/>
        <w:rPr>
          <w:rFonts w:hint="eastAsia" w:ascii="方正小标宋简体" w:hAnsi="方正小标宋简体" w:eastAsia="方正小标宋简体" w:cs="方正小标宋简体"/>
          <w:b w:val="0"/>
          <w:bCs w:val="0"/>
          <w:sz w:val="44"/>
          <w:szCs w:val="44"/>
        </w:rPr>
      </w:pPr>
      <w:r>
        <w:rPr>
          <w:rFonts w:hint="eastAsia" w:ascii="宋体" w:hAnsi="宋体" w:eastAsia="宋体" w:cs="宋体"/>
          <w:b/>
          <w:bCs/>
          <w:sz w:val="44"/>
          <w:szCs w:val="44"/>
        </w:rPr>
        <w:t xml:space="preserve"> </w:t>
      </w:r>
      <w:r>
        <w:rPr>
          <w:rFonts w:hint="eastAsia" w:ascii="方正小标宋简体" w:hAnsi="方正小标宋简体" w:eastAsia="方正小标宋简体" w:cs="方正小标宋简体"/>
          <w:b w:val="0"/>
          <w:bCs w:val="0"/>
          <w:sz w:val="44"/>
          <w:szCs w:val="44"/>
        </w:rPr>
        <w:t>全</w:t>
      </w:r>
      <w:r>
        <w:rPr>
          <w:rFonts w:hint="eastAsia" w:ascii="方正小标宋简体" w:hAnsi="方正小标宋简体" w:eastAsia="方正小标宋简体" w:cs="方正小标宋简体"/>
          <w:b w:val="0"/>
          <w:bCs w:val="0"/>
          <w:sz w:val="44"/>
          <w:szCs w:val="44"/>
          <w:lang w:eastAsia="zh-CN"/>
        </w:rPr>
        <w:t>县</w:t>
      </w:r>
      <w:r>
        <w:rPr>
          <w:rFonts w:hint="eastAsia" w:ascii="方正小标宋简体" w:hAnsi="方正小标宋简体" w:eastAsia="方正小标宋简体" w:cs="方正小标宋简体"/>
          <w:b w:val="0"/>
          <w:bCs w:val="0"/>
          <w:sz w:val="44"/>
          <w:szCs w:val="44"/>
        </w:rPr>
        <w:t>空气质量达标工作任务分解表</w:t>
      </w:r>
    </w:p>
    <w:tbl>
      <w:tblPr>
        <w:tblStyle w:val="16"/>
        <w:tblW w:w="13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705"/>
        <w:gridCol w:w="713"/>
        <w:gridCol w:w="9454"/>
        <w:gridCol w:w="78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706" w:type="dxa"/>
            <w:vAlign w:val="center"/>
          </w:tcPr>
          <w:p>
            <w:pPr>
              <w:spacing w:line="300" w:lineRule="exact"/>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序号</w:t>
            </w:r>
          </w:p>
        </w:tc>
        <w:tc>
          <w:tcPr>
            <w:tcW w:w="1418" w:type="dxa"/>
            <w:gridSpan w:val="2"/>
            <w:vAlign w:val="center"/>
          </w:tcPr>
          <w:p>
            <w:pPr>
              <w:spacing w:line="300" w:lineRule="exact"/>
              <w:jc w:val="both"/>
              <w:rPr>
                <w:rFonts w:hint="eastAsia" w:ascii="黑体" w:hAnsi="黑体" w:eastAsia="黑体" w:cs="黑体"/>
                <w:b w:val="0"/>
                <w:bCs/>
                <w:color w:val="000000"/>
                <w:sz w:val="24"/>
              </w:rPr>
            </w:pPr>
            <w:r>
              <w:rPr>
                <w:rFonts w:hint="eastAsia" w:ascii="黑体" w:hAnsi="黑体" w:eastAsia="黑体" w:cs="黑体"/>
                <w:b w:val="0"/>
                <w:bCs/>
                <w:color w:val="000000"/>
                <w:sz w:val="24"/>
              </w:rPr>
              <w:t>任务内容</w:t>
            </w:r>
          </w:p>
        </w:tc>
        <w:tc>
          <w:tcPr>
            <w:tcW w:w="9454" w:type="dxa"/>
            <w:vAlign w:val="center"/>
          </w:tcPr>
          <w:p>
            <w:pPr>
              <w:spacing w:line="300" w:lineRule="exact"/>
              <w:ind w:firstLine="480" w:firstLineChars="200"/>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工作措施</w:t>
            </w:r>
          </w:p>
        </w:tc>
        <w:tc>
          <w:tcPr>
            <w:tcW w:w="780" w:type="dxa"/>
            <w:vAlign w:val="center"/>
          </w:tcPr>
          <w:p>
            <w:pPr>
              <w:spacing w:line="300" w:lineRule="exact"/>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完成</w:t>
            </w:r>
          </w:p>
          <w:p>
            <w:pPr>
              <w:spacing w:line="300" w:lineRule="exact"/>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时限</w:t>
            </w:r>
          </w:p>
        </w:tc>
        <w:tc>
          <w:tcPr>
            <w:tcW w:w="1279" w:type="dxa"/>
            <w:vAlign w:val="center"/>
          </w:tcPr>
          <w:p>
            <w:pPr>
              <w:spacing w:line="300" w:lineRule="exact"/>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责任</w:t>
            </w:r>
          </w:p>
          <w:p>
            <w:pPr>
              <w:spacing w:line="300" w:lineRule="exact"/>
              <w:jc w:val="center"/>
              <w:rPr>
                <w:rFonts w:hint="eastAsia" w:ascii="黑体" w:hAnsi="黑体" w:eastAsia="黑体" w:cs="黑体"/>
                <w:b w:val="0"/>
                <w:bCs/>
                <w:color w:val="000000"/>
                <w:sz w:val="24"/>
              </w:rPr>
            </w:pPr>
            <w:r>
              <w:rPr>
                <w:rFonts w:hint="eastAsia" w:ascii="黑体" w:hAnsi="黑体" w:eastAsia="黑体" w:cs="黑体"/>
                <w:b w:val="0"/>
                <w:bCs/>
                <w:color w:val="00000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06" w:type="dxa"/>
            <w:vMerge w:val="restart"/>
            <w:vAlign w:val="center"/>
          </w:tcPr>
          <w:p>
            <w:pPr>
              <w:spacing w:line="300" w:lineRule="exact"/>
              <w:ind w:firstLine="211" w:firstLineChars="100"/>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1</w:t>
            </w:r>
          </w:p>
        </w:tc>
        <w:tc>
          <w:tcPr>
            <w:tcW w:w="705" w:type="dxa"/>
            <w:vMerge w:val="restart"/>
            <w:vAlign w:val="center"/>
          </w:tcPr>
          <w:p>
            <w:pPr>
              <w:spacing w:line="300" w:lineRule="exact"/>
              <w:rPr>
                <w:rFonts w:hint="eastAsia" w:ascii="仿宋_GB2312" w:hAnsi="仿宋_GB2312" w:eastAsia="仿宋_GB2312" w:cs="仿宋_GB2312"/>
                <w:b/>
                <w:color w:val="000000"/>
                <w:sz w:val="21"/>
                <w:szCs w:val="21"/>
              </w:rPr>
            </w:pPr>
            <w:r>
              <w:rPr>
                <w:rFonts w:hint="eastAsia" w:ascii="仿宋_GB2312" w:hAnsi="仿宋_GB2312" w:eastAsia="仿宋_GB2312" w:cs="仿宋_GB2312"/>
                <w:b/>
                <w:sz w:val="21"/>
                <w:szCs w:val="21"/>
              </w:rPr>
              <w:t>强化扬尘污染治理</w:t>
            </w:r>
          </w:p>
        </w:tc>
        <w:tc>
          <w:tcPr>
            <w:tcW w:w="713" w:type="dxa"/>
            <w:vAlign w:val="center"/>
          </w:tcPr>
          <w:p>
            <w:pPr>
              <w:spacing w:line="30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1.加强建筑（道路建设）工地扬尘污染防治</w:t>
            </w:r>
          </w:p>
        </w:tc>
        <w:tc>
          <w:tcPr>
            <w:tcW w:w="945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①建立施工工地管理清单,建立和完善扬尘污染防治长效机制,督促建设单位将防治扬尘污染的费用纳入工程造价,并在施工承包合同中明确施工单位扬尘污染防治责任。②城区内工地需严格落实施工“六个 100%”措施;对易产生扬尘污染的建筑材料密闭、集中、分类堆放;做好施工道路全硬化；按规定配置降尘喷淋装置数量等文明施工措施。道路建设工地应分段施工，有序配置移动式降尘设施，对已完成土方施工的作业面要采取及时覆盖、洒水降尘措施。因场地条件受限无法落实“六个100%”措施的道路管线工程须编制扬尘治理专项方案，并报建设、监理单位审批，确保工地扬尘防治措施达标。（如：因交通疏导或周边小区通行无法全封闭，场地受限无法安装洗车槽。）③施工现场应建立清扫制度,责任落实到人,做到工完场清。制定扬尘控制措施日常检查制度,施工现场设专职扬尘管理员,配备洒水专用车辆,每 2 小时检查记录 1 次,检查记录至少保留至工程完工。非雨天施工场内渣土运输、工程作业车行驶道路需及时冲洗，当气象预报空气质量达到中度污染时，按每1小时冲洗1次。④房屋建筑工程施工现场出入口、加工区和主作业区等处安装远程视频监控,并能清晰监控车辆出场冲洗情况及运输车辆车牌号码。⑤推进5000平方米及以上建筑施工工地安装空气质量在线监测系统和超标报警系统,与住建、城管部门联网,对施工扬尘实时监控。⑥强化拆迁扬尘防控，拆迁工地要做到拆迁时湿法作业，拆迁时的建筑垃圾及时清运，清运建筑垃圾的渣土车进出工地时要及时清洗，密闭运输，未清运的要及时进行覆盖。全面清理城乡结合部及城中村的渣土和建筑垃圾，不能及时清理的，须采取苫盖等抑尘措施。⑦加大监管力度，把工程各方责任主体扬尘污染防治专项方案落实情况、专项资金使用情况、视频监控安装和能否正常使用等情况作为重要监管内容。对检查中未按要求落实扬尘污染防治措施的,加大处罚力度,并予以通报曝光。对扬尘管理工作不到位的不良信息要纳入建筑市场信用管理体系,情节严重的,列入建筑市场主体“黑名单”。</w:t>
            </w:r>
          </w:p>
        </w:tc>
        <w:tc>
          <w:tcPr>
            <w:tcW w:w="780" w:type="dxa"/>
            <w:vAlign w:val="center"/>
          </w:tcPr>
          <w:p>
            <w:pPr>
              <w:spacing w:line="300" w:lineRule="exact"/>
              <w:jc w:val="center"/>
              <w:rPr>
                <w:rFonts w:hint="eastAsia" w:ascii="仿宋_GB2312" w:hAnsi="仿宋_GB2312" w:eastAsia="仿宋_GB2312" w:cs="仿宋_GB2312"/>
                <w:sz w:val="21"/>
                <w:szCs w:val="21"/>
              </w:rPr>
            </w:pPr>
          </w:p>
          <w:p>
            <w:pPr>
              <w:spacing w:line="300" w:lineRule="exact"/>
              <w:jc w:val="center"/>
              <w:rPr>
                <w:rFonts w:hint="eastAsia" w:ascii="仿宋_GB2312" w:hAnsi="仿宋_GB2312" w:eastAsia="仿宋_GB2312" w:cs="仿宋_GB2312"/>
                <w:sz w:val="21"/>
                <w:szCs w:val="21"/>
              </w:rPr>
            </w:pPr>
          </w:p>
          <w:p>
            <w:pPr>
              <w:spacing w:line="300" w:lineRule="exact"/>
              <w:jc w:val="center"/>
              <w:rPr>
                <w:rFonts w:hint="eastAsia" w:ascii="仿宋_GB2312" w:hAnsi="仿宋_GB2312" w:eastAsia="仿宋_GB2312" w:cs="仿宋_GB2312"/>
                <w:sz w:val="21"/>
                <w:szCs w:val="21"/>
              </w:rPr>
            </w:pPr>
          </w:p>
          <w:p>
            <w:pPr>
              <w:spacing w:line="300" w:lineRule="exact"/>
              <w:jc w:val="center"/>
              <w:rPr>
                <w:rFonts w:hint="eastAsia" w:ascii="仿宋_GB2312" w:hAnsi="仿宋_GB2312" w:eastAsia="仿宋_GB2312" w:cs="仿宋_GB2312"/>
                <w:sz w:val="21"/>
                <w:szCs w:val="21"/>
              </w:rPr>
            </w:pPr>
          </w:p>
          <w:p>
            <w:pPr>
              <w:spacing w:line="300" w:lineRule="exact"/>
              <w:jc w:val="center"/>
              <w:rPr>
                <w:rFonts w:hint="eastAsia" w:ascii="仿宋_GB2312" w:hAnsi="仿宋_GB2312" w:eastAsia="仿宋_GB2312" w:cs="仿宋_GB2312"/>
                <w:sz w:val="21"/>
                <w:szCs w:val="21"/>
              </w:rPr>
            </w:pPr>
          </w:p>
          <w:p>
            <w:pPr>
              <w:spacing w:line="300" w:lineRule="exact"/>
              <w:jc w:val="center"/>
              <w:rPr>
                <w:rFonts w:hint="eastAsia" w:ascii="仿宋_GB2312" w:hAnsi="仿宋_GB2312" w:eastAsia="仿宋_GB2312" w:cs="仿宋_GB2312"/>
                <w:sz w:val="21"/>
                <w:szCs w:val="21"/>
              </w:rPr>
            </w:pPr>
          </w:p>
          <w:p>
            <w:pPr>
              <w:spacing w:line="300" w:lineRule="exact"/>
              <w:jc w:val="center"/>
              <w:rPr>
                <w:rFonts w:hint="eastAsia" w:ascii="仿宋_GB2312" w:hAnsi="仿宋_GB2312" w:eastAsia="仿宋_GB2312" w:cs="仿宋_GB2312"/>
                <w:sz w:val="21"/>
                <w:szCs w:val="21"/>
              </w:rPr>
            </w:pP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住建局</w:t>
            </w:r>
          </w:p>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6" w:hRule="atLeast"/>
          <w:jc w:val="center"/>
        </w:trPr>
        <w:tc>
          <w:tcPr>
            <w:tcW w:w="706" w:type="dxa"/>
            <w:vMerge w:val="continue"/>
            <w:vAlign w:val="center"/>
          </w:tcPr>
          <w:p>
            <w:pPr>
              <w:spacing w:line="300" w:lineRule="exact"/>
              <w:rPr>
                <w:rFonts w:hint="eastAsia" w:ascii="仿宋_GB2312" w:hAnsi="仿宋_GB2312" w:eastAsia="仿宋_GB2312" w:cs="仿宋_GB2312"/>
                <w:b/>
                <w:color w:val="000000"/>
                <w:sz w:val="21"/>
                <w:szCs w:val="21"/>
              </w:rPr>
            </w:pPr>
          </w:p>
        </w:tc>
        <w:tc>
          <w:tcPr>
            <w:tcW w:w="705" w:type="dxa"/>
            <w:vMerge w:val="continue"/>
            <w:vAlign w:val="center"/>
          </w:tcPr>
          <w:p>
            <w:pPr>
              <w:spacing w:line="300" w:lineRule="exact"/>
              <w:ind w:firstLine="210" w:firstLineChars="100"/>
              <w:jc w:val="center"/>
              <w:rPr>
                <w:rFonts w:hint="eastAsia" w:ascii="仿宋_GB2312" w:hAnsi="仿宋_GB2312" w:eastAsia="仿宋_GB2312" w:cs="仿宋_GB2312"/>
                <w:sz w:val="21"/>
                <w:szCs w:val="21"/>
              </w:rPr>
            </w:pPr>
          </w:p>
        </w:tc>
        <w:tc>
          <w:tcPr>
            <w:tcW w:w="713"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2.加强道路扬尘污染控制</w:t>
            </w:r>
          </w:p>
        </w:tc>
        <w:tc>
          <w:tcPr>
            <w:tcW w:w="945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①强化道路扬尘清扫力度，城区道路机械化清扫率达到95%以上。城</w:t>
            </w: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主要道路实行高压清洗等机械清扫与人工清扫结合的方式，非雨天城市主干道及重要支路特别是渣土运输线路洒水不低于8次/天（特护期不低于10次/天），高压冲洗不少于2次。开展雾炮车常态化作业机制，非雨天城市主干道及重要支路不低于4次/天（特护期不低于8次/天）。②加强渣土运输管理。渣土运输企业严格按经批准方案规定的路线、时间实施渣土运输。利用卫星定位等技术，对全</w:t>
            </w: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渣土运输车辆实施全过程智能监管。监管部门加大监管力度，重点查处带泥上路、撒漏渣土以及擅自弃土、不按方案就近转移的违规行为，依法取消违规运输渣土车运营资格并追溯责任单位，严禁老式渣土车运营。大型渣土运输项目应配备洒水车对运输道路及时冲洗。③加强渣土堆放贮存管理，取、弃土场进出口道路须硬化处理，设置车辆冲洗专用场地，配备冲洗保洁设施、设备和人员并正常使用。在出入口醒目位置设置责任公示牌，明确标示各责任主体单位名称、现场负责人姓名、电话，同时明确监管部门。对未到达建筑施工工地“六个 100%”要求的取、弃土场不得进行作业。同时做好取、弃土场裸土及时覆盖、喷淋、播撒草籽等措施。</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706" w:type="dxa"/>
            <w:vMerge w:val="continue"/>
            <w:vAlign w:val="center"/>
          </w:tcPr>
          <w:p>
            <w:pPr>
              <w:spacing w:line="300" w:lineRule="exact"/>
              <w:ind w:firstLine="211" w:firstLineChars="100"/>
              <w:rPr>
                <w:rFonts w:hint="eastAsia" w:ascii="仿宋_GB2312" w:hAnsi="仿宋_GB2312" w:eastAsia="仿宋_GB2312" w:cs="仿宋_GB2312"/>
                <w:b/>
                <w:color w:val="000000"/>
                <w:sz w:val="21"/>
                <w:szCs w:val="21"/>
              </w:rPr>
            </w:pPr>
          </w:p>
        </w:tc>
        <w:tc>
          <w:tcPr>
            <w:tcW w:w="705" w:type="dxa"/>
            <w:vMerge w:val="continue"/>
            <w:vAlign w:val="center"/>
          </w:tcPr>
          <w:p>
            <w:pPr>
              <w:spacing w:line="300" w:lineRule="exact"/>
              <w:ind w:firstLine="210" w:firstLineChars="100"/>
              <w:jc w:val="center"/>
              <w:rPr>
                <w:rFonts w:hint="eastAsia" w:ascii="仿宋_GB2312" w:hAnsi="仿宋_GB2312" w:eastAsia="仿宋_GB2312" w:cs="仿宋_GB2312"/>
                <w:sz w:val="21"/>
                <w:szCs w:val="21"/>
              </w:rPr>
            </w:pPr>
          </w:p>
        </w:tc>
        <w:tc>
          <w:tcPr>
            <w:tcW w:w="713" w:type="dxa"/>
            <w:vAlign w:val="center"/>
          </w:tcPr>
          <w:p>
            <w:pPr>
              <w:spacing w:line="300" w:lineRule="exact"/>
              <w:ind w:firstLine="211" w:firstLineChars="100"/>
              <w:jc w:val="center"/>
              <w:rPr>
                <w:rFonts w:hint="eastAsia" w:ascii="仿宋_GB2312" w:hAnsi="仿宋_GB2312" w:eastAsia="仿宋_GB2312" w:cs="仿宋_GB2312"/>
                <w:b/>
                <w:bCs/>
                <w:sz w:val="21"/>
                <w:szCs w:val="21"/>
              </w:rPr>
            </w:pPr>
          </w:p>
        </w:tc>
        <w:tc>
          <w:tcPr>
            <w:tcW w:w="945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②对在传统产业整治和升级、倒逼“僵尸企业”转型升级、“散乱污”企业整治、清理退出重点区域污染企业过程中关闭、永久性停产的企业生产厂地要进行废弃物堆场清理和场地覆盖</w:t>
            </w:r>
            <w:r>
              <w:rPr>
                <w:rFonts w:hint="eastAsia" w:ascii="仿宋_GB2312" w:hAnsi="仿宋_GB2312" w:eastAsia="仿宋_GB2312" w:cs="仿宋_GB2312"/>
                <w:sz w:val="21"/>
                <w:szCs w:val="21"/>
                <w:lang w:eastAsia="zh-CN"/>
              </w:rPr>
              <w:t>。</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工信局</w:t>
            </w:r>
          </w:p>
          <w:p>
            <w:pPr>
              <w:spacing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县机关事务服务中心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706" w:type="dxa"/>
            <w:vMerge w:val="continue"/>
            <w:vAlign w:val="center"/>
          </w:tcPr>
          <w:p>
            <w:pPr>
              <w:spacing w:line="300" w:lineRule="exact"/>
              <w:ind w:firstLine="211" w:firstLineChars="100"/>
              <w:rPr>
                <w:rFonts w:hint="eastAsia" w:ascii="仿宋_GB2312" w:hAnsi="仿宋_GB2312" w:eastAsia="仿宋_GB2312" w:cs="仿宋_GB2312"/>
                <w:b/>
                <w:color w:val="000000"/>
                <w:sz w:val="21"/>
                <w:szCs w:val="21"/>
              </w:rPr>
            </w:pPr>
          </w:p>
        </w:tc>
        <w:tc>
          <w:tcPr>
            <w:tcW w:w="705" w:type="dxa"/>
            <w:vMerge w:val="continue"/>
            <w:vAlign w:val="center"/>
          </w:tcPr>
          <w:p>
            <w:pPr>
              <w:spacing w:line="300" w:lineRule="exact"/>
              <w:ind w:firstLine="210" w:firstLineChars="100"/>
              <w:jc w:val="center"/>
              <w:rPr>
                <w:rFonts w:hint="eastAsia" w:ascii="仿宋_GB2312" w:hAnsi="仿宋_GB2312" w:eastAsia="仿宋_GB2312" w:cs="仿宋_GB2312"/>
                <w:sz w:val="21"/>
                <w:szCs w:val="21"/>
              </w:rPr>
            </w:pPr>
          </w:p>
        </w:tc>
        <w:tc>
          <w:tcPr>
            <w:tcW w:w="713" w:type="dxa"/>
            <w:vAlign w:val="center"/>
          </w:tcPr>
          <w:p>
            <w:pPr>
              <w:spacing w:line="300" w:lineRule="exact"/>
              <w:rPr>
                <w:rFonts w:hint="eastAsia" w:ascii="仿宋_GB2312" w:hAnsi="仿宋_GB2312" w:eastAsia="仿宋_GB2312" w:cs="仿宋_GB2312"/>
                <w:b/>
                <w:bCs/>
                <w:sz w:val="21"/>
                <w:szCs w:val="21"/>
              </w:rPr>
            </w:pPr>
            <w:r>
              <w:rPr>
                <w:rFonts w:hint="eastAsia" w:ascii="仿宋_GB2312" w:hAnsi="仿宋_GB2312" w:cs="仿宋_GB2312"/>
                <w:b/>
                <w:bCs/>
                <w:sz w:val="21"/>
                <w:szCs w:val="21"/>
                <w:lang w:val="en-US" w:eastAsia="zh-CN"/>
              </w:rPr>
              <w:t>3</w:t>
            </w:r>
            <w:r>
              <w:rPr>
                <w:rFonts w:hint="eastAsia" w:ascii="仿宋_GB2312" w:hAnsi="仿宋_GB2312" w:eastAsia="仿宋_GB2312" w:cs="仿宋_GB2312"/>
                <w:b/>
                <w:bCs/>
                <w:sz w:val="21"/>
                <w:szCs w:val="21"/>
              </w:rPr>
              <w:t>.巩固成果，防止反弹</w:t>
            </w:r>
          </w:p>
        </w:tc>
        <w:tc>
          <w:tcPr>
            <w:tcW w:w="9454"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10" w:firstLineChars="1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对已完成锅炉、工业窑炉、VOCs治理的企业，加强监管，确保污染防治设施运行正常，做到稳定达标排放。</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市生态环境局华容分局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8" w:hRule="atLeast"/>
          <w:jc w:val="center"/>
        </w:trPr>
        <w:tc>
          <w:tcPr>
            <w:tcW w:w="706" w:type="dxa"/>
            <w:vMerge w:val="continue"/>
            <w:vAlign w:val="center"/>
          </w:tcPr>
          <w:p>
            <w:pPr>
              <w:spacing w:line="300" w:lineRule="exact"/>
              <w:ind w:firstLine="211" w:firstLineChars="100"/>
              <w:rPr>
                <w:rFonts w:hint="eastAsia" w:ascii="仿宋_GB2312" w:hAnsi="仿宋_GB2312" w:eastAsia="仿宋_GB2312" w:cs="仿宋_GB2312"/>
                <w:b/>
                <w:color w:val="000000"/>
                <w:sz w:val="21"/>
                <w:szCs w:val="21"/>
              </w:rPr>
            </w:pPr>
          </w:p>
        </w:tc>
        <w:tc>
          <w:tcPr>
            <w:tcW w:w="705" w:type="dxa"/>
            <w:vMerge w:val="continue"/>
            <w:vAlign w:val="center"/>
          </w:tcPr>
          <w:p>
            <w:pPr>
              <w:spacing w:line="300" w:lineRule="exact"/>
              <w:ind w:firstLine="210" w:firstLineChars="100"/>
              <w:jc w:val="center"/>
              <w:rPr>
                <w:rFonts w:hint="eastAsia" w:ascii="仿宋_GB2312" w:hAnsi="仿宋_GB2312" w:eastAsia="仿宋_GB2312" w:cs="仿宋_GB2312"/>
                <w:sz w:val="21"/>
                <w:szCs w:val="21"/>
              </w:rPr>
            </w:pPr>
          </w:p>
        </w:tc>
        <w:tc>
          <w:tcPr>
            <w:tcW w:w="713" w:type="dxa"/>
            <w:vAlign w:val="center"/>
          </w:tcPr>
          <w:p>
            <w:pPr>
              <w:spacing w:line="300" w:lineRule="exact"/>
              <w:rPr>
                <w:rFonts w:hint="eastAsia" w:ascii="仿宋_GB2312" w:hAnsi="仿宋_GB2312" w:eastAsia="仿宋_GB2312" w:cs="仿宋_GB2312"/>
                <w:b/>
                <w:bCs/>
                <w:sz w:val="21"/>
                <w:szCs w:val="21"/>
              </w:rPr>
            </w:pPr>
            <w:r>
              <w:rPr>
                <w:rFonts w:hint="eastAsia" w:ascii="仿宋_GB2312" w:hAnsi="仿宋_GB2312" w:cs="仿宋_GB2312"/>
                <w:b/>
                <w:bCs/>
                <w:sz w:val="21"/>
                <w:szCs w:val="21"/>
                <w:lang w:val="en-US" w:eastAsia="zh-CN"/>
              </w:rPr>
              <w:t>4</w:t>
            </w:r>
            <w:r>
              <w:rPr>
                <w:rFonts w:hint="eastAsia" w:ascii="仿宋_GB2312" w:hAnsi="仿宋_GB2312" w:eastAsia="仿宋_GB2312" w:cs="仿宋_GB2312"/>
                <w:b/>
                <w:bCs/>
                <w:sz w:val="21"/>
                <w:szCs w:val="21"/>
              </w:rPr>
              <w:t>.持续推进VOCS综合治理</w:t>
            </w:r>
          </w:p>
        </w:tc>
        <w:tc>
          <w:tcPr>
            <w:tcW w:w="945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包装印刷、工业涂装、家具制造等行业，通过使用水性、粉末、高固体分、无溶剂、辐射固化等低VOCs含量的涂料、油墨、胶粘剂、清洗剂等，从源头减少VOCs产生。②对含VOCs物料储存、转移和输送、设备与管线组件泄漏、敞开液面逸散以及工艺过程等五类无组织排放源实施管控，通过采取密闭、工艺改进、废气有效收集等措施，削减VOCs无组织排放。③鼓励企业采用多种技术的组合工艺，提高VOCs治理效率。规范企业对含VOCs废料储存、运输、处置行为。</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市生态环境局华容分局</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vMerge w:val="continue"/>
            <w:vAlign w:val="center"/>
          </w:tcPr>
          <w:p>
            <w:pPr>
              <w:spacing w:line="300" w:lineRule="exact"/>
              <w:ind w:firstLine="211" w:firstLineChars="100"/>
              <w:rPr>
                <w:rFonts w:hint="eastAsia" w:ascii="仿宋_GB2312" w:hAnsi="仿宋_GB2312" w:eastAsia="仿宋_GB2312" w:cs="仿宋_GB2312"/>
                <w:b/>
                <w:color w:val="000000"/>
                <w:sz w:val="21"/>
                <w:szCs w:val="21"/>
              </w:rPr>
            </w:pPr>
          </w:p>
        </w:tc>
        <w:tc>
          <w:tcPr>
            <w:tcW w:w="705" w:type="dxa"/>
            <w:vMerge w:val="continue"/>
            <w:vAlign w:val="center"/>
          </w:tcPr>
          <w:p>
            <w:pPr>
              <w:spacing w:line="300" w:lineRule="exact"/>
              <w:ind w:firstLine="210" w:firstLineChars="100"/>
              <w:jc w:val="center"/>
              <w:rPr>
                <w:rFonts w:hint="eastAsia" w:ascii="仿宋_GB2312" w:hAnsi="仿宋_GB2312" w:eastAsia="仿宋_GB2312" w:cs="仿宋_GB2312"/>
                <w:sz w:val="21"/>
                <w:szCs w:val="21"/>
              </w:rPr>
            </w:pPr>
          </w:p>
        </w:tc>
        <w:tc>
          <w:tcPr>
            <w:tcW w:w="713" w:type="dxa"/>
            <w:vAlign w:val="center"/>
          </w:tcPr>
          <w:p>
            <w:pPr>
              <w:spacing w:line="300" w:lineRule="exact"/>
              <w:rPr>
                <w:rFonts w:hint="eastAsia" w:ascii="仿宋_GB2312" w:hAnsi="仿宋_GB2312" w:eastAsia="仿宋_GB2312" w:cs="仿宋_GB2312"/>
                <w:b/>
                <w:bCs/>
                <w:sz w:val="21"/>
                <w:szCs w:val="21"/>
              </w:rPr>
            </w:pPr>
            <w:r>
              <w:rPr>
                <w:rFonts w:hint="eastAsia" w:ascii="仿宋_GB2312" w:hAnsi="仿宋_GB2312" w:cs="仿宋_GB2312"/>
                <w:b/>
                <w:bCs/>
                <w:sz w:val="21"/>
                <w:szCs w:val="21"/>
                <w:lang w:val="en-US" w:eastAsia="zh-CN"/>
              </w:rPr>
              <w:t>5</w:t>
            </w:r>
            <w:r>
              <w:rPr>
                <w:rFonts w:hint="eastAsia" w:ascii="仿宋_GB2312" w:hAnsi="仿宋_GB2312" w:eastAsia="仿宋_GB2312" w:cs="仿宋_GB2312"/>
                <w:b/>
                <w:bCs/>
                <w:sz w:val="21"/>
                <w:szCs w:val="21"/>
              </w:rPr>
              <w:t>.加强企业颗粒物无组织排放治理</w:t>
            </w:r>
          </w:p>
        </w:tc>
        <w:tc>
          <w:tcPr>
            <w:tcW w:w="9454"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加强全</w:t>
            </w: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砖瓦、水泥、商品混凝土、沥青搅拌等建材、有色金属、码头等行业无组织排放治理。① 控制企业粉状物料无组织排放。对易产生扬尘的粉状、粒状物料及燃料应当密闭储存,运输采用密闭皮带、封闭通廊、管状带式输送机或密闭车厢等密闭输送方式。② 控制企业块状物料无组织排放。块状物料采用入棚入仓或建设防风抑尘网等方式进行存储,并设有洒水、喷淋、苫盖等综合措施进行抑尘。③控制企业生产工艺过程无组织排放。生产工艺产尘点(装置)应封闭,采用密闭生产装置,对打磨、切割、粉碎、搅拌等加工环节产生无组织排放产尘点的设置集气罩或收尘装置并配备除尘设施;车间不能有可见烟尘外逸。</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4 \* GB3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④</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控制企业物料装卸运输无组织排放。汽车、火车、皮带输送机等卸料点设置集气罩或密闭罩,并配备除尘设施。控制企业综合无组织排放。料场路面应实施硬化。</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5 \* GB3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⑤</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配备洒水车等降尘设备，生产期间每天上班和下班前各清扫、洒水一次，一周全场道路冲洗一次。出口处配备车轮和车身净化装置。</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市生态环境局华容分局</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4" w:hRule="atLeast"/>
          <w:jc w:val="center"/>
        </w:trPr>
        <w:tc>
          <w:tcPr>
            <w:tcW w:w="706" w:type="dxa"/>
            <w:vAlign w:val="center"/>
          </w:tcPr>
          <w:p>
            <w:pPr>
              <w:spacing w:line="300" w:lineRule="exact"/>
              <w:ind w:firstLine="211" w:firstLineChars="100"/>
              <w:rPr>
                <w:rFonts w:hint="eastAsia" w:ascii="仿宋_GB2312" w:hAnsi="仿宋_GB2312" w:eastAsia="仿宋_GB2312" w:cs="仿宋_GB2312"/>
                <w:b/>
                <w:color w:val="000000"/>
                <w:sz w:val="21"/>
                <w:szCs w:val="21"/>
                <w:lang w:eastAsia="zh-CN"/>
              </w:rPr>
            </w:pPr>
            <w:r>
              <w:rPr>
                <w:rFonts w:hint="eastAsia" w:ascii="仿宋_GB2312" w:hAnsi="仿宋_GB2312" w:cs="仿宋_GB2312"/>
                <w:b/>
                <w:color w:val="000000"/>
                <w:sz w:val="21"/>
                <w:szCs w:val="21"/>
                <w:lang w:val="en-US" w:eastAsia="zh-CN"/>
              </w:rPr>
              <w:t>2</w:t>
            </w:r>
          </w:p>
        </w:tc>
        <w:tc>
          <w:tcPr>
            <w:tcW w:w="1418" w:type="dxa"/>
            <w:gridSpan w:val="2"/>
            <w:vAlign w:val="center"/>
          </w:tcPr>
          <w:p>
            <w:pPr>
              <w:spacing w:line="300" w:lineRule="exact"/>
              <w:ind w:firstLine="211" w:firstLineChars="100"/>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开展油品储运销VOCs治理</w:t>
            </w:r>
          </w:p>
        </w:tc>
        <w:tc>
          <w:tcPr>
            <w:tcW w:w="9454"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1.对全</w:t>
            </w: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汽油储油库、油罐车、加油站清单实行动态更新，储油库和年销售汽油量大于5000吨的加油站安装油气回收自动监测设备，并定期检查运行情况。2.加强油气回收治理设施监管，对储油库、加油站油气污染防治设施运行情况进行检查，检查频次每季度1次。3.打击黑加油站，提升车用油品，开展黑加油站点、流动加油车、专项整治行动，坚决清除、彻底取缔无证无照经营的黑加油站（车）。打击不按规定销售符合国家标准要求车用汽、柴油的行为；掺杂使假、以假充真、以次充好的行为；经营走私或非法炼制成品油的行为等。</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市场监管局</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商务粮食局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706" w:type="dxa"/>
            <w:vMerge w:val="restart"/>
            <w:vAlign w:val="center"/>
          </w:tcPr>
          <w:p>
            <w:pPr>
              <w:spacing w:line="300" w:lineRule="exact"/>
              <w:ind w:firstLine="211" w:firstLineChars="100"/>
              <w:rPr>
                <w:rFonts w:hint="eastAsia" w:ascii="仿宋_GB2312" w:hAnsi="仿宋_GB2312" w:eastAsia="仿宋_GB2312" w:cs="仿宋_GB2312"/>
                <w:b/>
                <w:color w:val="000000"/>
                <w:sz w:val="21"/>
                <w:szCs w:val="21"/>
                <w:lang w:eastAsia="zh-CN"/>
              </w:rPr>
            </w:pPr>
            <w:r>
              <w:rPr>
                <w:rFonts w:hint="eastAsia" w:ascii="仿宋_GB2312" w:hAnsi="仿宋_GB2312" w:cs="仿宋_GB2312"/>
                <w:b/>
                <w:color w:val="000000"/>
                <w:sz w:val="21"/>
                <w:szCs w:val="21"/>
                <w:lang w:val="en-US" w:eastAsia="zh-CN"/>
              </w:rPr>
              <w:t>3</w:t>
            </w:r>
          </w:p>
        </w:tc>
        <w:tc>
          <w:tcPr>
            <w:tcW w:w="705" w:type="dxa"/>
            <w:vMerge w:val="restart"/>
            <w:vAlign w:val="center"/>
          </w:tcPr>
          <w:p>
            <w:pPr>
              <w:spacing w:line="300" w:lineRule="exact"/>
              <w:jc w:val="both"/>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深化移动源污染治理</w:t>
            </w:r>
          </w:p>
        </w:tc>
        <w:tc>
          <w:tcPr>
            <w:tcW w:w="713"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1.加大在用车监督管理力度</w:t>
            </w:r>
          </w:p>
        </w:tc>
        <w:tc>
          <w:tcPr>
            <w:tcW w:w="9454"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①每年对机动车排放检验机构开展“双随机一公开”监督抽查1次。充分利用机动车排气污染监控平台对检验机构检验全过程进行监管。</w:t>
            </w:r>
          </w:p>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②全面实施汽车排放检验与维护制度，建立健全相关工作机制，全县至少建成1个汽车排放性能维修站，实现检验-维修-复检闭环管理</w:t>
            </w:r>
            <w:r>
              <w:rPr>
                <w:rFonts w:hint="eastAsia" w:ascii="仿宋_GB2312" w:hAnsi="仿宋_GB2312" w:eastAsia="仿宋_GB2312" w:cs="仿宋_GB2312"/>
                <w:sz w:val="21"/>
                <w:szCs w:val="21"/>
                <w:lang w:eastAsia="zh-CN"/>
              </w:rPr>
              <w:t>。</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市生态环境局华容分局</w:t>
            </w:r>
          </w:p>
          <w:p>
            <w:pPr>
              <w:spacing w:line="300" w:lineRule="exact"/>
              <w:jc w:val="center"/>
              <w:rPr>
                <w:rFonts w:hint="eastAsia" w:ascii="仿宋" w:hAnsi="仿宋" w:eastAsia="仿宋" w:cs="仿宋"/>
                <w:sz w:val="21"/>
                <w:szCs w:val="21"/>
              </w:rPr>
            </w:pPr>
            <w:r>
              <w:rPr>
                <w:rFonts w:hint="eastAsia" w:ascii="仿宋" w:hAnsi="仿宋" w:eastAsia="仿宋" w:cs="仿宋"/>
                <w:sz w:val="21"/>
                <w:szCs w:val="21"/>
                <w:lang w:eastAsia="zh-CN"/>
              </w:rPr>
              <w:t>县</w:t>
            </w:r>
            <w:r>
              <w:rPr>
                <w:rFonts w:hint="eastAsia" w:ascii="仿宋" w:hAnsi="仿宋" w:eastAsia="仿宋" w:cs="仿宋"/>
                <w:sz w:val="21"/>
                <w:szCs w:val="21"/>
              </w:rPr>
              <w:t>交通运输局</w:t>
            </w:r>
          </w:p>
          <w:p>
            <w:pPr>
              <w:pStyle w:val="6"/>
              <w:ind w:left="0" w:leftChars="0" w:firstLine="0" w:firstLineChars="0"/>
              <w:jc w:val="center"/>
              <w:rPr>
                <w:rFonts w:hint="default" w:eastAsia="仿宋_GB2312"/>
                <w:sz w:val="21"/>
                <w:szCs w:val="21"/>
                <w:lang w:val="en-US" w:eastAsia="zh-CN"/>
              </w:rPr>
            </w:pPr>
            <w:r>
              <w:rPr>
                <w:rFonts w:hint="eastAsia" w:ascii="仿宋" w:hAnsi="仿宋" w:eastAsia="仿宋" w:cs="仿宋"/>
                <w:kern w:val="2"/>
                <w:sz w:val="21"/>
                <w:szCs w:val="21"/>
                <w:lang w:val="en-US" w:eastAsia="zh-CN" w:bidi="ar-SA"/>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jc w:val="center"/>
        </w:trPr>
        <w:tc>
          <w:tcPr>
            <w:tcW w:w="706" w:type="dxa"/>
            <w:vMerge w:val="continue"/>
            <w:vAlign w:val="center"/>
          </w:tcPr>
          <w:p>
            <w:pPr>
              <w:spacing w:line="300" w:lineRule="exact"/>
              <w:ind w:firstLine="211" w:firstLineChars="100"/>
              <w:rPr>
                <w:rFonts w:hint="eastAsia" w:ascii="仿宋_GB2312" w:hAnsi="仿宋_GB2312" w:eastAsia="仿宋_GB2312" w:cs="仿宋_GB2312"/>
                <w:b/>
                <w:color w:val="000000"/>
                <w:sz w:val="21"/>
                <w:szCs w:val="21"/>
              </w:rPr>
            </w:pPr>
          </w:p>
        </w:tc>
        <w:tc>
          <w:tcPr>
            <w:tcW w:w="705" w:type="dxa"/>
            <w:vMerge w:val="continue"/>
            <w:vAlign w:val="center"/>
          </w:tcPr>
          <w:p>
            <w:pPr>
              <w:spacing w:line="300" w:lineRule="exact"/>
              <w:ind w:firstLine="210" w:firstLineChars="100"/>
              <w:jc w:val="center"/>
              <w:rPr>
                <w:rFonts w:hint="eastAsia" w:ascii="仿宋_GB2312" w:hAnsi="仿宋_GB2312" w:eastAsia="仿宋_GB2312" w:cs="仿宋_GB2312"/>
                <w:sz w:val="21"/>
                <w:szCs w:val="21"/>
              </w:rPr>
            </w:pPr>
          </w:p>
        </w:tc>
        <w:tc>
          <w:tcPr>
            <w:tcW w:w="713" w:type="dxa"/>
            <w:vAlign w:val="center"/>
          </w:tcPr>
          <w:p>
            <w:pPr>
              <w:spacing w:line="30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2.加强非道路移动机械监管</w:t>
            </w:r>
          </w:p>
        </w:tc>
        <w:tc>
          <w:tcPr>
            <w:tcW w:w="9454"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关于划定使用高排放非道路移动机械区域的通知》（岳生环委办〔2020〕134号）要求，以高排放机械禁用区、施工工地、物流园为重点，加大非道路移动机械排放控制区管控力度，依法查处排放不合格或在禁用区使用不符合要求的非道路移动机械，基本消除冒黑烟现象；在城区建筑工地开展工程作业车安装OBD排放在线监控设备试点工作。推进老旧工程机械淘汰，具备条件的非道路移动机械开展深度治理。</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市生态环境局华容分局</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住建局</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706" w:type="dxa"/>
            <w:vMerge w:val="continue"/>
            <w:vAlign w:val="center"/>
          </w:tcPr>
          <w:p>
            <w:pPr>
              <w:spacing w:line="300" w:lineRule="exact"/>
              <w:ind w:firstLine="211" w:firstLineChars="100"/>
              <w:rPr>
                <w:rFonts w:hint="eastAsia" w:ascii="仿宋_GB2312" w:hAnsi="仿宋_GB2312" w:eastAsia="仿宋_GB2312" w:cs="仿宋_GB2312"/>
                <w:b/>
                <w:color w:val="000000"/>
                <w:sz w:val="21"/>
                <w:szCs w:val="21"/>
              </w:rPr>
            </w:pPr>
          </w:p>
        </w:tc>
        <w:tc>
          <w:tcPr>
            <w:tcW w:w="705" w:type="dxa"/>
            <w:vMerge w:val="continue"/>
            <w:vAlign w:val="center"/>
          </w:tcPr>
          <w:p>
            <w:pPr>
              <w:spacing w:line="300" w:lineRule="exact"/>
              <w:ind w:firstLine="210" w:firstLineChars="100"/>
              <w:jc w:val="center"/>
              <w:rPr>
                <w:rFonts w:hint="eastAsia" w:ascii="仿宋_GB2312" w:hAnsi="仿宋_GB2312" w:eastAsia="仿宋_GB2312" w:cs="仿宋_GB2312"/>
                <w:sz w:val="21"/>
                <w:szCs w:val="21"/>
              </w:rPr>
            </w:pPr>
          </w:p>
        </w:tc>
        <w:tc>
          <w:tcPr>
            <w:tcW w:w="713" w:type="dxa"/>
            <w:vMerge w:val="restart"/>
            <w:vAlign w:val="center"/>
          </w:tcPr>
          <w:p>
            <w:pPr>
              <w:spacing w:line="30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3.加强柴油车污染治理</w:t>
            </w:r>
          </w:p>
        </w:tc>
        <w:tc>
          <w:tcPr>
            <w:tcW w:w="9454" w:type="dxa"/>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推进城</w:t>
            </w:r>
            <w:r>
              <w:rPr>
                <w:rFonts w:hint="eastAsia" w:ascii="仿宋_GB2312" w:hAnsi="仿宋_GB2312" w:eastAsia="仿宋_GB2312" w:cs="仿宋_GB2312"/>
                <w:sz w:val="21"/>
                <w:szCs w:val="21"/>
                <w:lang w:eastAsia="zh-CN"/>
              </w:rPr>
              <w:t>区</w:t>
            </w:r>
            <w:r>
              <w:rPr>
                <w:rFonts w:hint="eastAsia" w:ascii="仿宋_GB2312" w:hAnsi="仿宋_GB2312" w:eastAsia="仿宋_GB2312" w:cs="仿宋_GB2312"/>
                <w:sz w:val="21"/>
                <w:szCs w:val="21"/>
              </w:rPr>
              <w:t>主干道柴油货车限行；组织开展全</w:t>
            </w: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开展柴油货车污染专项治理，在重点路段、柴油货车集中停放地和重点单位开展路检路查、入户抽查（特护期加大检查力度）</w:t>
            </w:r>
            <w:r>
              <w:rPr>
                <w:rFonts w:hint="eastAsia" w:ascii="仿宋_GB2312" w:hAnsi="仿宋_GB2312" w:eastAsia="仿宋_GB2312" w:cs="仿宋_GB2312"/>
                <w:sz w:val="21"/>
                <w:szCs w:val="21"/>
                <w:lang w:eastAsia="zh-CN"/>
              </w:rPr>
              <w:t>。</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公安局</w:t>
            </w:r>
          </w:p>
          <w:p>
            <w:pPr>
              <w:spacing w:line="300" w:lineRule="exact"/>
              <w:jc w:val="center"/>
              <w:rPr>
                <w:rFonts w:hint="eastAsia" w:ascii="仿宋_GB2312" w:hAnsi="仿宋_GB2312" w:eastAsia="仿宋_GB2312" w:cs="仿宋_GB2312"/>
                <w:spacing w:val="-17"/>
                <w:sz w:val="21"/>
                <w:szCs w:val="21"/>
                <w:lang w:eastAsia="zh-CN"/>
              </w:rPr>
            </w:pPr>
            <w:r>
              <w:rPr>
                <w:rFonts w:hint="eastAsia" w:ascii="仿宋_GB2312" w:hAnsi="仿宋_GB2312" w:eastAsia="仿宋_GB2312" w:cs="仿宋_GB2312"/>
                <w:spacing w:val="-17"/>
                <w:sz w:val="21"/>
                <w:szCs w:val="21"/>
                <w:lang w:eastAsia="zh-CN"/>
              </w:rPr>
              <w:t>县交通运输局</w:t>
            </w:r>
          </w:p>
          <w:p>
            <w:pPr>
              <w:spacing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市生态环境局华容分局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706" w:type="dxa"/>
            <w:vMerge w:val="continue"/>
            <w:vAlign w:val="center"/>
          </w:tcPr>
          <w:p>
            <w:pPr>
              <w:spacing w:line="300" w:lineRule="exact"/>
              <w:ind w:firstLine="211" w:firstLineChars="100"/>
              <w:rPr>
                <w:rFonts w:hint="eastAsia" w:ascii="仿宋_GB2312" w:hAnsi="仿宋_GB2312" w:eastAsia="仿宋_GB2312" w:cs="仿宋_GB2312"/>
                <w:b/>
                <w:color w:val="000000"/>
                <w:sz w:val="21"/>
                <w:szCs w:val="21"/>
              </w:rPr>
            </w:pPr>
          </w:p>
        </w:tc>
        <w:tc>
          <w:tcPr>
            <w:tcW w:w="705" w:type="dxa"/>
            <w:vMerge w:val="continue"/>
            <w:vAlign w:val="center"/>
          </w:tcPr>
          <w:p>
            <w:pPr>
              <w:spacing w:line="300" w:lineRule="exact"/>
              <w:ind w:firstLine="210" w:firstLineChars="100"/>
              <w:jc w:val="center"/>
              <w:rPr>
                <w:rFonts w:hint="eastAsia" w:ascii="仿宋_GB2312" w:hAnsi="仿宋_GB2312" w:eastAsia="仿宋_GB2312" w:cs="仿宋_GB2312"/>
                <w:sz w:val="21"/>
                <w:szCs w:val="21"/>
              </w:rPr>
            </w:pPr>
          </w:p>
        </w:tc>
        <w:tc>
          <w:tcPr>
            <w:tcW w:w="713" w:type="dxa"/>
            <w:vMerge w:val="continue"/>
            <w:vAlign w:val="center"/>
          </w:tcPr>
          <w:p>
            <w:pPr>
              <w:spacing w:line="300" w:lineRule="exact"/>
              <w:ind w:firstLine="211" w:firstLineChars="100"/>
              <w:jc w:val="center"/>
              <w:rPr>
                <w:rFonts w:hint="eastAsia" w:ascii="仿宋_GB2312" w:hAnsi="仿宋_GB2312" w:eastAsia="仿宋_GB2312" w:cs="仿宋_GB2312"/>
                <w:b/>
                <w:bCs/>
                <w:sz w:val="21"/>
                <w:szCs w:val="21"/>
              </w:rPr>
            </w:pPr>
          </w:p>
        </w:tc>
        <w:tc>
          <w:tcPr>
            <w:tcW w:w="9454"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在城区开展渣土运输车辆、环卫洒水等保洁车、柴油货车安装OBD排放在线监控设备试点工作。</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城管局</w:t>
            </w:r>
          </w:p>
          <w:p>
            <w:pPr>
              <w:spacing w:line="300" w:lineRule="exact"/>
              <w:jc w:val="center"/>
              <w:rPr>
                <w:rFonts w:hint="eastAsia" w:ascii="仿宋_GB2312" w:hAnsi="仿宋_GB2312" w:eastAsia="仿宋_GB2312" w:cs="仿宋_GB2312"/>
                <w:spacing w:val="-17"/>
                <w:sz w:val="21"/>
                <w:szCs w:val="21"/>
              </w:rPr>
            </w:pPr>
            <w:r>
              <w:rPr>
                <w:rFonts w:hint="eastAsia" w:ascii="仿宋_GB2312" w:hAnsi="仿宋_GB2312" w:eastAsia="仿宋_GB2312" w:cs="仿宋_GB2312"/>
                <w:spacing w:val="-17"/>
                <w:sz w:val="21"/>
                <w:szCs w:val="21"/>
                <w:lang w:eastAsia="zh-CN"/>
              </w:rPr>
              <w:t>县</w:t>
            </w:r>
            <w:r>
              <w:rPr>
                <w:rFonts w:hint="eastAsia" w:ascii="仿宋_GB2312" w:hAnsi="仿宋_GB2312" w:eastAsia="仿宋_GB2312" w:cs="仿宋_GB2312"/>
                <w:spacing w:val="-17"/>
                <w:sz w:val="21"/>
                <w:szCs w:val="21"/>
              </w:rPr>
              <w:t>交通运输局</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市生态环境局华容分局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jc w:val="center"/>
        </w:trPr>
        <w:tc>
          <w:tcPr>
            <w:tcW w:w="706" w:type="dxa"/>
            <w:vMerge w:val="continue"/>
            <w:vAlign w:val="center"/>
          </w:tcPr>
          <w:p>
            <w:pPr>
              <w:spacing w:line="300" w:lineRule="exact"/>
              <w:ind w:firstLine="211" w:firstLineChars="100"/>
              <w:rPr>
                <w:rFonts w:hint="eastAsia" w:ascii="仿宋_GB2312" w:hAnsi="仿宋_GB2312" w:eastAsia="仿宋_GB2312" w:cs="仿宋_GB2312"/>
                <w:b/>
                <w:color w:val="000000"/>
                <w:sz w:val="21"/>
                <w:szCs w:val="21"/>
              </w:rPr>
            </w:pPr>
          </w:p>
        </w:tc>
        <w:tc>
          <w:tcPr>
            <w:tcW w:w="705" w:type="dxa"/>
            <w:vMerge w:val="continue"/>
            <w:vAlign w:val="center"/>
          </w:tcPr>
          <w:p>
            <w:pPr>
              <w:spacing w:line="300" w:lineRule="exact"/>
              <w:ind w:firstLine="210" w:firstLineChars="100"/>
              <w:jc w:val="center"/>
              <w:rPr>
                <w:rFonts w:hint="eastAsia" w:ascii="仿宋_GB2312" w:hAnsi="仿宋_GB2312" w:eastAsia="仿宋_GB2312" w:cs="仿宋_GB2312"/>
                <w:sz w:val="21"/>
                <w:szCs w:val="21"/>
              </w:rPr>
            </w:pPr>
          </w:p>
        </w:tc>
        <w:tc>
          <w:tcPr>
            <w:tcW w:w="713" w:type="dxa"/>
            <w:vAlign w:val="center"/>
          </w:tcPr>
          <w:p>
            <w:pPr>
              <w:spacing w:line="300" w:lineRule="exact"/>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4.加强船舶污染管控</w:t>
            </w:r>
          </w:p>
        </w:tc>
        <w:tc>
          <w:tcPr>
            <w:tcW w:w="9454" w:type="dxa"/>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严格执行船检制度,加强船舶污染物设施的监督检查，确保船舶按规定配备污染处理设施并保证设备处于良好运行状态。严禁使用劣质柴油。筹措河船型标准化专项资金,鼓励更新改造和淘汰非标准化船型以及 20 年以上的内河航运船舶;全</w:t>
            </w: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内河和江</w:t>
            </w:r>
            <w:r>
              <w:rPr>
                <w:rFonts w:hint="eastAsia" w:ascii="仿宋_GB2312" w:hAnsi="仿宋_GB2312" w:eastAsia="仿宋_GB2312" w:cs="仿宋_GB2312"/>
                <w:sz w:val="21"/>
                <w:szCs w:val="21"/>
                <w:lang w:eastAsia="zh-CN"/>
              </w:rPr>
              <w:t>河</w:t>
            </w:r>
            <w:r>
              <w:rPr>
                <w:rFonts w:hint="eastAsia" w:ascii="仿宋_GB2312" w:hAnsi="仿宋_GB2312" w:eastAsia="仿宋_GB2312" w:cs="仿宋_GB2312"/>
                <w:sz w:val="21"/>
                <w:szCs w:val="21"/>
              </w:rPr>
              <w:t>直达船舶,积极鼓励和推动企业使用液化天然气(LNG)动力示范船、大长宽比示范船、高能效示范船</w:t>
            </w:r>
            <w:r>
              <w:rPr>
                <w:rFonts w:hint="eastAsia" w:ascii="仿宋_GB2312" w:hAnsi="仿宋_GB2312" w:eastAsia="仿宋_GB2312" w:cs="仿宋_GB2312"/>
                <w:sz w:val="21"/>
                <w:szCs w:val="21"/>
                <w:lang w:eastAsia="zh-CN"/>
              </w:rPr>
              <w:t>。</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spacing w:val="-17"/>
                <w:sz w:val="21"/>
                <w:szCs w:val="21"/>
                <w:lang w:eastAsia="zh-CN"/>
              </w:rPr>
            </w:pPr>
            <w:r>
              <w:rPr>
                <w:rFonts w:hint="eastAsia" w:ascii="仿宋_GB2312" w:hAnsi="仿宋_GB2312" w:eastAsia="仿宋_GB2312" w:cs="仿宋_GB2312"/>
                <w:spacing w:val="-17"/>
                <w:sz w:val="21"/>
                <w:szCs w:val="21"/>
                <w:lang w:eastAsia="zh-CN"/>
              </w:rPr>
              <w:t>县</w:t>
            </w:r>
            <w:r>
              <w:rPr>
                <w:rFonts w:hint="eastAsia" w:ascii="仿宋_GB2312" w:hAnsi="仿宋_GB2312" w:eastAsia="仿宋_GB2312" w:cs="仿宋_GB2312"/>
                <w:spacing w:val="-17"/>
                <w:sz w:val="21"/>
                <w:szCs w:val="21"/>
                <w:lang w:eastAsia="zh-CN"/>
              </w:rPr>
              <w:t>交通运输局</w:t>
            </w:r>
          </w:p>
          <w:p>
            <w:pPr>
              <w:spacing w:line="30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华容</w:t>
            </w:r>
            <w:r>
              <w:rPr>
                <w:rFonts w:hint="eastAsia" w:ascii="仿宋_GB2312" w:hAnsi="仿宋_GB2312" w:eastAsia="仿宋_GB2312" w:cs="仿宋_GB2312"/>
                <w:sz w:val="21"/>
                <w:szCs w:val="21"/>
              </w:rPr>
              <w:t>海事</w:t>
            </w:r>
            <w:r>
              <w:rPr>
                <w:rFonts w:hint="eastAsia" w:ascii="仿宋_GB2312" w:hAnsi="仿宋_GB2312" w:eastAsia="仿宋_GB2312" w:cs="仿宋_GB2312"/>
                <w:sz w:val="21"/>
                <w:szCs w:val="21"/>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6" w:type="dxa"/>
            <w:vMerge w:val="restart"/>
            <w:vAlign w:val="center"/>
          </w:tcPr>
          <w:p>
            <w:pPr>
              <w:spacing w:line="300" w:lineRule="exact"/>
              <w:ind w:firstLine="211" w:firstLineChars="100"/>
              <w:rPr>
                <w:rFonts w:hint="eastAsia" w:ascii="仿宋_GB2312" w:hAnsi="仿宋_GB2312" w:eastAsia="仿宋_GB2312" w:cs="仿宋_GB2312"/>
                <w:b/>
                <w:color w:val="000000"/>
                <w:sz w:val="21"/>
                <w:szCs w:val="21"/>
                <w:lang w:eastAsia="zh-CN"/>
              </w:rPr>
            </w:pPr>
            <w:r>
              <w:rPr>
                <w:rFonts w:hint="eastAsia" w:ascii="仿宋_GB2312" w:hAnsi="仿宋_GB2312" w:cs="仿宋_GB2312"/>
                <w:b/>
                <w:color w:val="000000"/>
                <w:sz w:val="21"/>
                <w:szCs w:val="21"/>
                <w:lang w:val="en-US" w:eastAsia="zh-CN"/>
              </w:rPr>
              <w:t>4</w:t>
            </w:r>
          </w:p>
        </w:tc>
        <w:tc>
          <w:tcPr>
            <w:tcW w:w="705" w:type="dxa"/>
            <w:vMerge w:val="restart"/>
            <w:vAlign w:val="center"/>
          </w:tcPr>
          <w:p>
            <w:pPr>
              <w:spacing w:line="300" w:lineRule="exact"/>
              <w:ind w:firstLine="211" w:firstLineChars="100"/>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深化面源污染治理</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1.严禁秸秆露天焚烧</w:t>
            </w:r>
          </w:p>
        </w:tc>
        <w:tc>
          <w:tcPr>
            <w:tcW w:w="9454" w:type="dxa"/>
            <w:vAlign w:val="center"/>
          </w:tcPr>
          <w:p>
            <w:pPr>
              <w:spacing w:line="300" w:lineRule="exac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强秸秆禁烧管控，形成“县</w:t>
            </w:r>
            <w:r>
              <w:rPr>
                <w:rFonts w:hint="eastAsia" w:ascii="仿宋_GB2312" w:hAnsi="仿宋_GB2312" w:eastAsia="仿宋_GB2312" w:cs="仿宋_GB2312"/>
                <w:sz w:val="21"/>
                <w:szCs w:val="21"/>
                <w:lang w:eastAsia="zh-CN"/>
              </w:rPr>
              <w:t>级</w:t>
            </w:r>
            <w:r>
              <w:rPr>
                <w:rFonts w:hint="eastAsia" w:ascii="仿宋_GB2312" w:hAnsi="仿宋_GB2312" w:eastAsia="仿宋_GB2312" w:cs="仿宋_GB2312"/>
                <w:sz w:val="21"/>
                <w:szCs w:val="21"/>
              </w:rPr>
              <w:t>检查、乡镇监管、村居落实”的网格化监管责任体系。持续开展夏收和秋收阶段秸秆禁烧专项巡查，及时处置露天焚烧秸秆的行为；综合运用无人机、卫星遥感监控等手段，提高秸秆焚烧火点监测的效率和水平；强化</w:t>
            </w:r>
            <w:r>
              <w:rPr>
                <w:rFonts w:hint="eastAsia" w:ascii="仿宋_GB2312" w:hAnsi="仿宋_GB2312" w:eastAsia="仿宋_GB2312" w:cs="仿宋_GB2312"/>
                <w:sz w:val="21"/>
                <w:szCs w:val="21"/>
                <w:lang w:eastAsia="zh-CN"/>
              </w:rPr>
              <w:t>乡镇的</w:t>
            </w:r>
            <w:r>
              <w:rPr>
                <w:rFonts w:hint="eastAsia" w:ascii="仿宋_GB2312" w:hAnsi="仿宋_GB2312" w:eastAsia="仿宋_GB2312" w:cs="仿宋_GB2312"/>
                <w:sz w:val="21"/>
                <w:szCs w:val="21"/>
              </w:rPr>
              <w:t>秸秆禁烧责任，严格落实监管目标责任考核制度</w:t>
            </w:r>
            <w:r>
              <w:rPr>
                <w:rFonts w:hint="eastAsia" w:ascii="仿宋_GB2312" w:hAnsi="仿宋_GB2312" w:eastAsia="仿宋_GB2312" w:cs="仿宋_GB2312"/>
                <w:sz w:val="21"/>
                <w:szCs w:val="21"/>
                <w:lang w:eastAsia="zh-CN"/>
              </w:rPr>
              <w:t>。</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7"/>
                <w:sz w:val="21"/>
                <w:szCs w:val="21"/>
                <w:lang w:eastAsia="zh-CN"/>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706" w:type="dxa"/>
            <w:vMerge w:val="continue"/>
            <w:vAlign w:val="center"/>
          </w:tcPr>
          <w:p>
            <w:pPr>
              <w:spacing w:line="300" w:lineRule="exact"/>
              <w:ind w:firstLine="211" w:firstLineChars="100"/>
              <w:rPr>
                <w:rFonts w:hint="eastAsia" w:ascii="仿宋_GB2312" w:hAnsi="仿宋_GB2312" w:eastAsia="仿宋_GB2312" w:cs="仿宋_GB2312"/>
                <w:b/>
                <w:color w:val="000000"/>
                <w:sz w:val="21"/>
                <w:szCs w:val="21"/>
              </w:rPr>
            </w:pPr>
          </w:p>
        </w:tc>
        <w:tc>
          <w:tcPr>
            <w:tcW w:w="705" w:type="dxa"/>
            <w:vMerge w:val="continue"/>
            <w:vAlign w:val="center"/>
          </w:tcPr>
          <w:p>
            <w:pPr>
              <w:spacing w:line="300" w:lineRule="exact"/>
              <w:ind w:firstLine="210" w:firstLineChars="100"/>
              <w:jc w:val="center"/>
              <w:rPr>
                <w:rFonts w:hint="eastAsia" w:ascii="仿宋_GB2312" w:hAnsi="仿宋_GB2312" w:eastAsia="仿宋_GB2312" w:cs="仿宋_GB2312"/>
                <w:sz w:val="21"/>
                <w:szCs w:val="21"/>
              </w:rPr>
            </w:pP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2.烟花爆竹管理</w:t>
            </w:r>
          </w:p>
        </w:tc>
        <w:tc>
          <w:tcPr>
            <w:tcW w:w="9454"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严格按照《岳阳市城区禁止燃放烟花爆竹管理办法》(市政府令 1 号)加强烟花爆竹燃放管理。</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城管局</w:t>
            </w:r>
          </w:p>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jc w:val="center"/>
        </w:trPr>
        <w:tc>
          <w:tcPr>
            <w:tcW w:w="706" w:type="dxa"/>
            <w:vMerge w:val="continue"/>
            <w:vAlign w:val="center"/>
          </w:tcPr>
          <w:p>
            <w:pPr>
              <w:spacing w:line="300" w:lineRule="exact"/>
              <w:ind w:firstLine="211" w:firstLineChars="100"/>
              <w:rPr>
                <w:rFonts w:hint="eastAsia" w:ascii="仿宋_GB2312" w:hAnsi="仿宋_GB2312" w:eastAsia="仿宋_GB2312" w:cs="仿宋_GB2312"/>
                <w:b/>
                <w:color w:val="000000"/>
                <w:sz w:val="21"/>
                <w:szCs w:val="21"/>
              </w:rPr>
            </w:pPr>
          </w:p>
        </w:tc>
        <w:tc>
          <w:tcPr>
            <w:tcW w:w="705" w:type="dxa"/>
            <w:vMerge w:val="continue"/>
            <w:vAlign w:val="center"/>
          </w:tcPr>
          <w:p>
            <w:pPr>
              <w:spacing w:line="300" w:lineRule="exact"/>
              <w:ind w:firstLine="210" w:firstLineChars="100"/>
              <w:jc w:val="center"/>
              <w:rPr>
                <w:rFonts w:hint="eastAsia" w:ascii="仿宋_GB2312" w:hAnsi="仿宋_GB2312" w:eastAsia="仿宋_GB2312" w:cs="仿宋_GB2312"/>
                <w:sz w:val="21"/>
                <w:szCs w:val="21"/>
              </w:rPr>
            </w:pP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3.餐饮油烟、露天烧烤、焚烧垃圾防治</w:t>
            </w:r>
          </w:p>
        </w:tc>
        <w:tc>
          <w:tcPr>
            <w:tcW w:w="9454" w:type="dxa"/>
            <w:vAlign w:val="center"/>
          </w:tcPr>
          <w:p>
            <w:pPr>
              <w:spacing w:line="30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餐饮油烟污染整治。加强餐饮油烟源头治理，加强油烟净化设施建设及运行监管，城区范围内公共机构食堂、4个灶头（含）以上的饮食服务经营场所安装高效油烟净化装置，加大已安装高效油烟净化装置的单位运维、保养监管力度，确保净化设施高效稳定运行，推进安装油烟在线监测设施。严禁露天烧烤、焚烧垃圾。</w:t>
            </w:r>
          </w:p>
        </w:tc>
        <w:tc>
          <w:tcPr>
            <w:tcW w:w="780"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w:t>
            </w:r>
          </w:p>
        </w:tc>
        <w:tc>
          <w:tcPr>
            <w:tcW w:w="1279" w:type="dxa"/>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城管局</w:t>
            </w:r>
          </w:p>
        </w:tc>
      </w:tr>
    </w:tbl>
    <w:p>
      <w:pPr>
        <w:jc w:val="center"/>
        <w:rPr>
          <w:rFonts w:hint="eastAsia" w:ascii="仿宋_GB2312" w:hAnsi="仿宋_GB2312" w:eastAsia="仿宋_GB2312" w:cs="仿宋_GB2312"/>
          <w:sz w:val="24"/>
        </w:rPr>
      </w:pPr>
    </w:p>
    <w:p>
      <w:pPr>
        <w:spacing w:line="560" w:lineRule="exact"/>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附表</w:t>
      </w:r>
      <w:r>
        <w:rPr>
          <w:rFonts w:ascii="仿宋_GB2312" w:hAnsi="仿宋_GB2312" w:eastAsia="仿宋_GB2312" w:cs="仿宋_GB2312"/>
          <w:color w:val="000000"/>
          <w:sz w:val="32"/>
          <w:szCs w:val="32"/>
          <w:highlight w:val="none"/>
        </w:rPr>
        <w:t>2.1</w:t>
      </w:r>
    </w:p>
    <w:p>
      <w:pPr>
        <w:jc w:val="center"/>
        <w:rPr>
          <w:rFonts w:hint="eastAsia" w:ascii="方正小标宋简体" w:hAnsi="方正小标宋简体" w:eastAsia="方正小标宋简体" w:cs="方正小标宋简体"/>
          <w:b w:val="0"/>
          <w:bCs w:val="0"/>
          <w:color w:val="000000"/>
          <w:sz w:val="44"/>
          <w:szCs w:val="44"/>
          <w:highlight w:val="none"/>
        </w:rPr>
      </w:pPr>
      <w:r>
        <w:rPr>
          <w:rFonts w:hint="eastAsia" w:ascii="方正小标宋简体" w:hAnsi="方正小标宋简体" w:eastAsia="方正小标宋简体" w:cs="方正小标宋简体"/>
          <w:b w:val="0"/>
          <w:bCs w:val="0"/>
          <w:color w:val="000000"/>
          <w:sz w:val="44"/>
          <w:szCs w:val="44"/>
          <w:highlight w:val="none"/>
        </w:rPr>
        <w:t>2021年</w:t>
      </w:r>
      <w:r>
        <w:rPr>
          <w:rFonts w:hint="eastAsia" w:ascii="方正小标宋简体" w:hAnsi="方正小标宋简体" w:eastAsia="方正小标宋简体" w:cs="方正小标宋简体"/>
          <w:b w:val="0"/>
          <w:bCs w:val="0"/>
          <w:color w:val="000000"/>
          <w:sz w:val="44"/>
          <w:szCs w:val="44"/>
          <w:highlight w:val="none"/>
          <w:lang w:eastAsia="zh-CN"/>
        </w:rPr>
        <w:t>华容县</w:t>
      </w:r>
      <w:r>
        <w:rPr>
          <w:rFonts w:hint="eastAsia" w:ascii="方正小标宋简体" w:hAnsi="方正小标宋简体" w:eastAsia="方正小标宋简体" w:cs="方正小标宋简体"/>
          <w:b w:val="0"/>
          <w:bCs w:val="0"/>
          <w:color w:val="000000"/>
          <w:sz w:val="44"/>
          <w:szCs w:val="44"/>
          <w:highlight w:val="none"/>
        </w:rPr>
        <w:t>水污染防治攻坚主要任务清单</w:t>
      </w:r>
    </w:p>
    <w:tbl>
      <w:tblPr>
        <w:tblStyle w:val="16"/>
        <w:tblW w:w="13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8865"/>
        <w:gridCol w:w="148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185" w:type="dxa"/>
            <w:vAlign w:val="center"/>
          </w:tcPr>
          <w:p>
            <w:pPr>
              <w:jc w:val="center"/>
              <w:rPr>
                <w:rFonts w:hint="eastAsia" w:ascii="黑体" w:hAnsi="黑体" w:eastAsia="黑体" w:cs="黑体"/>
                <w:b w:val="0"/>
                <w:bCs/>
                <w:color w:val="000000"/>
                <w:sz w:val="21"/>
                <w:szCs w:val="21"/>
                <w:highlight w:val="none"/>
              </w:rPr>
            </w:pPr>
            <w:r>
              <w:rPr>
                <w:rFonts w:hint="eastAsia" w:ascii="黑体" w:hAnsi="黑体" w:eastAsia="黑体" w:cs="黑体"/>
                <w:b w:val="0"/>
                <w:bCs/>
                <w:color w:val="000000"/>
                <w:sz w:val="21"/>
                <w:szCs w:val="21"/>
                <w:highlight w:val="none"/>
              </w:rPr>
              <w:t>任务类别</w:t>
            </w:r>
          </w:p>
        </w:tc>
        <w:tc>
          <w:tcPr>
            <w:tcW w:w="8865" w:type="dxa"/>
            <w:vAlign w:val="center"/>
          </w:tcPr>
          <w:p>
            <w:pPr>
              <w:jc w:val="center"/>
              <w:rPr>
                <w:rFonts w:hint="eastAsia" w:ascii="黑体" w:hAnsi="黑体" w:eastAsia="黑体" w:cs="黑体"/>
                <w:b w:val="0"/>
                <w:bCs/>
                <w:color w:val="000000"/>
                <w:sz w:val="21"/>
                <w:szCs w:val="21"/>
                <w:highlight w:val="none"/>
              </w:rPr>
            </w:pPr>
            <w:r>
              <w:rPr>
                <w:rFonts w:hint="eastAsia" w:ascii="黑体" w:hAnsi="黑体" w:eastAsia="黑体" w:cs="黑体"/>
                <w:b w:val="0"/>
                <w:bCs/>
                <w:color w:val="000000"/>
                <w:sz w:val="21"/>
                <w:szCs w:val="21"/>
                <w:highlight w:val="none"/>
              </w:rPr>
              <w:t>2021年主要任务</w:t>
            </w:r>
          </w:p>
        </w:tc>
        <w:tc>
          <w:tcPr>
            <w:tcW w:w="1486" w:type="dxa"/>
            <w:vAlign w:val="center"/>
          </w:tcPr>
          <w:p>
            <w:pPr>
              <w:jc w:val="center"/>
              <w:rPr>
                <w:rFonts w:hint="eastAsia" w:ascii="黑体" w:hAnsi="黑体" w:eastAsia="黑体" w:cs="黑体"/>
                <w:b w:val="0"/>
                <w:bCs/>
                <w:color w:val="000000"/>
                <w:sz w:val="21"/>
                <w:szCs w:val="21"/>
                <w:highlight w:val="none"/>
              </w:rPr>
            </w:pPr>
            <w:r>
              <w:rPr>
                <w:rFonts w:hint="eastAsia" w:ascii="黑体" w:hAnsi="黑体" w:eastAsia="黑体" w:cs="黑体"/>
                <w:b w:val="0"/>
                <w:bCs/>
                <w:color w:val="000000"/>
                <w:sz w:val="21"/>
                <w:szCs w:val="21"/>
                <w:highlight w:val="none"/>
              </w:rPr>
              <w:t>牵头单位</w:t>
            </w:r>
          </w:p>
        </w:tc>
        <w:tc>
          <w:tcPr>
            <w:tcW w:w="2410" w:type="dxa"/>
            <w:vAlign w:val="center"/>
          </w:tcPr>
          <w:p>
            <w:pPr>
              <w:jc w:val="center"/>
              <w:rPr>
                <w:rFonts w:hint="eastAsia" w:ascii="黑体" w:hAnsi="黑体" w:eastAsia="黑体" w:cs="黑体"/>
                <w:b w:val="0"/>
                <w:bCs/>
                <w:color w:val="000000"/>
                <w:sz w:val="21"/>
                <w:szCs w:val="21"/>
                <w:highlight w:val="none"/>
              </w:rPr>
            </w:pPr>
            <w:r>
              <w:rPr>
                <w:rFonts w:hint="eastAsia" w:ascii="黑体" w:hAnsi="黑体" w:eastAsia="黑体" w:cs="黑体"/>
                <w:b w:val="0"/>
                <w:bCs/>
                <w:color w:val="000000"/>
                <w:sz w:val="21"/>
                <w:szCs w:val="21"/>
                <w:highlight w:val="none"/>
              </w:rPr>
              <w:t>参与单位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1185"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1</w:t>
            </w:r>
            <w:r>
              <w:rPr>
                <w:rFonts w:hint="eastAsia" w:ascii="仿宋_GB2312" w:hAnsi="仿宋_GB2312" w:eastAsia="仿宋_GB2312" w:cs="仿宋_GB2312"/>
                <w:b/>
                <w:bCs/>
                <w:color w:val="000000"/>
                <w:sz w:val="21"/>
                <w:szCs w:val="21"/>
                <w:highlight w:val="none"/>
              </w:rPr>
              <w:t>、统筹推进长江沿线治污治岸治渔</w:t>
            </w: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推进落实《湖南省沿江化工企业搬迁改造实施方案》，加快推进长江经济带化工整治专项行动，长江（</w:t>
            </w:r>
            <w:r>
              <w:rPr>
                <w:rFonts w:hint="eastAsia" w:ascii="仿宋_GB2312" w:hAnsi="仿宋_GB2312" w:eastAsia="仿宋_GB2312" w:cs="仿宋_GB2312"/>
                <w:color w:val="000000"/>
                <w:sz w:val="21"/>
                <w:szCs w:val="21"/>
                <w:highlight w:val="none"/>
                <w:lang w:eastAsia="zh-CN"/>
              </w:rPr>
              <w:t>华容</w:t>
            </w:r>
            <w:r>
              <w:rPr>
                <w:rFonts w:hint="eastAsia" w:ascii="仿宋_GB2312" w:hAnsi="仿宋_GB2312" w:eastAsia="仿宋_GB2312" w:cs="仿宋_GB2312"/>
                <w:color w:val="000000"/>
                <w:sz w:val="21"/>
                <w:szCs w:val="21"/>
                <w:highlight w:val="none"/>
              </w:rPr>
              <w:t>段）岸线</w:t>
            </w:r>
            <w:r>
              <w:rPr>
                <w:rFonts w:ascii="仿宋_GB2312" w:hAnsi="仿宋_GB2312" w:eastAsia="仿宋_GB2312" w:cs="仿宋_GB2312"/>
                <w:color w:val="000000"/>
                <w:sz w:val="21"/>
                <w:szCs w:val="21"/>
                <w:highlight w:val="none"/>
              </w:rPr>
              <w:t>1</w:t>
            </w:r>
            <w:r>
              <w:rPr>
                <w:rFonts w:hint="eastAsia" w:ascii="仿宋_GB2312" w:hAnsi="仿宋_GB2312" w:eastAsia="仿宋_GB2312" w:cs="仿宋_GB2312"/>
                <w:color w:val="000000"/>
                <w:sz w:val="21"/>
                <w:szCs w:val="21"/>
                <w:highlight w:val="none"/>
              </w:rPr>
              <w:t>公里范围内不准新增化工园区，依法淘汰取缔违法违规工业园区。</w:t>
            </w:r>
          </w:p>
        </w:tc>
        <w:tc>
          <w:tcPr>
            <w:tcW w:w="1486" w:type="dxa"/>
            <w:vAlign w:val="center"/>
          </w:tcPr>
          <w:p>
            <w:pPr>
              <w:jc w:val="center"/>
              <w:rPr>
                <w:rFonts w:hint="eastAsia" w:ascii="仿宋" w:hAnsi="仿宋" w:eastAsia="仿宋" w:cs="仿宋"/>
                <w:sz w:val="21"/>
                <w:szCs w:val="21"/>
              </w:rPr>
            </w:pPr>
            <w:r>
              <w:rPr>
                <w:rFonts w:hint="eastAsia" w:ascii="仿宋" w:hAnsi="仿宋" w:eastAsia="仿宋" w:cs="仿宋"/>
                <w:sz w:val="21"/>
                <w:szCs w:val="21"/>
                <w:lang w:eastAsia="zh-CN"/>
              </w:rPr>
              <w:t>县</w:t>
            </w:r>
            <w:r>
              <w:rPr>
                <w:rFonts w:hint="eastAsia" w:ascii="仿宋" w:hAnsi="仿宋" w:eastAsia="仿宋" w:cs="仿宋"/>
                <w:sz w:val="21"/>
                <w:szCs w:val="21"/>
              </w:rPr>
              <w:t>工信局</w:t>
            </w:r>
          </w:p>
          <w:p>
            <w:pPr>
              <w:pStyle w:val="2"/>
              <w:rPr>
                <w:rFonts w:hint="eastAsia" w:eastAsia="仿宋_GB2312"/>
                <w:lang w:eastAsia="zh-CN"/>
              </w:rPr>
            </w:pPr>
            <w:r>
              <w:rPr>
                <w:rFonts w:hint="eastAsia" w:ascii="仿宋_GB2312" w:hAnsi="仿宋_GB2312" w:eastAsia="仿宋_GB2312" w:cs="仿宋_GB2312"/>
                <w:color w:val="000000"/>
                <w:sz w:val="21"/>
                <w:szCs w:val="21"/>
                <w:highlight w:val="none"/>
                <w:lang w:eastAsia="zh-CN"/>
              </w:rPr>
              <w:t>工业集中区</w:t>
            </w:r>
          </w:p>
        </w:tc>
        <w:tc>
          <w:tcPr>
            <w:tcW w:w="2410"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县</w:t>
            </w:r>
            <w:r>
              <w:rPr>
                <w:rFonts w:hint="eastAsia" w:ascii="仿宋" w:hAnsi="仿宋" w:eastAsia="仿宋" w:cs="仿宋"/>
                <w:sz w:val="21"/>
                <w:szCs w:val="21"/>
              </w:rPr>
              <w:t>发改</w:t>
            </w:r>
            <w:r>
              <w:rPr>
                <w:rFonts w:hint="eastAsia" w:ascii="仿宋" w:hAnsi="仿宋" w:eastAsia="仿宋" w:cs="仿宋"/>
                <w:sz w:val="21"/>
                <w:szCs w:val="21"/>
                <w:lang w:eastAsia="zh-CN"/>
              </w:rPr>
              <w:t>局</w:t>
            </w:r>
          </w:p>
          <w:p>
            <w:pPr>
              <w:jc w:val="center"/>
              <w:rPr>
                <w:rFonts w:hint="eastAsia" w:ascii="仿宋" w:hAnsi="仿宋" w:eastAsia="仿宋" w:cs="仿宋"/>
                <w:sz w:val="21"/>
                <w:szCs w:val="21"/>
              </w:rPr>
            </w:pPr>
            <w:r>
              <w:rPr>
                <w:rFonts w:hint="eastAsia" w:ascii="仿宋" w:hAnsi="仿宋" w:eastAsia="仿宋" w:cs="仿宋"/>
                <w:sz w:val="21"/>
                <w:szCs w:val="21"/>
              </w:rPr>
              <w:t>市生态环境局</w:t>
            </w:r>
          </w:p>
          <w:p>
            <w:pPr>
              <w:pStyle w:val="2"/>
              <w:ind w:firstLine="630" w:firstLineChars="300"/>
              <w:rPr>
                <w:rFonts w:hint="eastAsia" w:eastAsia="仿宋_GB2312"/>
                <w:sz w:val="21"/>
                <w:szCs w:val="21"/>
                <w:lang w:eastAsia="zh-CN"/>
              </w:rPr>
            </w:pPr>
            <w:r>
              <w:rPr>
                <w:rFonts w:hint="eastAsia" w:ascii="仿宋_GB2312" w:hAnsi="仿宋_GB2312" w:eastAsia="仿宋_GB2312" w:cs="仿宋_GB2312"/>
                <w:color w:val="000000"/>
                <w:sz w:val="21"/>
                <w:szCs w:val="21"/>
                <w:highlight w:val="none"/>
                <w:lang w:eastAsia="zh-CN"/>
              </w:rPr>
              <w:t>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1185" w:type="dxa"/>
            <w:vMerge w:val="continue"/>
            <w:vAlign w:val="center"/>
          </w:tcPr>
          <w:p>
            <w:pPr>
              <w:jc w:val="left"/>
              <w:rPr>
                <w:rFonts w:ascii="仿宋_GB2312" w:hAnsi="仿宋_GB2312" w:eastAsia="仿宋_GB2312" w:cs="仿宋_GB2312"/>
                <w:b/>
                <w:bCs/>
                <w:color w:val="000000"/>
                <w:sz w:val="21"/>
                <w:szCs w:val="21"/>
                <w:highlight w:val="none"/>
              </w:rPr>
            </w:pP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推进排污口排查整治工作，全面查清各类排污口情况和存在的问题，实施分类管理，按照有关技术规范要求落实整治措施。形成“一口一策”，找准排口问题，制定整改措施并落实。</w:t>
            </w:r>
          </w:p>
        </w:tc>
        <w:tc>
          <w:tcPr>
            <w:tcW w:w="1486" w:type="dxa"/>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市生态环境局</w:t>
            </w:r>
            <w:r>
              <w:rPr>
                <w:rFonts w:hint="eastAsia" w:ascii="仿宋_GB2312" w:hAnsi="仿宋_GB2312" w:eastAsia="仿宋_GB2312" w:cs="仿宋_GB2312"/>
                <w:color w:val="000000"/>
                <w:sz w:val="21"/>
                <w:szCs w:val="21"/>
                <w:highlight w:val="none"/>
                <w:lang w:eastAsia="zh-CN"/>
              </w:rPr>
              <w:t>华容分局</w:t>
            </w:r>
          </w:p>
        </w:tc>
        <w:tc>
          <w:tcPr>
            <w:tcW w:w="2410" w:type="dxa"/>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东山镇人民政府</w:t>
            </w:r>
          </w:p>
          <w:p>
            <w:pPr>
              <w:pStyle w:val="2"/>
              <w:ind w:firstLine="630" w:firstLineChars="300"/>
              <w:rPr>
                <w:rFonts w:hint="eastAsia"/>
                <w:sz w:val="21"/>
                <w:szCs w:val="21"/>
                <w:lang w:eastAsia="zh-CN"/>
              </w:rPr>
            </w:pPr>
            <w:r>
              <w:rPr>
                <w:rFonts w:hint="eastAsia" w:ascii="仿宋_GB2312" w:hAnsi="仿宋_GB2312" w:eastAsia="仿宋_GB2312" w:cs="仿宋_GB2312"/>
                <w:color w:val="000000"/>
                <w:sz w:val="21"/>
                <w:szCs w:val="21"/>
                <w:highlight w:val="none"/>
                <w:lang w:eastAsia="zh-CN"/>
              </w:rPr>
              <w:t>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jc w:val="center"/>
        </w:trPr>
        <w:tc>
          <w:tcPr>
            <w:tcW w:w="1185" w:type="dxa"/>
            <w:vMerge w:val="continue"/>
            <w:vAlign w:val="center"/>
          </w:tcPr>
          <w:p>
            <w:pPr>
              <w:jc w:val="left"/>
              <w:rPr>
                <w:rFonts w:ascii="仿宋_GB2312" w:hAnsi="仿宋_GB2312" w:eastAsia="仿宋_GB2312" w:cs="仿宋_GB2312"/>
                <w:b/>
                <w:bCs/>
                <w:color w:val="000000"/>
                <w:sz w:val="21"/>
                <w:szCs w:val="21"/>
                <w:highlight w:val="none"/>
              </w:rPr>
            </w:pP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rPr>
              <w:t>依法划定禁止采砂区和禁止采砂期，严格控制采砂区域、采砂总量和采砂区域内的采砂船舶数量。</w:t>
            </w:r>
          </w:p>
        </w:tc>
        <w:tc>
          <w:tcPr>
            <w:tcW w:w="1486" w:type="dxa"/>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eastAsia="zh-CN"/>
              </w:rPr>
              <w:t>县</w:t>
            </w:r>
            <w:r>
              <w:rPr>
                <w:rFonts w:hint="eastAsia" w:ascii="仿宋_GB2312" w:hAnsi="仿宋_GB2312" w:eastAsia="仿宋_GB2312" w:cs="仿宋_GB2312"/>
                <w:color w:val="000000"/>
                <w:kern w:val="0"/>
                <w:sz w:val="21"/>
                <w:szCs w:val="21"/>
                <w:highlight w:val="none"/>
              </w:rPr>
              <w:t>水利局</w:t>
            </w:r>
          </w:p>
        </w:tc>
        <w:tc>
          <w:tcPr>
            <w:tcW w:w="2410" w:type="dxa"/>
            <w:vAlign w:val="center"/>
          </w:tcPr>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县</w:t>
            </w:r>
            <w:r>
              <w:rPr>
                <w:rFonts w:hint="eastAsia" w:ascii="仿宋_GB2312" w:hAnsi="仿宋_GB2312" w:eastAsia="仿宋_GB2312" w:cs="仿宋_GB2312"/>
                <w:color w:val="000000"/>
                <w:kern w:val="0"/>
                <w:sz w:val="21"/>
                <w:szCs w:val="21"/>
                <w:highlight w:val="none"/>
              </w:rPr>
              <w:t>交通运输局</w:t>
            </w:r>
          </w:p>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县</w:t>
            </w:r>
            <w:r>
              <w:rPr>
                <w:rFonts w:hint="eastAsia" w:ascii="仿宋_GB2312" w:hAnsi="仿宋_GB2312" w:eastAsia="仿宋_GB2312" w:cs="仿宋_GB2312"/>
                <w:color w:val="000000"/>
                <w:kern w:val="0"/>
                <w:sz w:val="21"/>
                <w:szCs w:val="21"/>
                <w:highlight w:val="none"/>
              </w:rPr>
              <w:t>农业农村局</w:t>
            </w:r>
          </w:p>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市生态环境局</w:t>
            </w:r>
            <w:r>
              <w:rPr>
                <w:rFonts w:hint="eastAsia" w:ascii="仿宋_GB2312" w:hAnsi="仿宋_GB2312" w:eastAsia="仿宋_GB2312" w:cs="仿宋_GB2312"/>
                <w:color w:val="000000"/>
                <w:sz w:val="21"/>
                <w:szCs w:val="21"/>
                <w:highlight w:val="none"/>
                <w:lang w:eastAsia="zh-CN"/>
              </w:rPr>
              <w:t>华容分局</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eastAsia="zh-CN"/>
              </w:rPr>
              <w:t>县</w:t>
            </w:r>
            <w:r>
              <w:rPr>
                <w:rFonts w:hint="eastAsia" w:ascii="仿宋_GB2312" w:hAnsi="仿宋_GB2312" w:eastAsia="仿宋_GB2312" w:cs="仿宋_GB2312"/>
                <w:color w:val="000000"/>
                <w:kern w:val="0"/>
                <w:sz w:val="21"/>
                <w:szCs w:val="21"/>
                <w:highlight w:val="none"/>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1185" w:type="dxa"/>
            <w:vMerge w:val="continue"/>
            <w:vAlign w:val="center"/>
          </w:tcPr>
          <w:p>
            <w:pPr>
              <w:jc w:val="left"/>
              <w:rPr>
                <w:rFonts w:ascii="仿宋_GB2312" w:hAnsi="仿宋_GB2312" w:eastAsia="仿宋_GB2312" w:cs="仿宋_GB2312"/>
                <w:b/>
                <w:bCs/>
                <w:color w:val="000000"/>
                <w:sz w:val="21"/>
                <w:szCs w:val="21"/>
                <w:highlight w:val="none"/>
              </w:rPr>
            </w:pP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rPr>
              <w:t>严格落实长江十年禁渔，加强长江流域禁捕执法监督工作，组织开展打击电鱼、毒鱼、炸鱼等破坏渔业资源和生态环境的非法捕捞行为。</w:t>
            </w:r>
            <w:r>
              <w:rPr>
                <w:rFonts w:hint="eastAsia" w:ascii="仿宋_GB2312" w:hAnsi="仿宋_GB2312" w:eastAsia="仿宋_GB2312" w:cs="仿宋_GB2312"/>
                <w:color w:val="000000"/>
                <w:sz w:val="21"/>
                <w:szCs w:val="21"/>
                <w:highlight w:val="none"/>
              </w:rPr>
              <w:t>加强渔政执法，严厉打击电鱼、毒渔、炸鱼等破坏渔业资源和生态环境的非法捕捞行为。</w:t>
            </w:r>
          </w:p>
        </w:tc>
        <w:tc>
          <w:tcPr>
            <w:tcW w:w="1486" w:type="dxa"/>
            <w:vAlign w:val="center"/>
          </w:tcPr>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县</w:t>
            </w:r>
            <w:r>
              <w:rPr>
                <w:rFonts w:hint="eastAsia" w:ascii="仿宋_GB2312" w:hAnsi="仿宋_GB2312" w:eastAsia="仿宋_GB2312" w:cs="仿宋_GB2312"/>
                <w:color w:val="000000"/>
                <w:kern w:val="0"/>
                <w:sz w:val="21"/>
                <w:szCs w:val="21"/>
                <w:highlight w:val="none"/>
              </w:rPr>
              <w:t>农业农村局</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eastAsia="zh-CN"/>
              </w:rPr>
              <w:t>县</w:t>
            </w:r>
            <w:r>
              <w:rPr>
                <w:rFonts w:hint="eastAsia" w:ascii="仿宋_GB2312" w:hAnsi="仿宋_GB2312" w:eastAsia="仿宋_GB2312" w:cs="仿宋_GB2312"/>
                <w:color w:val="000000"/>
                <w:kern w:val="0"/>
                <w:sz w:val="21"/>
                <w:szCs w:val="21"/>
                <w:highlight w:val="none"/>
              </w:rPr>
              <w:t>公安局</w:t>
            </w:r>
          </w:p>
        </w:tc>
        <w:tc>
          <w:tcPr>
            <w:tcW w:w="2410" w:type="dxa"/>
            <w:vAlign w:val="center"/>
          </w:tcPr>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县</w:t>
            </w:r>
            <w:r>
              <w:rPr>
                <w:rFonts w:hint="eastAsia" w:ascii="仿宋_GB2312" w:hAnsi="仿宋_GB2312" w:eastAsia="仿宋_GB2312" w:cs="仿宋_GB2312"/>
                <w:color w:val="000000"/>
                <w:kern w:val="0"/>
                <w:sz w:val="21"/>
                <w:szCs w:val="21"/>
                <w:highlight w:val="none"/>
              </w:rPr>
              <w:t>市场监管局</w:t>
            </w:r>
          </w:p>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县</w:t>
            </w:r>
            <w:r>
              <w:rPr>
                <w:rFonts w:hint="eastAsia" w:ascii="仿宋_GB2312" w:hAnsi="仿宋_GB2312" w:eastAsia="仿宋_GB2312" w:cs="仿宋_GB2312"/>
                <w:color w:val="000000"/>
                <w:kern w:val="0"/>
                <w:sz w:val="21"/>
                <w:szCs w:val="21"/>
                <w:highlight w:val="none"/>
              </w:rPr>
              <w:t>交通运输局</w:t>
            </w:r>
          </w:p>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市生态环境局</w:t>
            </w:r>
            <w:r>
              <w:rPr>
                <w:rFonts w:hint="eastAsia" w:ascii="仿宋_GB2312" w:hAnsi="仿宋_GB2312" w:eastAsia="仿宋_GB2312" w:cs="仿宋_GB2312"/>
                <w:color w:val="000000"/>
                <w:sz w:val="21"/>
                <w:szCs w:val="21"/>
                <w:highlight w:val="none"/>
                <w:lang w:eastAsia="zh-CN"/>
              </w:rPr>
              <w:t>华容分局</w:t>
            </w:r>
          </w:p>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eastAsia="zh-CN"/>
              </w:rPr>
              <w:t>县</w:t>
            </w:r>
            <w:r>
              <w:rPr>
                <w:rFonts w:hint="eastAsia" w:ascii="仿宋_GB2312" w:hAnsi="仿宋_GB2312" w:eastAsia="仿宋_GB2312" w:cs="仿宋_GB2312"/>
                <w:color w:val="000000"/>
                <w:kern w:val="0"/>
                <w:sz w:val="21"/>
                <w:szCs w:val="21"/>
                <w:highlight w:val="none"/>
              </w:rPr>
              <w:t>水利局</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eastAsia="zh-CN"/>
              </w:rPr>
              <w:t>县</w:t>
            </w:r>
            <w:r>
              <w:rPr>
                <w:rFonts w:hint="eastAsia" w:ascii="仿宋_GB2312" w:hAnsi="仿宋_GB2312" w:eastAsia="仿宋_GB2312" w:cs="仿宋_GB2312"/>
                <w:color w:val="000000"/>
                <w:kern w:val="0"/>
                <w:sz w:val="21"/>
                <w:szCs w:val="21"/>
                <w:highlight w:val="none"/>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185" w:type="dxa"/>
            <w:vMerge w:val="restart"/>
            <w:vAlign w:val="center"/>
          </w:tcPr>
          <w:p>
            <w:pPr>
              <w:jc w:val="left"/>
              <w:rPr>
                <w:rFonts w:ascii="仿宋_GB2312" w:hAnsi="仿宋_GB2312" w:eastAsia="仿宋_GB2312" w:cs="仿宋_GB2312"/>
                <w:b/>
                <w:bCs/>
                <w:color w:val="000000"/>
                <w:kern w:val="0"/>
                <w:sz w:val="21"/>
                <w:szCs w:val="21"/>
                <w:highlight w:val="none"/>
              </w:rPr>
            </w:pPr>
            <w:r>
              <w:rPr>
                <w:rFonts w:ascii="仿宋_GB2312" w:hAnsi="仿宋_GB2312" w:eastAsia="仿宋_GB2312" w:cs="仿宋_GB2312"/>
                <w:b/>
                <w:bCs/>
                <w:color w:val="000000"/>
                <w:sz w:val="21"/>
                <w:szCs w:val="21"/>
                <w:highlight w:val="none"/>
              </w:rPr>
              <w:t>2</w:t>
            </w:r>
            <w:r>
              <w:rPr>
                <w:rFonts w:hint="eastAsia" w:ascii="仿宋_GB2312" w:hAnsi="仿宋_GB2312" w:eastAsia="仿宋_GB2312" w:cs="仿宋_GB2312"/>
                <w:b/>
                <w:bCs/>
                <w:color w:val="000000"/>
                <w:sz w:val="21"/>
                <w:szCs w:val="21"/>
                <w:highlight w:val="none"/>
              </w:rPr>
              <w:t>、持续加强饮用水水源保护</w:t>
            </w: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县级以上饮用水源安装在线监测设备，每季度进行一次全分析。</w:t>
            </w:r>
          </w:p>
        </w:tc>
        <w:tc>
          <w:tcPr>
            <w:tcW w:w="1486" w:type="dxa"/>
            <w:vMerge w:val="restart"/>
            <w:vAlign w:val="center"/>
          </w:tcPr>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sz w:val="21"/>
                <w:szCs w:val="21"/>
                <w:highlight w:val="none"/>
              </w:rPr>
              <w:t>市生态环境局</w:t>
            </w:r>
            <w:r>
              <w:rPr>
                <w:rFonts w:hint="eastAsia" w:ascii="仿宋_GB2312" w:hAnsi="仿宋_GB2312" w:eastAsia="仿宋_GB2312" w:cs="仿宋_GB2312"/>
                <w:color w:val="000000"/>
                <w:sz w:val="21"/>
                <w:szCs w:val="21"/>
                <w:highlight w:val="none"/>
                <w:lang w:eastAsia="zh-CN"/>
              </w:rPr>
              <w:t>华容分局</w:t>
            </w:r>
          </w:p>
        </w:tc>
        <w:tc>
          <w:tcPr>
            <w:tcW w:w="2410" w:type="dxa"/>
            <w:vMerge w:val="restart"/>
            <w:vAlign w:val="center"/>
          </w:tcPr>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sz w:val="21"/>
                <w:szCs w:val="21"/>
                <w:highlight w:val="none"/>
                <w:lang w:eastAsia="zh-CN"/>
              </w:rPr>
              <w:t>相关乡镇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185" w:type="dxa"/>
            <w:vMerge w:val="continue"/>
            <w:vAlign w:val="center"/>
          </w:tcPr>
          <w:p>
            <w:pPr>
              <w:jc w:val="left"/>
              <w:rPr>
                <w:rFonts w:ascii="仿宋_GB2312" w:hAnsi="仿宋_GB2312" w:eastAsia="仿宋_GB2312" w:cs="仿宋_GB2312"/>
                <w:b/>
                <w:bCs/>
                <w:color w:val="000000"/>
                <w:kern w:val="0"/>
                <w:sz w:val="21"/>
                <w:szCs w:val="21"/>
                <w:highlight w:val="none"/>
              </w:rPr>
            </w:pP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每季度对县级以上饮用水源水质进行信息公开。</w:t>
            </w:r>
          </w:p>
        </w:tc>
        <w:tc>
          <w:tcPr>
            <w:tcW w:w="1486" w:type="dxa"/>
            <w:vMerge w:val="continue"/>
            <w:vAlign w:val="center"/>
          </w:tcPr>
          <w:p>
            <w:pPr>
              <w:jc w:val="center"/>
              <w:rPr>
                <w:rFonts w:ascii="仿宋_GB2312" w:hAnsi="仿宋_GB2312" w:eastAsia="仿宋_GB2312" w:cs="仿宋_GB2312"/>
                <w:color w:val="000000"/>
                <w:kern w:val="0"/>
                <w:sz w:val="21"/>
                <w:szCs w:val="21"/>
                <w:highlight w:val="none"/>
              </w:rPr>
            </w:pPr>
          </w:p>
        </w:tc>
        <w:tc>
          <w:tcPr>
            <w:tcW w:w="2410" w:type="dxa"/>
            <w:vMerge w:val="continue"/>
            <w:vAlign w:val="center"/>
          </w:tcPr>
          <w:p>
            <w:pPr>
              <w:jc w:val="center"/>
              <w:rPr>
                <w:rFonts w:ascii="仿宋_GB2312" w:hAnsi="仿宋_GB2312" w:eastAsia="仿宋_GB2312" w:cs="仿宋_GB2312"/>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185" w:type="dxa"/>
            <w:vMerge w:val="continue"/>
            <w:vAlign w:val="center"/>
          </w:tcPr>
          <w:p>
            <w:pPr>
              <w:jc w:val="left"/>
              <w:rPr>
                <w:rFonts w:ascii="仿宋_GB2312" w:hAnsi="仿宋_GB2312" w:eastAsia="仿宋_GB2312" w:cs="仿宋_GB2312"/>
                <w:b/>
                <w:bCs/>
                <w:color w:val="000000"/>
                <w:kern w:val="0"/>
                <w:sz w:val="21"/>
                <w:szCs w:val="21"/>
                <w:highlight w:val="none"/>
              </w:rPr>
            </w:pP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加大对已划定的饮用水水源地的环境监管力度，防治已整改的问题反弹。</w:t>
            </w:r>
          </w:p>
        </w:tc>
        <w:tc>
          <w:tcPr>
            <w:tcW w:w="1486" w:type="dxa"/>
            <w:vAlign w:val="center"/>
          </w:tcPr>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sz w:val="21"/>
                <w:szCs w:val="21"/>
                <w:highlight w:val="none"/>
              </w:rPr>
              <w:t>市生态环境局</w:t>
            </w:r>
            <w:r>
              <w:rPr>
                <w:rFonts w:hint="eastAsia" w:ascii="仿宋_GB2312" w:hAnsi="仿宋_GB2312" w:eastAsia="仿宋_GB2312" w:cs="仿宋_GB2312"/>
                <w:color w:val="000000"/>
                <w:sz w:val="21"/>
                <w:szCs w:val="21"/>
                <w:highlight w:val="none"/>
                <w:lang w:eastAsia="zh-CN"/>
              </w:rPr>
              <w:t>华容分局</w:t>
            </w:r>
          </w:p>
        </w:tc>
        <w:tc>
          <w:tcPr>
            <w:tcW w:w="2410" w:type="dxa"/>
            <w:vAlign w:val="center"/>
          </w:tcPr>
          <w:p>
            <w:pPr>
              <w:jc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sz w:val="21"/>
                <w:szCs w:val="21"/>
                <w:highlight w:val="none"/>
                <w:lang w:eastAsia="zh-CN"/>
              </w:rPr>
              <w:t>相关乡镇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185" w:type="dxa"/>
            <w:vMerge w:val="continue"/>
            <w:vAlign w:val="center"/>
          </w:tcPr>
          <w:p>
            <w:pPr>
              <w:jc w:val="left"/>
              <w:rPr>
                <w:rFonts w:ascii="仿宋_GB2312" w:hAnsi="仿宋_GB2312" w:eastAsia="仿宋_GB2312" w:cs="仿宋_GB2312"/>
                <w:b/>
                <w:bCs/>
                <w:color w:val="000000"/>
                <w:kern w:val="0"/>
                <w:sz w:val="21"/>
                <w:szCs w:val="21"/>
                <w:highlight w:val="none"/>
              </w:rPr>
            </w:pP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开展“千人以上”集中式饮用水水源地保护区划定、环境问题排查整治工作。完成对“千人以上”饮用水水源地的保护区划定，对保护区周边问题进行排查、整改。</w:t>
            </w:r>
          </w:p>
        </w:tc>
        <w:tc>
          <w:tcPr>
            <w:tcW w:w="1486" w:type="dxa"/>
            <w:vAlign w:val="center"/>
          </w:tcPr>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sz w:val="21"/>
                <w:szCs w:val="21"/>
                <w:highlight w:val="none"/>
              </w:rPr>
              <w:t>市生态环境局</w:t>
            </w:r>
            <w:r>
              <w:rPr>
                <w:rFonts w:hint="eastAsia" w:ascii="仿宋_GB2312" w:hAnsi="仿宋_GB2312" w:eastAsia="仿宋_GB2312" w:cs="仿宋_GB2312"/>
                <w:color w:val="000000"/>
                <w:sz w:val="21"/>
                <w:szCs w:val="21"/>
                <w:highlight w:val="none"/>
                <w:lang w:eastAsia="zh-CN"/>
              </w:rPr>
              <w:t>华容分局</w:t>
            </w:r>
          </w:p>
        </w:tc>
        <w:tc>
          <w:tcPr>
            <w:tcW w:w="2410" w:type="dxa"/>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相关乡镇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1185" w:type="dxa"/>
            <w:vMerge w:val="continue"/>
            <w:vAlign w:val="center"/>
          </w:tcPr>
          <w:p>
            <w:pPr>
              <w:jc w:val="left"/>
              <w:rPr>
                <w:rFonts w:ascii="仿宋_GB2312" w:hAnsi="仿宋_GB2312" w:eastAsia="仿宋_GB2312" w:cs="仿宋_GB2312"/>
                <w:b/>
                <w:bCs/>
                <w:color w:val="000000"/>
                <w:kern w:val="0"/>
                <w:sz w:val="21"/>
                <w:szCs w:val="21"/>
                <w:highlight w:val="none"/>
              </w:rPr>
            </w:pP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继续开展集中式饮用水水源环境状况评估，持续推进集中式饮用水水源规范化建设，加强城镇超标集中式饮用水水源整治。对集中式饮用水水源进行环境状况评估，开展集中式饮用水水源规范化建设。</w:t>
            </w:r>
          </w:p>
        </w:tc>
        <w:tc>
          <w:tcPr>
            <w:tcW w:w="1486" w:type="dxa"/>
            <w:vAlign w:val="center"/>
          </w:tcPr>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sz w:val="21"/>
                <w:szCs w:val="21"/>
                <w:highlight w:val="none"/>
              </w:rPr>
              <w:t>市生态环境局</w:t>
            </w:r>
            <w:r>
              <w:rPr>
                <w:rFonts w:hint="eastAsia" w:ascii="仿宋_GB2312" w:hAnsi="仿宋_GB2312" w:eastAsia="仿宋_GB2312" w:cs="仿宋_GB2312"/>
                <w:color w:val="000000"/>
                <w:sz w:val="21"/>
                <w:szCs w:val="21"/>
                <w:highlight w:val="none"/>
                <w:lang w:eastAsia="zh-CN"/>
              </w:rPr>
              <w:t>华容分局</w:t>
            </w:r>
          </w:p>
        </w:tc>
        <w:tc>
          <w:tcPr>
            <w:tcW w:w="2410" w:type="dxa"/>
            <w:vAlign w:val="center"/>
          </w:tcPr>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sz w:val="21"/>
                <w:szCs w:val="21"/>
                <w:highlight w:val="none"/>
                <w:lang w:eastAsia="zh-CN"/>
              </w:rPr>
              <w:t>相关乡镇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185" w:type="dxa"/>
            <w:vMerge w:val="continue"/>
            <w:vAlign w:val="center"/>
          </w:tcPr>
          <w:p>
            <w:pPr>
              <w:jc w:val="left"/>
              <w:rPr>
                <w:rFonts w:ascii="仿宋_GB2312" w:hAnsi="仿宋_GB2312" w:eastAsia="仿宋_GB2312" w:cs="仿宋_GB2312"/>
                <w:b/>
                <w:bCs/>
                <w:color w:val="000000"/>
                <w:kern w:val="0"/>
                <w:sz w:val="21"/>
                <w:szCs w:val="21"/>
                <w:highlight w:val="none"/>
              </w:rPr>
            </w:pP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全面完成乡镇级及以下集中式饮用水水源基础信息调查。摸清底数，建立台账。</w:t>
            </w:r>
          </w:p>
        </w:tc>
        <w:tc>
          <w:tcPr>
            <w:tcW w:w="1486" w:type="dxa"/>
            <w:vAlign w:val="center"/>
          </w:tcPr>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sz w:val="21"/>
                <w:szCs w:val="21"/>
                <w:highlight w:val="none"/>
              </w:rPr>
              <w:t>市生态环境局</w:t>
            </w:r>
            <w:r>
              <w:rPr>
                <w:rFonts w:hint="eastAsia" w:ascii="仿宋_GB2312" w:hAnsi="仿宋_GB2312" w:eastAsia="仿宋_GB2312" w:cs="仿宋_GB2312"/>
                <w:color w:val="000000"/>
                <w:sz w:val="21"/>
                <w:szCs w:val="21"/>
                <w:highlight w:val="none"/>
                <w:lang w:eastAsia="zh-CN"/>
              </w:rPr>
              <w:t>华容分局</w:t>
            </w:r>
          </w:p>
        </w:tc>
        <w:tc>
          <w:tcPr>
            <w:tcW w:w="2410" w:type="dxa"/>
            <w:vAlign w:val="center"/>
          </w:tcPr>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sz w:val="21"/>
                <w:szCs w:val="21"/>
                <w:highlight w:val="none"/>
                <w:lang w:eastAsia="zh-CN"/>
              </w:rPr>
              <w:t>相关乡镇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1185" w:type="dxa"/>
            <w:vAlign w:val="center"/>
          </w:tcPr>
          <w:p>
            <w:pPr>
              <w:jc w:val="left"/>
              <w:rPr>
                <w:rFonts w:ascii="仿宋_GB2312" w:hAnsi="仿宋_GB2312" w:eastAsia="仿宋_GB2312" w:cs="仿宋_GB2312"/>
                <w:b/>
                <w:bCs/>
                <w:color w:val="000000"/>
                <w:kern w:val="0"/>
                <w:sz w:val="21"/>
                <w:szCs w:val="21"/>
                <w:highlight w:val="none"/>
              </w:rPr>
            </w:pPr>
            <w:r>
              <w:rPr>
                <w:rFonts w:ascii="仿宋_GB2312" w:hAnsi="仿宋_GB2312" w:eastAsia="仿宋_GB2312" w:cs="仿宋_GB2312"/>
                <w:b/>
                <w:bCs/>
                <w:color w:val="000000"/>
                <w:sz w:val="21"/>
                <w:szCs w:val="21"/>
                <w:highlight w:val="none"/>
              </w:rPr>
              <w:t>3</w:t>
            </w:r>
            <w:r>
              <w:rPr>
                <w:rFonts w:hint="eastAsia" w:ascii="仿宋_GB2312" w:hAnsi="仿宋_GB2312" w:eastAsia="仿宋_GB2312" w:cs="仿宋_GB2312"/>
                <w:b/>
                <w:bCs/>
                <w:color w:val="000000"/>
                <w:sz w:val="21"/>
                <w:szCs w:val="21"/>
                <w:highlight w:val="none"/>
              </w:rPr>
              <w:t>、持续推进城乡环境基础设施建设</w:t>
            </w: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城区基本消除生活污水直排口，基本消除老旧城区和城乡结合部生活污水收集处理设施空白区，县城生活污水集中收集率在</w:t>
            </w:r>
            <w:r>
              <w:rPr>
                <w:rFonts w:ascii="仿宋_GB2312" w:hAnsi="仿宋_GB2312" w:eastAsia="仿宋_GB2312" w:cs="仿宋_GB2312"/>
                <w:color w:val="000000"/>
                <w:sz w:val="21"/>
                <w:szCs w:val="21"/>
                <w:highlight w:val="none"/>
              </w:rPr>
              <w:t>2018</w:t>
            </w:r>
            <w:r>
              <w:rPr>
                <w:rFonts w:hint="eastAsia" w:ascii="仿宋_GB2312" w:hAnsi="仿宋_GB2312" w:eastAsia="仿宋_GB2312" w:cs="仿宋_GB2312"/>
                <w:color w:val="000000"/>
                <w:sz w:val="21"/>
                <w:szCs w:val="21"/>
                <w:highlight w:val="none"/>
              </w:rPr>
              <w:t>年基础上分别提高</w:t>
            </w:r>
            <w:r>
              <w:rPr>
                <w:rFonts w:ascii="仿宋_GB2312" w:hAnsi="仿宋_GB2312" w:eastAsia="仿宋_GB2312" w:cs="仿宋_GB2312"/>
                <w:color w:val="000000"/>
                <w:sz w:val="21"/>
                <w:szCs w:val="21"/>
                <w:highlight w:val="none"/>
              </w:rPr>
              <w:t>15</w:t>
            </w:r>
            <w:r>
              <w:rPr>
                <w:rFonts w:hint="eastAsia" w:ascii="仿宋_GB2312" w:hAnsi="仿宋_GB2312" w:eastAsia="仿宋_GB2312" w:cs="仿宋_GB2312"/>
                <w:color w:val="000000"/>
                <w:sz w:val="21"/>
                <w:szCs w:val="21"/>
                <w:highlight w:val="none"/>
              </w:rPr>
              <w:t>个、</w:t>
            </w:r>
            <w:r>
              <w:rPr>
                <w:rFonts w:ascii="仿宋_GB2312" w:hAnsi="仿宋_GB2312" w:eastAsia="仿宋_GB2312" w:cs="仿宋_GB2312"/>
                <w:color w:val="000000"/>
                <w:sz w:val="21"/>
                <w:szCs w:val="21"/>
                <w:highlight w:val="none"/>
              </w:rPr>
              <w:t>12</w:t>
            </w:r>
            <w:r>
              <w:rPr>
                <w:rFonts w:hint="eastAsia" w:ascii="仿宋_GB2312" w:hAnsi="仿宋_GB2312" w:eastAsia="仿宋_GB2312" w:cs="仿宋_GB2312"/>
                <w:color w:val="000000"/>
                <w:sz w:val="21"/>
                <w:szCs w:val="21"/>
                <w:highlight w:val="none"/>
              </w:rPr>
              <w:t>个百分点，继续实施乡镇污水处理设施建设四年行动计划，完成乡镇污水处理设施及配套管网工程。</w:t>
            </w:r>
          </w:p>
        </w:tc>
        <w:tc>
          <w:tcPr>
            <w:tcW w:w="1486" w:type="dxa"/>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县</w:t>
            </w:r>
            <w:r>
              <w:rPr>
                <w:rFonts w:hint="eastAsia" w:ascii="仿宋_GB2312" w:hAnsi="仿宋_GB2312" w:eastAsia="仿宋_GB2312" w:cs="仿宋_GB2312"/>
                <w:color w:val="000000"/>
                <w:sz w:val="21"/>
                <w:szCs w:val="21"/>
                <w:highlight w:val="none"/>
              </w:rPr>
              <w:t>住建局</w:t>
            </w:r>
          </w:p>
        </w:tc>
        <w:tc>
          <w:tcPr>
            <w:tcW w:w="2410"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w:t>
            </w:r>
            <w:r>
              <w:rPr>
                <w:rFonts w:hint="eastAsia" w:ascii="仿宋_GB2312" w:hAnsi="仿宋_GB2312" w:eastAsia="仿宋_GB2312" w:cs="仿宋_GB2312"/>
                <w:color w:val="000000"/>
                <w:sz w:val="21"/>
                <w:szCs w:val="21"/>
                <w:highlight w:val="none"/>
              </w:rPr>
              <w:t>发改</w:t>
            </w:r>
            <w:r>
              <w:rPr>
                <w:rFonts w:hint="eastAsia" w:ascii="仿宋_GB2312" w:hAnsi="仿宋_GB2312" w:eastAsia="仿宋_GB2312" w:cs="仿宋_GB2312"/>
                <w:color w:val="000000"/>
                <w:sz w:val="21"/>
                <w:szCs w:val="21"/>
                <w:highlight w:val="none"/>
                <w:lang w:eastAsia="zh-CN"/>
              </w:rPr>
              <w:t>局</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市生态环境局</w:t>
            </w:r>
            <w:r>
              <w:rPr>
                <w:rFonts w:hint="eastAsia" w:ascii="仿宋_GB2312" w:hAnsi="仿宋_GB2312" w:eastAsia="仿宋_GB2312" w:cs="仿宋_GB2312"/>
                <w:color w:val="000000"/>
                <w:sz w:val="21"/>
                <w:szCs w:val="21"/>
                <w:highlight w:val="none"/>
                <w:lang w:eastAsia="zh-CN"/>
              </w:rPr>
              <w:t>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185" w:type="dxa"/>
            <w:vMerge w:val="restart"/>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4</w:t>
            </w:r>
            <w:r>
              <w:rPr>
                <w:rFonts w:hint="eastAsia" w:ascii="仿宋_GB2312" w:hAnsi="仿宋_GB2312" w:eastAsia="仿宋_GB2312" w:cs="仿宋_GB2312"/>
                <w:b/>
                <w:bCs/>
                <w:color w:val="000000"/>
                <w:sz w:val="21"/>
                <w:szCs w:val="21"/>
                <w:highlight w:val="none"/>
              </w:rPr>
              <w:t>、加强工业园区管理</w:t>
            </w:r>
          </w:p>
        </w:tc>
        <w:tc>
          <w:tcPr>
            <w:tcW w:w="8865" w:type="dxa"/>
            <w:vAlign w:val="center"/>
          </w:tcPr>
          <w:p>
            <w:pP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持续开展工业集聚区专项整治行动，实现工业园区污水管网全覆盖，工业污水集中收集处理、达标排放，在线监控稳定运行。</w:t>
            </w:r>
          </w:p>
        </w:tc>
        <w:tc>
          <w:tcPr>
            <w:tcW w:w="1486" w:type="dxa"/>
            <w:vAlign w:val="center"/>
          </w:tcPr>
          <w:p>
            <w:pPr>
              <w:jc w:val="center"/>
              <w:rPr>
                <w:rFonts w:hint="eastAsia" w:ascii="仿宋_GB2312" w:hAnsi="仿宋_GB2312" w:eastAsia="仿宋_GB2312" w:cs="仿宋_GB2312"/>
                <w:color w:val="000000"/>
                <w:kern w:val="0"/>
                <w:sz w:val="21"/>
                <w:szCs w:val="21"/>
                <w:highlight w:val="none"/>
                <w:lang w:eastAsia="zh-CN"/>
              </w:rPr>
            </w:pPr>
            <w:r>
              <w:rPr>
                <w:rFonts w:hint="eastAsia" w:ascii="仿宋_GB2312" w:hAnsi="仿宋_GB2312" w:eastAsia="仿宋_GB2312" w:cs="仿宋_GB2312"/>
                <w:color w:val="000000"/>
                <w:kern w:val="0"/>
                <w:sz w:val="21"/>
                <w:szCs w:val="21"/>
                <w:highlight w:val="none"/>
                <w:lang w:eastAsia="zh-CN"/>
              </w:rPr>
              <w:t>工业集中区</w:t>
            </w:r>
          </w:p>
        </w:tc>
        <w:tc>
          <w:tcPr>
            <w:tcW w:w="2410" w:type="dxa"/>
            <w:vAlign w:val="center"/>
          </w:tcPr>
          <w:p>
            <w:pPr>
              <w:jc w:val="center"/>
              <w:rPr>
                <w:rFonts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sz w:val="21"/>
                <w:szCs w:val="21"/>
                <w:highlight w:val="none"/>
              </w:rPr>
              <w:t>市生态环境局</w:t>
            </w:r>
            <w:r>
              <w:rPr>
                <w:rFonts w:hint="eastAsia" w:ascii="仿宋_GB2312" w:hAnsi="仿宋_GB2312" w:eastAsia="仿宋_GB2312" w:cs="仿宋_GB2312"/>
                <w:color w:val="000000"/>
                <w:sz w:val="21"/>
                <w:szCs w:val="21"/>
                <w:highlight w:val="none"/>
                <w:lang w:eastAsia="zh-CN"/>
              </w:rPr>
              <w:t>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jc w:val="center"/>
        </w:trPr>
        <w:tc>
          <w:tcPr>
            <w:tcW w:w="1185" w:type="dxa"/>
            <w:vMerge w:val="continue"/>
            <w:vAlign w:val="center"/>
          </w:tcPr>
          <w:p>
            <w:pPr>
              <w:jc w:val="left"/>
              <w:rPr>
                <w:rFonts w:ascii="仿宋_GB2312" w:hAnsi="仿宋_GB2312" w:eastAsia="仿宋_GB2312" w:cs="仿宋_GB2312"/>
                <w:b/>
                <w:bCs/>
                <w:color w:val="000000"/>
                <w:sz w:val="21"/>
                <w:szCs w:val="21"/>
                <w:highlight w:val="none"/>
              </w:rPr>
            </w:pP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推进园区精细化分类环境管理</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rPr>
              <w:t>评估依托城镇生活污水处理设施处理园区工业废水对出水的影响，对导致出水不能稳定达标的，限期退出城镇污水处理设施，并完成整治。加强城镇污水处理厂的监管，对依托城镇污水处理厂的工业园区进行来水评估，对出水水质不能达标的，限期整改。按计划推进省级及以上园区开展第三方治理工作，启动实施园区环境管理年度报告评估和环境信用评价工作。</w:t>
            </w:r>
          </w:p>
        </w:tc>
        <w:tc>
          <w:tcPr>
            <w:tcW w:w="1486" w:type="dxa"/>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kern w:val="0"/>
                <w:sz w:val="21"/>
                <w:szCs w:val="21"/>
                <w:highlight w:val="none"/>
                <w:lang w:eastAsia="zh-CN"/>
              </w:rPr>
              <w:t>工业集中区</w:t>
            </w:r>
          </w:p>
        </w:tc>
        <w:tc>
          <w:tcPr>
            <w:tcW w:w="2410" w:type="dxa"/>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县</w:t>
            </w:r>
            <w:r>
              <w:rPr>
                <w:rFonts w:hint="eastAsia" w:ascii="仿宋_GB2312" w:hAnsi="仿宋_GB2312" w:eastAsia="仿宋_GB2312" w:cs="仿宋_GB2312"/>
                <w:color w:val="000000"/>
                <w:sz w:val="21"/>
                <w:szCs w:val="21"/>
                <w:highlight w:val="none"/>
              </w:rPr>
              <w:t>住建局</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市生态环境局</w:t>
            </w:r>
            <w:r>
              <w:rPr>
                <w:rFonts w:hint="eastAsia" w:ascii="仿宋_GB2312" w:hAnsi="仿宋_GB2312" w:eastAsia="仿宋_GB2312" w:cs="仿宋_GB2312"/>
                <w:color w:val="000000"/>
                <w:sz w:val="21"/>
                <w:szCs w:val="21"/>
                <w:highlight w:val="none"/>
                <w:lang w:eastAsia="zh-CN"/>
              </w:rPr>
              <w:t>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185" w:type="dxa"/>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5</w:t>
            </w:r>
            <w:r>
              <w:rPr>
                <w:rFonts w:hint="eastAsia" w:ascii="仿宋_GB2312" w:hAnsi="仿宋_GB2312" w:eastAsia="仿宋_GB2312" w:cs="仿宋_GB2312"/>
                <w:b/>
                <w:bCs/>
                <w:color w:val="000000"/>
                <w:sz w:val="21"/>
                <w:szCs w:val="21"/>
                <w:highlight w:val="none"/>
              </w:rPr>
              <w:t>、持续开展黑臭水体整治</w:t>
            </w: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加强已完成整治的黑臭水体的日常监管，组织开展黑臭水体整治“回头看”专项行动，实现长制久清。</w:t>
            </w:r>
          </w:p>
        </w:tc>
        <w:tc>
          <w:tcPr>
            <w:tcW w:w="1486" w:type="dxa"/>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县</w:t>
            </w:r>
            <w:r>
              <w:rPr>
                <w:rFonts w:hint="eastAsia" w:ascii="仿宋_GB2312" w:hAnsi="仿宋_GB2312" w:eastAsia="仿宋_GB2312" w:cs="仿宋_GB2312"/>
                <w:color w:val="000000"/>
                <w:sz w:val="21"/>
                <w:szCs w:val="21"/>
                <w:highlight w:val="none"/>
              </w:rPr>
              <w:t>住建局</w:t>
            </w:r>
          </w:p>
        </w:tc>
        <w:tc>
          <w:tcPr>
            <w:tcW w:w="2410" w:type="dxa"/>
            <w:vAlign w:val="center"/>
          </w:tcPr>
          <w:p>
            <w:pPr>
              <w:jc w:val="center"/>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lang w:eastAsia="zh-CN"/>
              </w:rPr>
              <w:t>县</w:t>
            </w:r>
            <w:r>
              <w:rPr>
                <w:rFonts w:hint="eastAsia" w:ascii="仿宋_GB2312" w:hAnsi="仿宋_GB2312" w:eastAsia="仿宋_GB2312" w:cs="仿宋_GB2312"/>
                <w:color w:val="000000"/>
                <w:sz w:val="21"/>
                <w:szCs w:val="21"/>
                <w:highlight w:val="none"/>
              </w:rPr>
              <w:t>发改</w:t>
            </w:r>
            <w:r>
              <w:rPr>
                <w:rFonts w:hint="eastAsia" w:ascii="仿宋_GB2312" w:hAnsi="仿宋_GB2312" w:eastAsia="仿宋_GB2312" w:cs="仿宋_GB2312"/>
                <w:color w:val="000000"/>
                <w:sz w:val="21"/>
                <w:szCs w:val="21"/>
                <w:highlight w:val="none"/>
                <w:lang w:eastAsia="zh-CN"/>
              </w:rPr>
              <w:t>局</w:t>
            </w:r>
          </w:p>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市生态环境局</w:t>
            </w:r>
            <w:r>
              <w:rPr>
                <w:rFonts w:hint="eastAsia" w:ascii="仿宋_GB2312" w:hAnsi="仿宋_GB2312" w:eastAsia="仿宋_GB2312" w:cs="仿宋_GB2312"/>
                <w:color w:val="000000"/>
                <w:sz w:val="21"/>
                <w:szCs w:val="21"/>
                <w:highlight w:val="none"/>
                <w:lang w:eastAsia="zh-CN"/>
              </w:rPr>
              <w:t>华容分局</w:t>
            </w:r>
          </w:p>
          <w:p>
            <w:pPr>
              <w:pStyle w:val="6"/>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县</w:t>
            </w:r>
            <w:r>
              <w:rPr>
                <w:rFonts w:hint="eastAsia" w:ascii="仿宋_GB2312" w:hAnsi="仿宋_GB2312" w:eastAsia="仿宋_GB2312" w:cs="仿宋_GB2312"/>
                <w:color w:val="000000"/>
                <w:sz w:val="21"/>
                <w:szCs w:val="21"/>
                <w:highlight w:val="none"/>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1185" w:type="dxa"/>
            <w:vAlign w:val="center"/>
          </w:tcPr>
          <w:p>
            <w:pPr>
              <w:jc w:val="left"/>
              <w:rPr>
                <w:rFonts w:ascii="仿宋_GB2312" w:hAnsi="仿宋_GB2312" w:eastAsia="仿宋_GB2312" w:cs="仿宋_GB2312"/>
                <w:b/>
                <w:bCs/>
                <w:color w:val="000000"/>
                <w:sz w:val="21"/>
                <w:szCs w:val="21"/>
                <w:highlight w:val="none"/>
              </w:rPr>
            </w:pPr>
            <w:r>
              <w:rPr>
                <w:rFonts w:ascii="仿宋_GB2312" w:hAnsi="仿宋_GB2312" w:eastAsia="仿宋_GB2312" w:cs="仿宋_GB2312"/>
                <w:b/>
                <w:bCs/>
                <w:color w:val="000000"/>
                <w:sz w:val="21"/>
                <w:szCs w:val="21"/>
                <w:highlight w:val="none"/>
              </w:rPr>
              <w:t>6</w:t>
            </w:r>
            <w:r>
              <w:rPr>
                <w:rFonts w:hint="eastAsia" w:ascii="仿宋_GB2312" w:hAnsi="仿宋_GB2312" w:eastAsia="仿宋_GB2312" w:cs="仿宋_GB2312"/>
                <w:b/>
                <w:bCs/>
                <w:color w:val="000000"/>
                <w:sz w:val="21"/>
                <w:szCs w:val="21"/>
                <w:highlight w:val="none"/>
              </w:rPr>
              <w:t>、加强水生态流量监督管理</w:t>
            </w:r>
          </w:p>
        </w:tc>
        <w:tc>
          <w:tcPr>
            <w:tcW w:w="8865" w:type="dxa"/>
            <w:vAlign w:val="center"/>
          </w:tcPr>
          <w:p>
            <w:pP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推动落实《湖南省主要河流控制断面生态流量方案》，将生态用水调度纳入日常运行调度规程，建立常规生态调度机制，保证河湖生态流量。</w:t>
            </w:r>
          </w:p>
        </w:tc>
        <w:tc>
          <w:tcPr>
            <w:tcW w:w="1486" w:type="dxa"/>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eastAsia="zh-CN"/>
              </w:rPr>
              <w:t>县</w:t>
            </w:r>
            <w:r>
              <w:rPr>
                <w:rFonts w:hint="eastAsia" w:ascii="仿宋_GB2312" w:hAnsi="仿宋_GB2312" w:eastAsia="仿宋_GB2312" w:cs="仿宋_GB2312"/>
                <w:color w:val="000000"/>
                <w:sz w:val="21"/>
                <w:szCs w:val="21"/>
                <w:highlight w:val="none"/>
              </w:rPr>
              <w:t>水利局</w:t>
            </w:r>
          </w:p>
        </w:tc>
        <w:tc>
          <w:tcPr>
            <w:tcW w:w="2410" w:type="dxa"/>
            <w:vAlign w:val="center"/>
          </w:tcPr>
          <w:p>
            <w:pPr>
              <w:jc w:val="center"/>
              <w:rPr>
                <w:rFonts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市生态环境局</w:t>
            </w:r>
            <w:r>
              <w:rPr>
                <w:rFonts w:hint="eastAsia" w:ascii="仿宋_GB2312" w:hAnsi="仿宋_GB2312" w:eastAsia="仿宋_GB2312" w:cs="仿宋_GB2312"/>
                <w:color w:val="000000"/>
                <w:sz w:val="21"/>
                <w:szCs w:val="21"/>
                <w:highlight w:val="none"/>
                <w:lang w:eastAsia="zh-CN"/>
              </w:rPr>
              <w:t>华容分局</w:t>
            </w:r>
          </w:p>
        </w:tc>
      </w:tr>
    </w:tbl>
    <w:p>
      <w:pPr>
        <w:spacing w:after="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spacing w:after="0" w:line="560" w:lineRule="exact"/>
        <w:ind w:firstLine="880" w:firstLineChars="20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z w:val="44"/>
          <w:szCs w:val="44"/>
          <w:lang w:val="en-US" w:eastAsia="zh-CN"/>
        </w:rPr>
        <w:t>全县</w:t>
      </w:r>
      <w:r>
        <w:rPr>
          <w:rFonts w:hint="eastAsia" w:ascii="方正小标宋简体" w:hAnsi="方正小标宋简体" w:eastAsia="方正小标宋简体" w:cs="方正小标宋简体"/>
          <w:b w:val="0"/>
          <w:bCs/>
          <w:color w:val="000000"/>
          <w:sz w:val="44"/>
          <w:szCs w:val="44"/>
        </w:rPr>
        <w:t>洞庭湖域水质改善任务分解表</w:t>
      </w:r>
    </w:p>
    <w:tbl>
      <w:tblPr>
        <w:tblStyle w:val="16"/>
        <w:tblW w:w="13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84"/>
        <w:gridCol w:w="7937"/>
        <w:gridCol w:w="1276"/>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spacing w:after="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序号</w:t>
            </w:r>
          </w:p>
        </w:tc>
        <w:tc>
          <w:tcPr>
            <w:tcW w:w="1784" w:type="dxa"/>
            <w:vAlign w:val="center"/>
          </w:tcPr>
          <w:p>
            <w:pPr>
              <w:spacing w:after="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lang w:val="en-US" w:eastAsia="zh-CN"/>
              </w:rPr>
              <w:t>工作</w:t>
            </w:r>
            <w:r>
              <w:rPr>
                <w:rFonts w:hint="eastAsia" w:ascii="黑体" w:hAnsi="黑体" w:eastAsia="黑体" w:cs="黑体"/>
                <w:b w:val="0"/>
                <w:bCs/>
                <w:color w:val="000000"/>
                <w:sz w:val="21"/>
                <w:szCs w:val="21"/>
              </w:rPr>
              <w:t>内容</w:t>
            </w:r>
          </w:p>
        </w:tc>
        <w:tc>
          <w:tcPr>
            <w:tcW w:w="7937" w:type="dxa"/>
            <w:vAlign w:val="center"/>
          </w:tcPr>
          <w:p>
            <w:pPr>
              <w:spacing w:after="0" w:line="300" w:lineRule="exact"/>
              <w:ind w:firstLine="420" w:firstLineChars="200"/>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lang w:val="en-US" w:eastAsia="zh-CN"/>
              </w:rPr>
              <w:t>工作</w:t>
            </w:r>
            <w:r>
              <w:rPr>
                <w:rFonts w:hint="eastAsia" w:ascii="黑体" w:hAnsi="黑体" w:eastAsia="黑体" w:cs="黑体"/>
                <w:b w:val="0"/>
                <w:bCs/>
                <w:color w:val="000000"/>
                <w:sz w:val="21"/>
                <w:szCs w:val="21"/>
              </w:rPr>
              <w:t>措施</w:t>
            </w:r>
          </w:p>
        </w:tc>
        <w:tc>
          <w:tcPr>
            <w:tcW w:w="1276" w:type="dxa"/>
            <w:vAlign w:val="center"/>
          </w:tcPr>
          <w:p>
            <w:pPr>
              <w:spacing w:after="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lang w:val="en-US" w:eastAsia="zh-CN"/>
              </w:rPr>
              <w:t>完成</w:t>
            </w:r>
            <w:r>
              <w:rPr>
                <w:rFonts w:hint="eastAsia" w:ascii="黑体" w:hAnsi="黑体" w:eastAsia="黑体" w:cs="黑体"/>
                <w:b w:val="0"/>
                <w:bCs/>
                <w:color w:val="000000"/>
                <w:sz w:val="21"/>
                <w:szCs w:val="21"/>
              </w:rPr>
              <w:t>时限</w:t>
            </w:r>
          </w:p>
        </w:tc>
        <w:tc>
          <w:tcPr>
            <w:tcW w:w="1909" w:type="dxa"/>
            <w:vAlign w:val="center"/>
          </w:tcPr>
          <w:p>
            <w:pPr>
              <w:spacing w:after="0" w:line="300" w:lineRule="exact"/>
              <w:jc w:val="center"/>
              <w:rPr>
                <w:rFonts w:hint="eastAsia" w:ascii="黑体" w:hAnsi="黑体" w:eastAsia="黑体" w:cs="黑体"/>
                <w:b w:val="0"/>
                <w:bCs/>
                <w:color w:val="000000"/>
                <w:sz w:val="21"/>
                <w:szCs w:val="21"/>
              </w:rPr>
            </w:pPr>
            <w:r>
              <w:rPr>
                <w:rFonts w:hint="eastAsia" w:ascii="黑体" w:hAnsi="黑体" w:eastAsia="黑体" w:cs="黑体"/>
                <w:b w:val="0"/>
                <w:bCs/>
                <w:color w:val="000000"/>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1</w:t>
            </w:r>
          </w:p>
        </w:tc>
        <w:tc>
          <w:tcPr>
            <w:tcW w:w="1784" w:type="dxa"/>
            <w:vAlign w:val="center"/>
          </w:tcPr>
          <w:p>
            <w:pPr>
              <w:spacing w:after="0" w:line="300" w:lineRule="exact"/>
              <w:ind w:firstLine="211" w:firstLineChars="100"/>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监测断面</w:t>
            </w:r>
          </w:p>
          <w:p>
            <w:pPr>
              <w:spacing w:after="0" w:line="300" w:lineRule="exact"/>
              <w:ind w:firstLine="211" w:firstLineChars="100"/>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管控</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监测点位上游3公里、下游0.3公里排口稳定达标排放。上游3公里内排渍口因防汛等需要确须外排的，须提前报告生态环境部门，对水质进行监测，评估排放影响，经应急处理后达到地表水河流Ⅲ类标准（总磷浓度不高于0.2mg/L）后才能外排。对洞庭湖、华容河等敏感水体直接排放的城镇生活污水处理厂、工业园区排污口、工业企业排污口的末端必须建设人工湿地，各排渍口前池及排渍渠出水末端建设生态缓冲带。</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市生态环境局华容分局</w:t>
            </w:r>
          </w:p>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县</w:t>
            </w:r>
            <w:r>
              <w:rPr>
                <w:rFonts w:hint="eastAsia" w:ascii="仿宋_GB2312" w:hAnsi="仿宋_GB2312" w:eastAsia="仿宋_GB2312" w:cs="仿宋_GB2312"/>
                <w:color w:val="000000"/>
                <w:sz w:val="21"/>
                <w:szCs w:val="21"/>
              </w:rPr>
              <w:t>水利局</w:t>
            </w:r>
          </w:p>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县</w:t>
            </w:r>
            <w:r>
              <w:rPr>
                <w:rFonts w:hint="eastAsia" w:ascii="仿宋_GB2312" w:hAnsi="仿宋_GB2312" w:eastAsia="仿宋_GB2312" w:cs="仿宋_GB2312"/>
                <w:color w:val="000000"/>
                <w:sz w:val="21"/>
                <w:szCs w:val="21"/>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2</w:t>
            </w:r>
          </w:p>
        </w:tc>
        <w:tc>
          <w:tcPr>
            <w:tcW w:w="1784" w:type="dxa"/>
            <w:vAlign w:val="center"/>
          </w:tcPr>
          <w:p>
            <w:pPr>
              <w:spacing w:after="0" w:line="300" w:lineRule="exact"/>
              <w:ind w:firstLine="211" w:firstLineChars="100"/>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工业企业</w:t>
            </w:r>
          </w:p>
          <w:p>
            <w:pPr>
              <w:spacing w:after="0" w:line="300" w:lineRule="exact"/>
              <w:ind w:firstLine="211" w:firstLineChars="100"/>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污染管控</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加强企业监督性采样监测。严格管控洞庭湖、长江沿线的工业企业排污口，确保稳定达标排放。加强工业园区污水处理厂的排查监管，工业园及重点工业企业排污口排向洞庭湖、长江的，排放总磷浓度不高于0.2mg/L。</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市生态环境局华容分局</w:t>
            </w:r>
          </w:p>
          <w:p>
            <w:pPr>
              <w:spacing w:after="0" w:line="30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3</w:t>
            </w:r>
          </w:p>
        </w:tc>
        <w:tc>
          <w:tcPr>
            <w:tcW w:w="1784" w:type="dxa"/>
            <w:vAlign w:val="center"/>
          </w:tcPr>
          <w:p>
            <w:pPr>
              <w:spacing w:after="0" w:line="300" w:lineRule="exact"/>
              <w:ind w:firstLine="211" w:firstLineChars="100"/>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农业面源</w:t>
            </w:r>
          </w:p>
          <w:p>
            <w:pPr>
              <w:spacing w:after="0" w:line="300" w:lineRule="exact"/>
              <w:ind w:firstLine="211" w:firstLineChars="100"/>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污染治理</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严格落实化肥、农药负增长行动，扩大测土配方施肥实施范围，推行农作物病虫害统防统治，加大绿色防控力度，同时推进果菜茶有机肥替代化肥行动，引导农民施用有机肥。</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县</w:t>
            </w:r>
            <w:r>
              <w:rPr>
                <w:rFonts w:hint="eastAsia" w:ascii="仿宋_GB2312" w:hAnsi="仿宋_GB2312" w:eastAsia="仿宋_GB2312" w:cs="仿宋_GB2312"/>
                <w:color w:val="000000"/>
                <w:sz w:val="21"/>
                <w:szCs w:val="21"/>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4</w:t>
            </w:r>
          </w:p>
        </w:tc>
        <w:tc>
          <w:tcPr>
            <w:tcW w:w="1784" w:type="dxa"/>
            <w:vAlign w:val="center"/>
          </w:tcPr>
          <w:p>
            <w:pPr>
              <w:spacing w:after="0" w:line="300" w:lineRule="exact"/>
              <w:ind w:firstLine="211" w:firstLineChars="100"/>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养殖尾水管控</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依法科学划定禁养区、限养区和适养区，合理布局水产养殖生产。对国、省控重要断面周边的养殖区域要调整产业结构，实施退养。切实开展水产环保养殖，大力推广大水面生态养殖、工厂化循环水养殖、池塘工程化循环水养殖等环保养殖方式。直接排放洞庭湖、长江、</w:t>
            </w:r>
            <w:r>
              <w:rPr>
                <w:rFonts w:hint="eastAsia" w:ascii="仿宋_GB2312" w:hAnsi="仿宋_GB2312" w:eastAsia="仿宋_GB2312" w:cs="仿宋_GB2312"/>
                <w:color w:val="000000"/>
                <w:sz w:val="21"/>
                <w:szCs w:val="21"/>
                <w:lang w:eastAsia="zh-CN"/>
              </w:rPr>
              <w:t>华容河、藕池河、东湖</w:t>
            </w:r>
            <w:r>
              <w:rPr>
                <w:rFonts w:hint="eastAsia" w:ascii="仿宋_GB2312" w:hAnsi="仿宋_GB2312" w:eastAsia="仿宋_GB2312" w:cs="仿宋_GB2312"/>
                <w:color w:val="000000"/>
                <w:sz w:val="21"/>
                <w:szCs w:val="21"/>
              </w:rPr>
              <w:t>等重要水域的养殖区域采用“三池两坝一湿地”的方式处理养殖尾水。向外环境排放的尾水必须提前向生态环境部门报告，通过采样监测，主要污染物总磷浓度低于0.2mg/L，达到地表水河流Ⅲ类标准方可排放。开展畜禽粪污资源化利用，建设粪污收集、储存、利用等设施，建设生态缓冲带、生态拦截沟渠等工程设施，推进农业绿色发展，促进农业转型升级</w:t>
            </w:r>
            <w:r>
              <w:rPr>
                <w:rFonts w:hint="eastAsia" w:ascii="仿宋_GB2312" w:hAnsi="仿宋_GB2312" w:eastAsia="仿宋_GB2312" w:cs="仿宋_GB2312"/>
                <w:color w:val="000000"/>
                <w:sz w:val="21"/>
                <w:szCs w:val="21"/>
                <w:lang w:eastAsia="zh-CN"/>
              </w:rPr>
              <w:t>。</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县</w:t>
            </w:r>
            <w:r>
              <w:rPr>
                <w:rFonts w:hint="eastAsia" w:ascii="仿宋_GB2312" w:hAnsi="仿宋_GB2312" w:eastAsia="仿宋_GB2312" w:cs="仿宋_GB2312"/>
                <w:color w:val="000000"/>
                <w:sz w:val="21"/>
                <w:szCs w:val="21"/>
              </w:rPr>
              <w:t>农业农村局</w:t>
            </w:r>
          </w:p>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县</w:t>
            </w:r>
            <w:r>
              <w:rPr>
                <w:rFonts w:hint="eastAsia" w:ascii="仿宋_GB2312" w:hAnsi="仿宋_GB2312" w:eastAsia="仿宋_GB2312" w:cs="仿宋_GB2312"/>
                <w:color w:val="000000"/>
                <w:sz w:val="21"/>
                <w:szCs w:val="21"/>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5</w:t>
            </w:r>
          </w:p>
        </w:tc>
        <w:tc>
          <w:tcPr>
            <w:tcW w:w="1784" w:type="dxa"/>
            <w:vAlign w:val="center"/>
          </w:tcPr>
          <w:p>
            <w:pPr>
              <w:spacing w:after="0" w:line="300" w:lineRule="exact"/>
              <w:ind w:firstLine="211" w:firstLineChars="100"/>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垂钓及非法捕捞管控</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以国、省控断面监测点为中心，周边1平方公里范围内禁止垂钓及捕捞等渔业活动</w:t>
            </w:r>
            <w:r>
              <w:rPr>
                <w:rFonts w:hint="eastAsia" w:ascii="仿宋_GB2312" w:hAnsi="仿宋_GB2312" w:eastAsia="仿宋_GB2312" w:cs="仿宋_GB2312"/>
                <w:color w:val="000000"/>
                <w:sz w:val="21"/>
                <w:szCs w:val="21"/>
                <w:lang w:eastAsia="zh-CN"/>
              </w:rPr>
              <w:t>。</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县</w:t>
            </w:r>
            <w:r>
              <w:rPr>
                <w:rFonts w:hint="eastAsia" w:ascii="仿宋_GB2312" w:hAnsi="仿宋_GB2312" w:eastAsia="仿宋_GB2312" w:cs="仿宋_GB2312"/>
                <w:color w:val="000000"/>
                <w:sz w:val="21"/>
                <w:szCs w:val="21"/>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6</w:t>
            </w:r>
          </w:p>
        </w:tc>
        <w:tc>
          <w:tcPr>
            <w:tcW w:w="1784" w:type="dxa"/>
            <w:vAlign w:val="center"/>
          </w:tcPr>
          <w:p>
            <w:pPr>
              <w:spacing w:after="0" w:line="300" w:lineRule="exact"/>
              <w:ind w:firstLine="211" w:firstLineChars="100"/>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含磷洗涤用品整治</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加大对无磷、低磷洗涤用品使用的宣传力度，加强洗涤用品市场整治。对酒店、餐饮店、医院、“五小门店”等重点行业含磷洗涤用品进行专项整治</w:t>
            </w:r>
            <w:r>
              <w:rPr>
                <w:rFonts w:hint="eastAsia" w:ascii="仿宋_GB2312" w:hAnsi="仿宋_GB2312" w:eastAsia="仿宋_GB2312" w:cs="仿宋_GB2312"/>
                <w:color w:val="000000"/>
                <w:sz w:val="21"/>
                <w:szCs w:val="21"/>
                <w:lang w:eastAsia="zh-CN"/>
              </w:rPr>
              <w:t>。</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县</w:t>
            </w:r>
            <w:r>
              <w:rPr>
                <w:rFonts w:hint="eastAsia" w:ascii="仿宋_GB2312" w:hAnsi="仿宋_GB2312" w:eastAsia="仿宋_GB2312" w:cs="仿宋_GB2312"/>
                <w:color w:val="000000"/>
                <w:sz w:val="21"/>
                <w:szCs w:val="21"/>
              </w:rPr>
              <w:t>市场监督管理局</w:t>
            </w:r>
          </w:p>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县</w:t>
            </w:r>
            <w:r>
              <w:rPr>
                <w:rFonts w:hint="eastAsia" w:ascii="仿宋_GB2312" w:hAnsi="仿宋_GB2312" w:eastAsia="仿宋_GB2312" w:cs="仿宋_GB2312"/>
                <w:color w:val="000000"/>
                <w:sz w:val="21"/>
                <w:szCs w:val="21"/>
              </w:rPr>
              <w:t>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7</w:t>
            </w:r>
          </w:p>
        </w:tc>
        <w:tc>
          <w:tcPr>
            <w:tcW w:w="1784" w:type="dxa"/>
            <w:vAlign w:val="center"/>
          </w:tcPr>
          <w:p>
            <w:pPr>
              <w:spacing w:after="0" w:line="300" w:lineRule="exact"/>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生活污染治理</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①对直接排放洞庭湖、长江</w:t>
            </w:r>
            <w:r>
              <w:rPr>
                <w:rFonts w:hint="eastAsia" w:ascii="仿宋_GB2312" w:hAnsi="仿宋_GB2312" w:eastAsia="仿宋_GB2312" w:cs="仿宋_GB2312"/>
                <w:color w:val="000000"/>
                <w:sz w:val="21"/>
                <w:szCs w:val="21"/>
                <w:lang w:eastAsia="zh-CN"/>
              </w:rPr>
              <w:t>、华容河、藕池河、东湖</w:t>
            </w:r>
            <w:r>
              <w:rPr>
                <w:rFonts w:hint="eastAsia" w:ascii="仿宋_GB2312" w:hAnsi="仿宋_GB2312" w:eastAsia="仿宋_GB2312" w:cs="仿宋_GB2312"/>
                <w:color w:val="000000"/>
                <w:sz w:val="21"/>
                <w:szCs w:val="21"/>
              </w:rPr>
              <w:t>等设有国、省控重点断面的敏感水域周边生活污水排放情况进行排查，加大面源污染整治力度，生活污水做到全收集。对雨污合流溢流口和尚未截污的片区生活污水排口，先安装一体化污水处理设备应急处置，并制定切实可行的小片区截污治污方案尽快组织实施；②对乡镇污水处理厂运行状态进行严格管控，确保乡镇污水处理厂污水稳定运行、污水应收尽收。③直接排放</w:t>
            </w:r>
            <w:r>
              <w:rPr>
                <w:rFonts w:hint="eastAsia" w:ascii="仿宋_GB2312" w:hAnsi="仿宋_GB2312" w:eastAsia="仿宋_GB2312" w:cs="仿宋_GB2312"/>
                <w:color w:val="000000"/>
                <w:sz w:val="21"/>
                <w:szCs w:val="21"/>
                <w:lang w:eastAsia="zh-CN"/>
              </w:rPr>
              <w:t>上述</w:t>
            </w:r>
            <w:r>
              <w:rPr>
                <w:rFonts w:hint="eastAsia" w:ascii="仿宋_GB2312" w:hAnsi="仿宋_GB2312" w:eastAsia="仿宋_GB2312" w:cs="仿宋_GB2312"/>
                <w:color w:val="000000"/>
                <w:sz w:val="21"/>
                <w:szCs w:val="21"/>
              </w:rPr>
              <w:t>重要水域的地区，污水处理厂要通过加大药剂使用量等方式降低尾水中总磷浓度，尾水排放总磷浓度不得高于0.2mg/L，其他指标达标排放。④对污水处理厂排口末端在建设人工湿地，尾水经人工湿地进一步净化后外排。</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县</w:t>
            </w:r>
            <w:r>
              <w:rPr>
                <w:rFonts w:hint="eastAsia" w:ascii="仿宋_GB2312" w:hAnsi="仿宋_GB2312" w:eastAsia="仿宋_GB2312" w:cs="仿宋_GB2312"/>
                <w:color w:val="000000"/>
                <w:sz w:val="21"/>
                <w:szCs w:val="21"/>
              </w:rPr>
              <w:t>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8</w:t>
            </w:r>
          </w:p>
        </w:tc>
        <w:tc>
          <w:tcPr>
            <w:tcW w:w="1784" w:type="dxa"/>
            <w:vAlign w:val="center"/>
          </w:tcPr>
          <w:p>
            <w:pPr>
              <w:spacing w:after="0" w:line="300" w:lineRule="exact"/>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船舶污染整治</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船只生活污水处理装置正常运行、尾水达标排放。对船舶生活垃圾、废机油等废弃物做到完全收集、依规转运、依法处置。对不符合以上要求的船舶依法采取限航、禁航等措施。全面排查现有港口、码头、趸船环保设施建设运行情况，对未落实环保要求的港口、码头进行停运整改。航行船只有序通航，合理避让水质自动监测设施，确保监测设备正常运行</w:t>
            </w:r>
            <w:r>
              <w:rPr>
                <w:rFonts w:hint="eastAsia" w:ascii="仿宋_GB2312" w:hAnsi="仿宋_GB2312" w:eastAsia="仿宋_GB2312" w:cs="仿宋_GB2312"/>
                <w:color w:val="000000"/>
                <w:sz w:val="21"/>
                <w:szCs w:val="21"/>
                <w:lang w:eastAsia="zh-CN"/>
              </w:rPr>
              <w:t>。</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县</w:t>
            </w:r>
            <w:r>
              <w:rPr>
                <w:rFonts w:hint="eastAsia" w:ascii="仿宋_GB2312" w:hAnsi="仿宋_GB2312" w:eastAsia="仿宋_GB2312" w:cs="仿宋_GB2312"/>
                <w:color w:val="000000"/>
                <w:sz w:val="21"/>
                <w:szCs w:val="21"/>
              </w:rPr>
              <w:t>交通</w:t>
            </w:r>
            <w:r>
              <w:rPr>
                <w:rFonts w:hint="eastAsia" w:ascii="仿宋_GB2312" w:hAnsi="仿宋_GB2312" w:eastAsia="仿宋_GB2312" w:cs="仿宋_GB2312"/>
                <w:color w:val="000000"/>
                <w:sz w:val="21"/>
                <w:szCs w:val="21"/>
                <w:lang w:eastAsia="zh-CN"/>
              </w:rPr>
              <w:t>运输</w:t>
            </w:r>
            <w:r>
              <w:rPr>
                <w:rFonts w:hint="eastAsia" w:ascii="仿宋_GB2312" w:hAnsi="仿宋_GB2312" w:eastAsia="仿宋_GB2312" w:cs="仿宋_GB2312"/>
                <w:color w:val="000000"/>
                <w:sz w:val="21"/>
                <w:szCs w:val="21"/>
              </w:rPr>
              <w:t>局</w:t>
            </w:r>
            <w:r>
              <w:rPr>
                <w:rFonts w:hint="eastAsia" w:ascii="仿宋_GB2312" w:hAnsi="仿宋_GB2312" w:eastAsia="仿宋_GB2312" w:cs="仿宋_GB2312"/>
                <w:color w:val="000000"/>
                <w:sz w:val="21"/>
                <w:szCs w:val="21"/>
                <w:lang w:eastAsia="zh-CN"/>
              </w:rPr>
              <w:t>华容</w:t>
            </w:r>
            <w:r>
              <w:rPr>
                <w:rFonts w:hint="eastAsia" w:ascii="仿宋_GB2312" w:hAnsi="仿宋_GB2312" w:eastAsia="仿宋_GB2312" w:cs="仿宋_GB2312"/>
                <w:color w:val="000000"/>
                <w:sz w:val="21"/>
                <w:szCs w:val="21"/>
              </w:rPr>
              <w:t>海事</w:t>
            </w:r>
            <w:r>
              <w:rPr>
                <w:rFonts w:hint="eastAsia" w:ascii="仿宋_GB2312" w:hAnsi="仿宋_GB2312" w:eastAsia="仿宋_GB2312" w:cs="仿宋_GB2312"/>
                <w:color w:val="000000"/>
                <w:sz w:val="21"/>
                <w:szCs w:val="21"/>
                <w:lang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9</w:t>
            </w:r>
          </w:p>
        </w:tc>
        <w:tc>
          <w:tcPr>
            <w:tcW w:w="1784" w:type="dxa"/>
            <w:vAlign w:val="center"/>
          </w:tcPr>
          <w:p>
            <w:pPr>
              <w:spacing w:after="0" w:line="300" w:lineRule="exact"/>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采砂洗沙治理</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设有国、省控以上断面的洞庭湖、长江</w:t>
            </w:r>
            <w:r>
              <w:rPr>
                <w:rFonts w:hint="eastAsia" w:ascii="仿宋_GB2312" w:hAnsi="仿宋_GB2312" w:eastAsia="仿宋_GB2312" w:cs="仿宋_GB2312"/>
                <w:color w:val="000000"/>
                <w:sz w:val="21"/>
                <w:szCs w:val="21"/>
                <w:lang w:eastAsia="zh-CN"/>
              </w:rPr>
              <w:t>、华容河、藕池河</w:t>
            </w:r>
            <w:r>
              <w:rPr>
                <w:rFonts w:hint="eastAsia" w:ascii="仿宋_GB2312" w:hAnsi="仿宋_GB2312" w:eastAsia="仿宋_GB2312" w:cs="仿宋_GB2312"/>
                <w:color w:val="000000"/>
                <w:sz w:val="21"/>
                <w:szCs w:val="21"/>
              </w:rPr>
              <w:t>等重要水域严禁非法采砂、洗砂行为，对合法采砂、洗砂的企业实施严格管控，确保污染防治设施正常运行，排水的企业确保将总磷降至0.2mg/L以下，其他指标达标排放</w:t>
            </w:r>
            <w:r>
              <w:rPr>
                <w:rFonts w:hint="eastAsia" w:ascii="仿宋_GB2312" w:hAnsi="仿宋_GB2312" w:eastAsia="仿宋_GB2312" w:cs="仿宋_GB2312"/>
                <w:color w:val="000000"/>
                <w:sz w:val="21"/>
                <w:szCs w:val="21"/>
                <w:lang w:eastAsia="zh-CN"/>
              </w:rPr>
              <w:t>。</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县</w:t>
            </w:r>
            <w:r>
              <w:rPr>
                <w:rFonts w:hint="eastAsia" w:ascii="仿宋_GB2312" w:hAnsi="仿宋_GB2312" w:eastAsia="仿宋_GB2312" w:cs="仿宋_GB2312"/>
                <w:color w:val="000000"/>
                <w:sz w:val="21"/>
                <w:szCs w:val="21"/>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10</w:t>
            </w:r>
          </w:p>
        </w:tc>
        <w:tc>
          <w:tcPr>
            <w:tcW w:w="1784" w:type="dxa"/>
            <w:vAlign w:val="center"/>
          </w:tcPr>
          <w:p>
            <w:pPr>
              <w:spacing w:after="0" w:line="300" w:lineRule="exact"/>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水质监测预警</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对控制断面水质进行加密监测。国、省控断面一周一次。发现超标情况报</w:t>
            </w:r>
            <w:r>
              <w:rPr>
                <w:rFonts w:hint="eastAsia" w:ascii="仿宋_GB2312" w:hAnsi="仿宋_GB2312" w:eastAsia="仿宋_GB2312" w:cs="仿宋_GB2312"/>
                <w:color w:val="000000"/>
                <w:sz w:val="21"/>
                <w:szCs w:val="21"/>
                <w:lang w:eastAsia="zh-CN"/>
              </w:rPr>
              <w:t>告县人民政府。</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市生态环境局</w:t>
            </w:r>
          </w:p>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11</w:t>
            </w:r>
          </w:p>
        </w:tc>
        <w:tc>
          <w:tcPr>
            <w:tcW w:w="1784" w:type="dxa"/>
            <w:vAlign w:val="center"/>
          </w:tcPr>
          <w:p>
            <w:pPr>
              <w:spacing w:after="0" w:line="300" w:lineRule="exact"/>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总磷污染控制项目实施</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按照省里《2021年度洞庭湖总磷污染控制与削减工程项目清单》任务要求，加快推进工程项目建设，有效削减总磷排放量，着力改善水环境质量</w:t>
            </w:r>
            <w:r>
              <w:rPr>
                <w:rFonts w:hint="eastAsia" w:ascii="仿宋_GB2312" w:hAnsi="仿宋_GB2312" w:eastAsia="仿宋_GB2312" w:cs="仿宋_GB2312"/>
                <w:color w:val="000000"/>
                <w:sz w:val="21"/>
                <w:szCs w:val="21"/>
                <w:lang w:eastAsia="zh-CN"/>
              </w:rPr>
              <w:t>。</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县</w:t>
            </w:r>
            <w:r>
              <w:rPr>
                <w:rFonts w:hint="eastAsia" w:ascii="仿宋_GB2312" w:hAnsi="仿宋_GB2312" w:eastAsia="仿宋_GB2312" w:cs="仿宋_GB2312"/>
                <w:color w:val="000000"/>
                <w:sz w:val="21"/>
                <w:szCs w:val="21"/>
              </w:rPr>
              <w:t>发改</w:t>
            </w:r>
            <w:r>
              <w:rPr>
                <w:rFonts w:hint="eastAsia" w:ascii="仿宋_GB2312" w:hAnsi="仿宋_GB2312" w:eastAsia="仿宋_GB2312" w:cs="仿宋_GB2312"/>
                <w:color w:val="000000"/>
                <w:sz w:val="21"/>
                <w:szCs w:val="21"/>
                <w:lang w:eastAsia="zh-CN"/>
              </w:rPr>
              <w:t>局</w:t>
            </w:r>
          </w:p>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市生态环境局华容分局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12</w:t>
            </w:r>
          </w:p>
        </w:tc>
        <w:tc>
          <w:tcPr>
            <w:tcW w:w="1784" w:type="dxa"/>
            <w:vAlign w:val="center"/>
          </w:tcPr>
          <w:p>
            <w:pPr>
              <w:spacing w:after="0" w:line="300" w:lineRule="exact"/>
              <w:ind w:firstLine="211" w:firstLineChars="100"/>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加强监管执法</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各</w:t>
            </w:r>
            <w:r>
              <w:rPr>
                <w:rFonts w:hint="eastAsia" w:ascii="仿宋_GB2312" w:hAnsi="仿宋_GB2312" w:eastAsia="仿宋_GB2312" w:cs="仿宋_GB2312"/>
                <w:color w:val="000000"/>
                <w:sz w:val="21"/>
                <w:szCs w:val="21"/>
                <w:lang w:eastAsia="zh-CN"/>
              </w:rPr>
              <w:t>乡镇</w:t>
            </w:r>
            <w:r>
              <w:rPr>
                <w:rFonts w:hint="eastAsia" w:ascii="仿宋_GB2312" w:hAnsi="仿宋_GB2312" w:eastAsia="仿宋_GB2312" w:cs="仿宋_GB2312"/>
                <w:color w:val="000000"/>
                <w:sz w:val="21"/>
                <w:szCs w:val="21"/>
              </w:rPr>
              <w:t>各相关部门要根据各自生态环境保护职责分工，加大对各自主管行业的执法力度，强化监管执法，做到执法必严，违法必究</w:t>
            </w:r>
            <w:r>
              <w:rPr>
                <w:rFonts w:hint="eastAsia" w:ascii="仿宋_GB2312" w:hAnsi="仿宋_GB2312" w:eastAsia="仿宋_GB2312" w:cs="仿宋_GB2312"/>
                <w:color w:val="000000"/>
                <w:sz w:val="21"/>
                <w:szCs w:val="21"/>
                <w:lang w:eastAsia="zh-CN"/>
              </w:rPr>
              <w:t>。</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ind w:firstLine="210" w:firstLineChars="100"/>
              <w:jc w:val="both"/>
              <w:rPr>
                <w:rFonts w:hint="eastAsia" w:ascii="仿宋" w:hAnsi="仿宋" w:eastAsia="仿宋" w:cs="仿宋"/>
                <w:sz w:val="21"/>
                <w:szCs w:val="21"/>
              </w:rPr>
            </w:pPr>
            <w:r>
              <w:rPr>
                <w:rFonts w:hint="eastAsia" w:ascii="仿宋" w:hAnsi="仿宋" w:eastAsia="仿宋" w:cs="仿宋"/>
                <w:sz w:val="21"/>
                <w:szCs w:val="21"/>
              </w:rPr>
              <w:t>相关</w:t>
            </w:r>
            <w:r>
              <w:rPr>
                <w:rFonts w:hint="eastAsia" w:ascii="仿宋" w:hAnsi="仿宋" w:eastAsia="仿宋" w:cs="仿宋"/>
                <w:sz w:val="21"/>
                <w:szCs w:val="21"/>
                <w:lang w:eastAsia="zh-CN"/>
              </w:rPr>
              <w:t>县</w:t>
            </w:r>
            <w:r>
              <w:rPr>
                <w:rFonts w:hint="eastAsia" w:ascii="仿宋" w:hAnsi="仿宋" w:eastAsia="仿宋" w:cs="仿宋"/>
                <w:sz w:val="21"/>
                <w:szCs w:val="21"/>
              </w:rPr>
              <w:t>直部门</w:t>
            </w:r>
          </w:p>
          <w:p>
            <w:pPr>
              <w:pStyle w:val="18"/>
              <w:ind w:left="0" w:leftChars="0" w:firstLine="420" w:firstLineChars="200"/>
              <w:rPr>
                <w:rFonts w:hint="eastAsia" w:eastAsia="仿宋_GB2312"/>
                <w:sz w:val="21"/>
                <w:szCs w:val="21"/>
                <w:lang w:eastAsia="zh-CN"/>
              </w:rPr>
            </w:pPr>
            <w:r>
              <w:rPr>
                <w:rFonts w:hint="eastAsia" w:ascii="仿宋_GB2312" w:hAnsi="仿宋_GB2312" w:eastAsia="仿宋_GB2312" w:cs="仿宋_GB2312"/>
                <w:color w:val="000000"/>
                <w:sz w:val="21"/>
                <w:szCs w:val="21"/>
                <w:lang w:eastAsia="zh-CN"/>
              </w:rPr>
              <w:t>各乡镇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13</w:t>
            </w:r>
          </w:p>
        </w:tc>
        <w:tc>
          <w:tcPr>
            <w:tcW w:w="1784" w:type="dxa"/>
            <w:vAlign w:val="center"/>
          </w:tcPr>
          <w:p>
            <w:pPr>
              <w:spacing w:after="0" w:line="300" w:lineRule="exact"/>
              <w:ind w:firstLine="211" w:firstLineChars="100"/>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实行断面长制</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将辖区内断面进行责任分解，每个国控断面监管由一位县级领导牵头负责,对省控以上断面点位制定“一点一策”。牵头领导要加强对断面周边问题排查、调度、督促整改</w:t>
            </w:r>
            <w:r>
              <w:rPr>
                <w:rFonts w:hint="eastAsia" w:ascii="仿宋_GB2312" w:hAnsi="仿宋_GB2312" w:eastAsia="仿宋_GB2312" w:cs="仿宋_GB2312"/>
                <w:color w:val="000000"/>
                <w:sz w:val="21"/>
                <w:szCs w:val="21"/>
                <w:lang w:eastAsia="zh-CN"/>
              </w:rPr>
              <w:t>。</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县生环委办</w:t>
            </w:r>
          </w:p>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市生态环境局华容分局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26" w:type="dxa"/>
            <w:vAlign w:val="center"/>
          </w:tcPr>
          <w:p>
            <w:pPr>
              <w:spacing w:after="0" w:line="300" w:lineRule="exact"/>
              <w:ind w:firstLine="211" w:firstLineChars="100"/>
              <w:jc w:val="both"/>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14</w:t>
            </w:r>
          </w:p>
        </w:tc>
        <w:tc>
          <w:tcPr>
            <w:tcW w:w="1784" w:type="dxa"/>
            <w:vAlign w:val="center"/>
          </w:tcPr>
          <w:p>
            <w:pPr>
              <w:spacing w:after="0" w:line="300" w:lineRule="exact"/>
              <w:jc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水质考核</w:t>
            </w:r>
          </w:p>
        </w:tc>
        <w:tc>
          <w:tcPr>
            <w:tcW w:w="7937" w:type="dxa"/>
            <w:vAlign w:val="center"/>
          </w:tcPr>
          <w:p>
            <w:pPr>
              <w:spacing w:after="0" w:line="300" w:lineRule="exact"/>
              <w:ind w:firstLine="210" w:firstLineChars="100"/>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水质监测实施“周通报”“月考核”。</w:t>
            </w:r>
          </w:p>
        </w:tc>
        <w:tc>
          <w:tcPr>
            <w:tcW w:w="1276"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奖罚兑现</w:t>
            </w:r>
          </w:p>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持续推进</w:t>
            </w:r>
          </w:p>
        </w:tc>
        <w:tc>
          <w:tcPr>
            <w:tcW w:w="1909" w:type="dxa"/>
            <w:vAlign w:val="center"/>
          </w:tcPr>
          <w:p>
            <w:pPr>
              <w:spacing w:after="0"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市生态环境局华容分局</w:t>
            </w:r>
          </w:p>
        </w:tc>
      </w:tr>
    </w:tbl>
    <w:p>
      <w:pPr>
        <w:autoSpaceDE w:val="0"/>
        <w:autoSpaceDN w:val="0"/>
        <w:spacing w:after="0" w:line="560" w:lineRule="exact"/>
        <w:rPr>
          <w:rFonts w:hint="eastAsia" w:ascii="仿宋" w:hAnsi="仿宋" w:eastAsia="仿宋"/>
          <w:b/>
          <w:sz w:val="28"/>
          <w:szCs w:val="28"/>
        </w:rPr>
      </w:pPr>
      <w:r>
        <w:rPr>
          <w:rFonts w:hint="eastAsia" w:ascii="仿宋_GB2312" w:hAnsi="仿宋_GB2312" w:eastAsia="仿宋_GB2312" w:cs="仿宋_GB2312"/>
          <w:b w:val="0"/>
          <w:bCs/>
          <w:sz w:val="28"/>
          <w:szCs w:val="28"/>
        </w:rPr>
        <w:t>附</w:t>
      </w:r>
      <w:r>
        <w:rPr>
          <w:rFonts w:hint="eastAsia" w:ascii="仿宋_GB2312" w:hAnsi="仿宋_GB2312" w:eastAsia="仿宋_GB2312" w:cs="仿宋_GB2312"/>
          <w:b w:val="0"/>
          <w:bCs/>
          <w:sz w:val="28"/>
          <w:szCs w:val="28"/>
          <w:lang w:val="en-US" w:eastAsia="zh-CN"/>
        </w:rPr>
        <w:t>表</w:t>
      </w:r>
      <w:r>
        <w:rPr>
          <w:rFonts w:hint="eastAsia" w:ascii="仿宋_GB2312" w:hAnsi="仿宋_GB2312" w:eastAsia="仿宋_GB2312" w:cs="仿宋_GB2312"/>
          <w:b w:val="0"/>
          <w:bCs/>
          <w:sz w:val="28"/>
          <w:szCs w:val="28"/>
        </w:rPr>
        <w:t>2.</w:t>
      </w: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 xml:space="preserve">： </w:t>
      </w:r>
      <w:r>
        <w:rPr>
          <w:rFonts w:hint="eastAsia" w:ascii="仿宋" w:hAnsi="仿宋" w:eastAsia="仿宋"/>
          <w:b/>
          <w:sz w:val="28"/>
          <w:szCs w:val="28"/>
        </w:rPr>
        <w:t xml:space="preserve">           </w:t>
      </w:r>
    </w:p>
    <w:p>
      <w:pPr>
        <w:autoSpaceDE w:val="0"/>
        <w:autoSpaceDN w:val="0"/>
        <w:spacing w:after="0"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全县</w:t>
      </w:r>
      <w:r>
        <w:rPr>
          <w:rFonts w:hint="eastAsia" w:ascii="方正小标宋简体" w:hAnsi="方正小标宋简体" w:eastAsia="方正小标宋简体" w:cs="方正小标宋简体"/>
          <w:b w:val="0"/>
          <w:bCs/>
          <w:sz w:val="44"/>
          <w:szCs w:val="44"/>
        </w:rPr>
        <w:t>洞庭湖域总磷浓度偏高问题整改任务</w:t>
      </w:r>
    </w:p>
    <w:p>
      <w:pPr>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）长江干流断面整改任务</w:t>
      </w:r>
    </w:p>
    <w:tbl>
      <w:tblPr>
        <w:tblStyle w:val="16"/>
        <w:tblW w:w="13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82"/>
        <w:gridCol w:w="8025"/>
        <w:gridCol w:w="176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803"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流域</w:t>
            </w:r>
          </w:p>
        </w:tc>
        <w:tc>
          <w:tcPr>
            <w:tcW w:w="1382"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断面名称</w:t>
            </w:r>
          </w:p>
        </w:tc>
        <w:tc>
          <w:tcPr>
            <w:tcW w:w="8025"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整改任务</w:t>
            </w:r>
          </w:p>
        </w:tc>
        <w:tc>
          <w:tcPr>
            <w:tcW w:w="1766"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责任单位</w:t>
            </w:r>
          </w:p>
        </w:tc>
        <w:tc>
          <w:tcPr>
            <w:tcW w:w="1724"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vMerge w:val="restart"/>
            <w:vAlign w:val="center"/>
          </w:tcPr>
          <w:p>
            <w:pPr>
              <w:pStyle w:val="9"/>
              <w:jc w:val="center"/>
              <w:rPr>
                <w:rFonts w:hint="eastAsia" w:ascii="仿宋" w:hAnsi="仿宋" w:eastAsia="仿宋"/>
                <w:b/>
                <w:sz w:val="24"/>
                <w:szCs w:val="24"/>
              </w:rPr>
            </w:pPr>
            <w:r>
              <w:rPr>
                <w:rFonts w:ascii="仿宋" w:hAnsi="仿宋" w:eastAsia="仿宋"/>
                <w:b/>
                <w:sz w:val="24"/>
                <w:szCs w:val="24"/>
              </w:rPr>
              <w:t>长</w:t>
            </w:r>
          </w:p>
          <w:p>
            <w:pPr>
              <w:pStyle w:val="9"/>
              <w:jc w:val="center"/>
              <w:rPr>
                <w:rFonts w:hint="eastAsia" w:ascii="仿宋" w:hAnsi="仿宋" w:eastAsia="仿宋"/>
                <w:b/>
                <w:sz w:val="24"/>
                <w:szCs w:val="24"/>
              </w:rPr>
            </w:pPr>
            <w:r>
              <w:rPr>
                <w:rFonts w:ascii="仿宋" w:hAnsi="仿宋" w:eastAsia="仿宋"/>
                <w:b/>
                <w:sz w:val="24"/>
                <w:szCs w:val="24"/>
              </w:rPr>
              <w:t>江</w:t>
            </w:r>
          </w:p>
          <w:p>
            <w:pPr>
              <w:pStyle w:val="9"/>
              <w:jc w:val="center"/>
              <w:rPr>
                <w:rFonts w:hint="eastAsia" w:ascii="仿宋" w:hAnsi="仿宋" w:eastAsia="仿宋"/>
                <w:b/>
                <w:sz w:val="24"/>
                <w:szCs w:val="24"/>
              </w:rPr>
            </w:pPr>
            <w:r>
              <w:rPr>
                <w:rFonts w:ascii="仿宋" w:hAnsi="仿宋" w:eastAsia="仿宋"/>
                <w:b/>
                <w:sz w:val="24"/>
                <w:szCs w:val="24"/>
              </w:rPr>
              <w:t>干</w:t>
            </w:r>
          </w:p>
          <w:p>
            <w:pPr>
              <w:pStyle w:val="9"/>
              <w:jc w:val="center"/>
              <w:rPr>
                <w:rFonts w:ascii="仿宋" w:hAnsi="仿宋" w:eastAsia="仿宋"/>
                <w:b/>
                <w:sz w:val="24"/>
                <w:szCs w:val="24"/>
              </w:rPr>
            </w:pPr>
            <w:r>
              <w:rPr>
                <w:rFonts w:ascii="仿宋" w:hAnsi="仿宋" w:eastAsia="仿宋"/>
                <w:b/>
                <w:sz w:val="24"/>
                <w:szCs w:val="24"/>
              </w:rPr>
              <w:t>流</w:t>
            </w:r>
          </w:p>
        </w:tc>
        <w:tc>
          <w:tcPr>
            <w:tcW w:w="1382" w:type="dxa"/>
            <w:vMerge w:val="restart"/>
            <w:vAlign w:val="center"/>
          </w:tcPr>
          <w:p>
            <w:pPr>
              <w:pStyle w:val="9"/>
              <w:jc w:val="center"/>
              <w:rPr>
                <w:rFonts w:ascii="仿宋" w:hAnsi="仿宋" w:eastAsia="仿宋"/>
                <w:b/>
                <w:sz w:val="24"/>
                <w:szCs w:val="24"/>
              </w:rPr>
            </w:pPr>
            <w:r>
              <w:rPr>
                <w:rFonts w:ascii="仿宋" w:hAnsi="仿宋" w:eastAsia="仿宋"/>
                <w:b/>
                <w:sz w:val="24"/>
                <w:szCs w:val="24"/>
              </w:rPr>
              <w:t>天字一号断面</w:t>
            </w:r>
          </w:p>
        </w:tc>
        <w:tc>
          <w:tcPr>
            <w:tcW w:w="8025" w:type="dxa"/>
            <w:vAlign w:val="center"/>
          </w:tcPr>
          <w:p>
            <w:pPr>
              <w:pStyle w:val="9"/>
              <w:jc w:val="both"/>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加密监测频次，水质数据及时反馈县人民政府</w:t>
            </w:r>
            <w:r>
              <w:rPr>
                <w:rFonts w:hint="eastAsia" w:ascii="仿宋" w:hAnsi="仿宋" w:eastAsia="仿宋" w:cs="宋体"/>
                <w:color w:val="000000"/>
                <w:sz w:val="24"/>
                <w:szCs w:val="24"/>
                <w:lang w:eastAsia="zh-CN"/>
              </w:rPr>
              <w:t>。</w:t>
            </w:r>
          </w:p>
        </w:tc>
        <w:tc>
          <w:tcPr>
            <w:tcW w:w="1766" w:type="dxa"/>
            <w:vAlign w:val="center"/>
          </w:tcPr>
          <w:p>
            <w:pPr>
              <w:pStyle w:val="9"/>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eastAsia="zh-CN"/>
              </w:rPr>
              <w:t>市生态环境局华容分局</w:t>
            </w:r>
          </w:p>
        </w:tc>
        <w:tc>
          <w:tcPr>
            <w:tcW w:w="1724" w:type="dxa"/>
            <w:vAlign w:val="center"/>
          </w:tcPr>
          <w:p>
            <w:pPr>
              <w:pStyle w:val="9"/>
              <w:jc w:val="center"/>
              <w:rPr>
                <w:rFonts w:ascii="仿宋" w:hAnsi="仿宋" w:eastAsia="仿宋" w:cs="宋体"/>
                <w:color w:val="000000"/>
                <w:sz w:val="24"/>
                <w:szCs w:val="24"/>
              </w:rPr>
            </w:pPr>
            <w:r>
              <w:rPr>
                <w:rFonts w:hint="eastAsia" w:ascii="仿宋" w:hAnsi="仿宋" w:eastAsia="仿宋" w:cs="宋体"/>
                <w:color w:val="000000"/>
                <w:sz w:val="24"/>
                <w:szCs w:val="24"/>
              </w:rPr>
              <w:t>立行立改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803" w:type="dxa"/>
            <w:vMerge w:val="continue"/>
            <w:vAlign w:val="center"/>
          </w:tcPr>
          <w:p>
            <w:pPr>
              <w:pStyle w:val="9"/>
              <w:jc w:val="center"/>
              <w:rPr>
                <w:rFonts w:ascii="仿宋" w:hAnsi="仿宋" w:eastAsia="仿宋"/>
                <w:b/>
                <w:sz w:val="24"/>
                <w:szCs w:val="24"/>
              </w:rPr>
            </w:pPr>
          </w:p>
        </w:tc>
        <w:tc>
          <w:tcPr>
            <w:tcW w:w="1382" w:type="dxa"/>
            <w:vMerge w:val="continue"/>
            <w:vAlign w:val="center"/>
          </w:tcPr>
          <w:p>
            <w:pPr>
              <w:pStyle w:val="9"/>
              <w:jc w:val="both"/>
              <w:rPr>
                <w:rFonts w:ascii="仿宋" w:hAnsi="仿宋" w:eastAsia="仿宋"/>
                <w:sz w:val="24"/>
                <w:szCs w:val="24"/>
              </w:rPr>
            </w:pPr>
          </w:p>
        </w:tc>
        <w:tc>
          <w:tcPr>
            <w:tcW w:w="8025" w:type="dxa"/>
            <w:vAlign w:val="center"/>
          </w:tcPr>
          <w:p>
            <w:pPr>
              <w:pStyle w:val="9"/>
              <w:jc w:val="both"/>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断面长负责巡查断面周边污染物情况，时刻关注断面水质信息，发现超标立即</w:t>
            </w:r>
            <w:r>
              <w:rPr>
                <w:rFonts w:hint="eastAsia" w:ascii="仿宋" w:hAnsi="仿宋" w:eastAsia="仿宋" w:cs="宋体"/>
                <w:color w:val="000000"/>
                <w:sz w:val="24"/>
                <w:szCs w:val="24"/>
                <w:lang w:eastAsia="zh-CN"/>
              </w:rPr>
              <w:t>向县人民政府报告。</w:t>
            </w:r>
          </w:p>
        </w:tc>
        <w:tc>
          <w:tcPr>
            <w:tcW w:w="1766" w:type="dxa"/>
            <w:vAlign w:val="center"/>
          </w:tcPr>
          <w:p>
            <w:pPr>
              <w:pStyle w:val="9"/>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eastAsia="zh-CN"/>
              </w:rPr>
              <w:t>东山镇</w:t>
            </w:r>
          </w:p>
          <w:p>
            <w:pPr>
              <w:pStyle w:val="9"/>
              <w:jc w:val="center"/>
              <w:rPr>
                <w:rFonts w:hint="eastAsia" w:ascii="仿宋" w:hAnsi="仿宋" w:eastAsia="仿宋" w:cs="宋体"/>
                <w:color w:val="000000"/>
                <w:sz w:val="24"/>
                <w:szCs w:val="24"/>
                <w:lang w:eastAsia="zh-CN"/>
              </w:rPr>
            </w:pPr>
            <w:r>
              <w:rPr>
                <w:rFonts w:hint="eastAsia" w:ascii="仿宋_GB2312" w:hAnsi="仿宋_GB2312" w:eastAsia="仿宋_GB2312" w:cs="仿宋_GB2312"/>
                <w:sz w:val="21"/>
                <w:szCs w:val="21"/>
                <w:lang w:eastAsia="zh-CN"/>
              </w:rPr>
              <w:t>市生态环境局华容分局</w:t>
            </w:r>
          </w:p>
        </w:tc>
        <w:tc>
          <w:tcPr>
            <w:tcW w:w="1724" w:type="dxa"/>
            <w:vAlign w:val="center"/>
          </w:tcPr>
          <w:p>
            <w:pPr>
              <w:pStyle w:val="9"/>
              <w:jc w:val="center"/>
              <w:rPr>
                <w:rFonts w:ascii="仿宋" w:hAnsi="仿宋" w:eastAsia="仿宋" w:cs="宋体"/>
                <w:color w:val="000000"/>
                <w:sz w:val="24"/>
                <w:szCs w:val="24"/>
              </w:rPr>
            </w:pPr>
            <w:r>
              <w:rPr>
                <w:rFonts w:hint="eastAsia" w:ascii="仿宋" w:hAnsi="仿宋" w:eastAsia="仿宋" w:cs="宋体"/>
                <w:color w:val="000000"/>
                <w:sz w:val="24"/>
                <w:szCs w:val="24"/>
              </w:rPr>
              <w:t>立行立改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803" w:type="dxa"/>
            <w:vMerge w:val="continue"/>
            <w:vAlign w:val="center"/>
          </w:tcPr>
          <w:p>
            <w:pPr>
              <w:pStyle w:val="9"/>
              <w:jc w:val="center"/>
              <w:rPr>
                <w:rFonts w:ascii="仿宋" w:hAnsi="仿宋" w:eastAsia="仿宋"/>
                <w:b/>
                <w:sz w:val="24"/>
                <w:szCs w:val="24"/>
              </w:rPr>
            </w:pPr>
          </w:p>
        </w:tc>
        <w:tc>
          <w:tcPr>
            <w:tcW w:w="1382" w:type="dxa"/>
            <w:vMerge w:val="continue"/>
            <w:vAlign w:val="center"/>
          </w:tcPr>
          <w:p>
            <w:pPr>
              <w:pStyle w:val="9"/>
              <w:jc w:val="both"/>
              <w:rPr>
                <w:rFonts w:ascii="仿宋" w:hAnsi="仿宋" w:eastAsia="仿宋"/>
                <w:sz w:val="24"/>
                <w:szCs w:val="24"/>
              </w:rPr>
            </w:pPr>
          </w:p>
        </w:tc>
        <w:tc>
          <w:tcPr>
            <w:tcW w:w="8025" w:type="dxa"/>
            <w:vAlign w:val="center"/>
          </w:tcPr>
          <w:p>
            <w:pPr>
              <w:pStyle w:val="9"/>
              <w:jc w:val="both"/>
              <w:rPr>
                <w:rFonts w:hint="eastAsia" w:ascii="仿宋" w:hAnsi="仿宋" w:eastAsia="仿宋"/>
                <w:sz w:val="24"/>
                <w:szCs w:val="24"/>
                <w:lang w:eastAsia="zh-CN"/>
              </w:rPr>
            </w:pPr>
            <w:r>
              <w:rPr>
                <w:rFonts w:hint="eastAsia" w:ascii="仿宋" w:hAnsi="仿宋" w:eastAsia="仿宋" w:cs="宋体"/>
                <w:color w:val="000000"/>
                <w:sz w:val="24"/>
                <w:szCs w:val="24"/>
              </w:rPr>
              <w:t>开展辖区内面源污染治理，确保排水总磷进一步削减</w:t>
            </w:r>
            <w:r>
              <w:rPr>
                <w:rFonts w:hint="eastAsia" w:ascii="仿宋" w:hAnsi="仿宋" w:eastAsia="仿宋" w:cs="宋体"/>
                <w:color w:val="000000"/>
                <w:sz w:val="24"/>
                <w:szCs w:val="24"/>
                <w:lang w:eastAsia="zh-CN"/>
              </w:rPr>
              <w:t>。</w:t>
            </w:r>
          </w:p>
        </w:tc>
        <w:tc>
          <w:tcPr>
            <w:tcW w:w="1766" w:type="dxa"/>
            <w:vAlign w:val="center"/>
          </w:tcPr>
          <w:p>
            <w:pPr>
              <w:pStyle w:val="9"/>
              <w:jc w:val="center"/>
              <w:rPr>
                <w:rFonts w:ascii="仿宋" w:hAnsi="仿宋" w:eastAsia="仿宋" w:cs="宋体"/>
                <w:color w:val="000000"/>
                <w:sz w:val="24"/>
                <w:szCs w:val="24"/>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农业农村局</w:t>
            </w:r>
          </w:p>
        </w:tc>
        <w:tc>
          <w:tcPr>
            <w:tcW w:w="1724" w:type="dxa"/>
            <w:vAlign w:val="center"/>
          </w:tcPr>
          <w:p>
            <w:pPr>
              <w:pStyle w:val="9"/>
              <w:jc w:val="center"/>
              <w:rPr>
                <w:rFonts w:ascii="仿宋" w:hAnsi="仿宋" w:eastAsia="仿宋" w:cs="宋体"/>
                <w:color w:val="000000"/>
                <w:sz w:val="24"/>
                <w:szCs w:val="24"/>
              </w:rPr>
            </w:pPr>
            <w:r>
              <w:rPr>
                <w:rFonts w:hint="eastAsia" w:ascii="仿宋" w:hAnsi="仿宋" w:eastAsia="仿宋" w:cs="宋体"/>
                <w:color w:val="000000"/>
                <w:sz w:val="24"/>
                <w:szCs w:val="24"/>
              </w:rPr>
              <w:t>6月30日前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803" w:type="dxa"/>
            <w:vMerge w:val="continue"/>
            <w:vAlign w:val="center"/>
          </w:tcPr>
          <w:p>
            <w:pPr>
              <w:pStyle w:val="9"/>
              <w:jc w:val="center"/>
              <w:rPr>
                <w:rFonts w:ascii="仿宋" w:hAnsi="仿宋" w:eastAsia="仿宋"/>
                <w:b/>
                <w:sz w:val="24"/>
                <w:szCs w:val="24"/>
              </w:rPr>
            </w:pPr>
          </w:p>
        </w:tc>
        <w:tc>
          <w:tcPr>
            <w:tcW w:w="1382" w:type="dxa"/>
            <w:vMerge w:val="continue"/>
            <w:vAlign w:val="center"/>
          </w:tcPr>
          <w:p>
            <w:pPr>
              <w:pStyle w:val="9"/>
              <w:jc w:val="both"/>
              <w:rPr>
                <w:rFonts w:ascii="仿宋" w:hAnsi="仿宋" w:eastAsia="仿宋"/>
                <w:sz w:val="24"/>
                <w:szCs w:val="24"/>
              </w:rPr>
            </w:pPr>
          </w:p>
        </w:tc>
        <w:tc>
          <w:tcPr>
            <w:tcW w:w="8025" w:type="dxa"/>
            <w:vAlign w:val="center"/>
          </w:tcPr>
          <w:p>
            <w:pPr>
              <w:pStyle w:val="9"/>
              <w:jc w:val="both"/>
              <w:rPr>
                <w:rFonts w:hint="eastAsia" w:ascii="仿宋" w:hAnsi="仿宋" w:eastAsia="仿宋" w:cs="宋体"/>
                <w:color w:val="000000"/>
                <w:sz w:val="24"/>
                <w:szCs w:val="24"/>
                <w:lang w:eastAsia="zh-CN"/>
              </w:rPr>
            </w:pPr>
            <w:r>
              <w:rPr>
                <w:rFonts w:hint="eastAsia" w:ascii="仿宋" w:hAnsi="仿宋" w:eastAsia="仿宋" w:cs="宋体"/>
                <w:color w:val="000000"/>
                <w:sz w:val="24"/>
                <w:szCs w:val="24"/>
              </w:rPr>
              <w:t>对断面上游的排渍口进行整治</w:t>
            </w:r>
            <w:r>
              <w:rPr>
                <w:rFonts w:hint="eastAsia" w:ascii="仿宋" w:hAnsi="仿宋" w:eastAsia="仿宋" w:cs="宋体"/>
                <w:color w:val="000000"/>
                <w:sz w:val="24"/>
                <w:szCs w:val="24"/>
                <w:lang w:eastAsia="zh-CN"/>
              </w:rPr>
              <w:t>。</w:t>
            </w:r>
          </w:p>
        </w:tc>
        <w:tc>
          <w:tcPr>
            <w:tcW w:w="1766" w:type="dxa"/>
            <w:vAlign w:val="center"/>
          </w:tcPr>
          <w:p>
            <w:pPr>
              <w:pStyle w:val="9"/>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市生态环境局华容分局</w:t>
            </w:r>
          </w:p>
        </w:tc>
        <w:tc>
          <w:tcPr>
            <w:tcW w:w="1724" w:type="dxa"/>
            <w:vAlign w:val="center"/>
          </w:tcPr>
          <w:p>
            <w:pPr>
              <w:pStyle w:val="9"/>
              <w:jc w:val="center"/>
              <w:rPr>
                <w:rFonts w:hint="eastAsia" w:ascii="仿宋" w:hAnsi="仿宋" w:eastAsia="仿宋" w:cs="宋体"/>
                <w:color w:val="000000"/>
                <w:sz w:val="24"/>
                <w:szCs w:val="24"/>
              </w:rPr>
            </w:pPr>
            <w:r>
              <w:rPr>
                <w:rFonts w:hint="eastAsia" w:ascii="仿宋" w:hAnsi="仿宋" w:eastAsia="仿宋" w:cs="宋体"/>
                <w:color w:val="000000"/>
                <w:sz w:val="24"/>
                <w:szCs w:val="24"/>
              </w:rPr>
              <w:t>6月30日前</w:t>
            </w:r>
          </w:p>
        </w:tc>
      </w:tr>
    </w:tbl>
    <w:p>
      <w:pPr>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）主要河流断面整改任务</w:t>
      </w:r>
    </w:p>
    <w:tbl>
      <w:tblPr>
        <w:tblStyle w:val="16"/>
        <w:tblW w:w="13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389"/>
        <w:gridCol w:w="8059"/>
        <w:gridCol w:w="1772"/>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06"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流域</w:t>
            </w:r>
          </w:p>
        </w:tc>
        <w:tc>
          <w:tcPr>
            <w:tcW w:w="1389"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断面名称</w:t>
            </w:r>
          </w:p>
        </w:tc>
        <w:tc>
          <w:tcPr>
            <w:tcW w:w="8059"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整改任务</w:t>
            </w:r>
          </w:p>
        </w:tc>
        <w:tc>
          <w:tcPr>
            <w:tcW w:w="1772"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责任单位</w:t>
            </w:r>
          </w:p>
        </w:tc>
        <w:tc>
          <w:tcPr>
            <w:tcW w:w="1514"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806" w:type="dxa"/>
            <w:vMerge w:val="restart"/>
            <w:vAlign w:val="center"/>
          </w:tcPr>
          <w:p>
            <w:pPr>
              <w:pStyle w:val="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华</w:t>
            </w:r>
          </w:p>
          <w:p>
            <w:pPr>
              <w:pStyle w:val="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容</w:t>
            </w:r>
          </w:p>
          <w:p>
            <w:pPr>
              <w:pStyle w:val="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河</w:t>
            </w:r>
          </w:p>
          <w:p>
            <w:pPr>
              <w:pStyle w:val="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流</w:t>
            </w:r>
          </w:p>
          <w:p>
            <w:pPr>
              <w:pStyle w:val="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域</w:t>
            </w:r>
          </w:p>
        </w:tc>
        <w:tc>
          <w:tcPr>
            <w:tcW w:w="1389" w:type="dxa"/>
            <w:vMerge w:val="restart"/>
            <w:vAlign w:val="center"/>
          </w:tcPr>
          <w:p>
            <w:pPr>
              <w:pStyle w:val="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1、南堤拐断面</w:t>
            </w:r>
          </w:p>
        </w:tc>
        <w:tc>
          <w:tcPr>
            <w:tcW w:w="8059" w:type="dxa"/>
            <w:vAlign w:val="center"/>
          </w:tcPr>
          <w:p>
            <w:pPr>
              <w:pStyle w:val="9"/>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断面长负责巡查断面周边污染物情况，时刻关注断面水质信息，发现超标立即调查整改</w:t>
            </w:r>
            <w:r>
              <w:rPr>
                <w:rFonts w:hint="eastAsia" w:ascii="仿宋_GB2312" w:hAnsi="仿宋_GB2312" w:eastAsia="仿宋_GB2312" w:cs="仿宋_GB2312"/>
                <w:color w:val="000000"/>
                <w:sz w:val="24"/>
                <w:szCs w:val="24"/>
                <w:lang w:eastAsia="zh-CN"/>
              </w:rPr>
              <w:t>。</w:t>
            </w:r>
          </w:p>
        </w:tc>
        <w:tc>
          <w:tcPr>
            <w:tcW w:w="1772" w:type="dxa"/>
            <w:vAlign w:val="center"/>
          </w:tcPr>
          <w:p>
            <w:pPr>
              <w:pStyle w:val="9"/>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eastAsia="zh-CN"/>
              </w:rPr>
              <w:t>三封寺镇</w:t>
            </w:r>
          </w:p>
          <w:p>
            <w:pPr>
              <w:pStyle w:val="9"/>
              <w:jc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eastAsia="zh-CN"/>
              </w:rPr>
              <w:t>治河渡镇</w:t>
            </w:r>
          </w:p>
          <w:p>
            <w:pPr>
              <w:pStyle w:val="9"/>
              <w:jc w:val="center"/>
              <w:rPr>
                <w:rFonts w:hint="eastAsia" w:ascii="仿宋_GB2312" w:hAnsi="仿宋_GB2312" w:eastAsia="仿宋_GB2312" w:cs="仿宋_GB2312"/>
                <w:sz w:val="24"/>
                <w:szCs w:val="24"/>
              </w:rPr>
            </w:pPr>
            <w:r>
              <w:rPr>
                <w:rFonts w:hint="eastAsia" w:ascii="仿宋" w:hAnsi="仿宋" w:eastAsia="仿宋" w:cs="宋体"/>
                <w:color w:val="000000"/>
                <w:sz w:val="24"/>
                <w:szCs w:val="24"/>
                <w:lang w:eastAsia="zh-CN"/>
              </w:rPr>
              <w:t>市生态环境局华容分局</w:t>
            </w:r>
          </w:p>
        </w:tc>
        <w:tc>
          <w:tcPr>
            <w:tcW w:w="1514" w:type="dxa"/>
            <w:vAlign w:val="center"/>
          </w:tcPr>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立行立改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806" w:type="dxa"/>
            <w:vMerge w:val="continue"/>
            <w:vAlign w:val="center"/>
          </w:tcPr>
          <w:p>
            <w:pPr>
              <w:pStyle w:val="9"/>
              <w:jc w:val="center"/>
              <w:rPr>
                <w:rFonts w:hint="eastAsia" w:ascii="仿宋_GB2312" w:hAnsi="仿宋_GB2312" w:eastAsia="仿宋_GB2312" w:cs="仿宋_GB2312"/>
                <w:b/>
                <w:sz w:val="24"/>
                <w:szCs w:val="24"/>
              </w:rPr>
            </w:pPr>
          </w:p>
        </w:tc>
        <w:tc>
          <w:tcPr>
            <w:tcW w:w="1389" w:type="dxa"/>
            <w:vMerge w:val="continue"/>
            <w:vAlign w:val="center"/>
          </w:tcPr>
          <w:p>
            <w:pPr>
              <w:pStyle w:val="9"/>
              <w:jc w:val="center"/>
              <w:rPr>
                <w:rFonts w:hint="eastAsia" w:ascii="仿宋_GB2312" w:hAnsi="仿宋_GB2312" w:eastAsia="仿宋_GB2312" w:cs="仿宋_GB2312"/>
                <w:b/>
                <w:sz w:val="24"/>
                <w:szCs w:val="24"/>
              </w:rPr>
            </w:pPr>
          </w:p>
        </w:tc>
        <w:tc>
          <w:tcPr>
            <w:tcW w:w="8059" w:type="dxa"/>
            <w:vAlign w:val="center"/>
          </w:tcPr>
          <w:p>
            <w:pPr>
              <w:pStyle w:val="9"/>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开展辖区内面源污染治理，对断面上游的排渍口进行整治，在上游排渍口前池及排渍渠建设生态缓冲带，确保排水总磷进一步削减</w:t>
            </w:r>
            <w:r>
              <w:rPr>
                <w:rFonts w:hint="eastAsia" w:ascii="仿宋_GB2312" w:hAnsi="仿宋_GB2312" w:eastAsia="仿宋_GB2312" w:cs="仿宋_GB2312"/>
                <w:color w:val="000000"/>
                <w:sz w:val="24"/>
                <w:szCs w:val="24"/>
                <w:lang w:eastAsia="zh-CN"/>
              </w:rPr>
              <w:t>。</w:t>
            </w:r>
          </w:p>
        </w:tc>
        <w:tc>
          <w:tcPr>
            <w:tcW w:w="1772" w:type="dxa"/>
            <w:vAlign w:val="center"/>
          </w:tcPr>
          <w:p>
            <w:pPr>
              <w:pStyle w:val="9"/>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农业农村局</w:t>
            </w:r>
          </w:p>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1"/>
                <w:szCs w:val="21"/>
                <w:lang w:eastAsia="zh-CN"/>
              </w:rPr>
              <w:t>市生态环境局华容分局</w:t>
            </w:r>
          </w:p>
        </w:tc>
        <w:tc>
          <w:tcPr>
            <w:tcW w:w="1514" w:type="dxa"/>
            <w:vAlign w:val="center"/>
          </w:tcPr>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06" w:type="dxa"/>
            <w:vMerge w:val="continue"/>
            <w:vAlign w:val="center"/>
          </w:tcPr>
          <w:p>
            <w:pPr>
              <w:pStyle w:val="9"/>
              <w:jc w:val="center"/>
              <w:rPr>
                <w:rFonts w:hint="eastAsia" w:ascii="仿宋_GB2312" w:hAnsi="仿宋_GB2312" w:eastAsia="仿宋_GB2312" w:cs="仿宋_GB2312"/>
                <w:b/>
                <w:sz w:val="24"/>
                <w:szCs w:val="24"/>
              </w:rPr>
            </w:pPr>
          </w:p>
        </w:tc>
        <w:tc>
          <w:tcPr>
            <w:tcW w:w="1389" w:type="dxa"/>
            <w:vMerge w:val="continue"/>
            <w:vAlign w:val="center"/>
          </w:tcPr>
          <w:p>
            <w:pPr>
              <w:pStyle w:val="9"/>
              <w:jc w:val="center"/>
              <w:rPr>
                <w:rFonts w:hint="eastAsia" w:ascii="仿宋_GB2312" w:hAnsi="仿宋_GB2312" w:eastAsia="仿宋_GB2312" w:cs="仿宋_GB2312"/>
                <w:b/>
                <w:sz w:val="24"/>
                <w:szCs w:val="24"/>
              </w:rPr>
            </w:pPr>
          </w:p>
        </w:tc>
        <w:tc>
          <w:tcPr>
            <w:tcW w:w="8059" w:type="dxa"/>
            <w:vAlign w:val="center"/>
          </w:tcPr>
          <w:p>
            <w:pPr>
              <w:pStyle w:val="9"/>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加密监测频次，水质数据及时反馈县人民政府</w:t>
            </w:r>
            <w:r>
              <w:rPr>
                <w:rFonts w:hint="eastAsia" w:ascii="仿宋_GB2312" w:hAnsi="仿宋_GB2312" w:eastAsia="仿宋_GB2312" w:cs="仿宋_GB2312"/>
                <w:sz w:val="24"/>
                <w:szCs w:val="24"/>
                <w:lang w:eastAsia="zh-CN"/>
              </w:rPr>
              <w:t>。</w:t>
            </w:r>
          </w:p>
        </w:tc>
        <w:tc>
          <w:tcPr>
            <w:tcW w:w="1772" w:type="dxa"/>
            <w:vAlign w:val="center"/>
          </w:tcPr>
          <w:p>
            <w:pPr>
              <w:pStyle w:val="9"/>
              <w:jc w:val="center"/>
              <w:rPr>
                <w:rFonts w:hint="eastAsia" w:ascii="仿宋_GB2312" w:hAnsi="仿宋_GB2312" w:eastAsia="仿宋_GB2312" w:cs="仿宋_GB2312"/>
                <w:sz w:val="24"/>
                <w:szCs w:val="24"/>
              </w:rPr>
            </w:pPr>
            <w:r>
              <w:rPr>
                <w:rFonts w:hint="eastAsia" w:ascii="仿宋" w:hAnsi="仿宋" w:eastAsia="仿宋" w:cs="宋体"/>
                <w:color w:val="000000"/>
                <w:sz w:val="24"/>
                <w:szCs w:val="24"/>
                <w:lang w:eastAsia="zh-CN"/>
              </w:rPr>
              <w:t>市生态环境局华容分局</w:t>
            </w:r>
          </w:p>
        </w:tc>
        <w:tc>
          <w:tcPr>
            <w:tcW w:w="1514" w:type="dxa"/>
            <w:vAlign w:val="center"/>
          </w:tcPr>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立行立改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06" w:type="dxa"/>
            <w:vMerge w:val="continue"/>
            <w:vAlign w:val="center"/>
          </w:tcPr>
          <w:p>
            <w:pPr>
              <w:pStyle w:val="9"/>
              <w:jc w:val="center"/>
              <w:rPr>
                <w:rFonts w:hint="eastAsia" w:ascii="仿宋_GB2312" w:hAnsi="仿宋_GB2312" w:eastAsia="仿宋_GB2312" w:cs="仿宋_GB2312"/>
                <w:b/>
                <w:sz w:val="24"/>
                <w:szCs w:val="24"/>
              </w:rPr>
            </w:pPr>
          </w:p>
        </w:tc>
        <w:tc>
          <w:tcPr>
            <w:tcW w:w="1389" w:type="dxa"/>
            <w:vMerge w:val="restart"/>
            <w:vAlign w:val="center"/>
          </w:tcPr>
          <w:p>
            <w:pPr>
              <w:pStyle w:val="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2、六门闸断面</w:t>
            </w:r>
          </w:p>
        </w:tc>
        <w:tc>
          <w:tcPr>
            <w:tcW w:w="8059" w:type="dxa"/>
            <w:vAlign w:val="center"/>
          </w:tcPr>
          <w:p>
            <w:pPr>
              <w:pStyle w:val="9"/>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断面长负责巡查断面周边污染物情况，时刻关注断面水质信息，发现超标立即调查整改</w:t>
            </w:r>
            <w:r>
              <w:rPr>
                <w:rFonts w:hint="eastAsia" w:ascii="仿宋_GB2312" w:hAnsi="仿宋_GB2312" w:eastAsia="仿宋_GB2312" w:cs="仿宋_GB2312"/>
                <w:color w:val="000000"/>
                <w:sz w:val="24"/>
                <w:szCs w:val="24"/>
                <w:lang w:eastAsia="zh-CN"/>
              </w:rPr>
              <w:t>。</w:t>
            </w:r>
          </w:p>
        </w:tc>
        <w:tc>
          <w:tcPr>
            <w:tcW w:w="1772" w:type="dxa"/>
            <w:vMerge w:val="restart"/>
            <w:vAlign w:val="center"/>
          </w:tcPr>
          <w:p>
            <w:pPr>
              <w:pStyle w:val="9"/>
              <w:jc w:val="center"/>
              <w:rPr>
                <w:rFonts w:hint="eastAsia" w:ascii="仿宋_GB2312" w:hAnsi="仿宋_GB2312" w:eastAsia="仿宋_GB2312" w:cs="仿宋_GB2312"/>
                <w:sz w:val="24"/>
                <w:szCs w:val="24"/>
              </w:rPr>
            </w:pPr>
            <w:r>
              <w:rPr>
                <w:rFonts w:hint="eastAsia" w:ascii="仿宋" w:hAnsi="仿宋" w:eastAsia="仿宋" w:cs="宋体"/>
                <w:color w:val="000000"/>
                <w:sz w:val="24"/>
                <w:szCs w:val="24"/>
                <w:lang w:eastAsia="zh-CN"/>
              </w:rPr>
              <w:t>市生态环境局华容分局</w:t>
            </w:r>
          </w:p>
        </w:tc>
        <w:tc>
          <w:tcPr>
            <w:tcW w:w="1514" w:type="dxa"/>
            <w:vAlign w:val="center"/>
          </w:tcPr>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立行立改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806" w:type="dxa"/>
            <w:vMerge w:val="continue"/>
            <w:vAlign w:val="center"/>
          </w:tcPr>
          <w:p>
            <w:pPr>
              <w:pStyle w:val="9"/>
              <w:jc w:val="center"/>
              <w:rPr>
                <w:rFonts w:hint="eastAsia" w:ascii="仿宋_GB2312" w:hAnsi="仿宋_GB2312" w:eastAsia="仿宋_GB2312" w:cs="仿宋_GB2312"/>
                <w:b/>
                <w:sz w:val="24"/>
                <w:szCs w:val="24"/>
              </w:rPr>
            </w:pPr>
          </w:p>
        </w:tc>
        <w:tc>
          <w:tcPr>
            <w:tcW w:w="1389" w:type="dxa"/>
            <w:vMerge w:val="continue"/>
            <w:vAlign w:val="center"/>
          </w:tcPr>
          <w:p>
            <w:pPr>
              <w:pStyle w:val="9"/>
              <w:jc w:val="center"/>
              <w:rPr>
                <w:rFonts w:hint="eastAsia" w:ascii="仿宋_GB2312" w:hAnsi="仿宋_GB2312" w:eastAsia="仿宋_GB2312" w:cs="仿宋_GB2312"/>
                <w:sz w:val="24"/>
                <w:szCs w:val="24"/>
              </w:rPr>
            </w:pPr>
          </w:p>
        </w:tc>
        <w:tc>
          <w:tcPr>
            <w:tcW w:w="8059" w:type="dxa"/>
            <w:vAlign w:val="center"/>
          </w:tcPr>
          <w:p>
            <w:pPr>
              <w:pStyle w:val="9"/>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加密监测频次，水质数据及时反馈君山区、华容县人民政府</w:t>
            </w:r>
            <w:r>
              <w:rPr>
                <w:rFonts w:hint="eastAsia" w:ascii="仿宋_GB2312" w:hAnsi="仿宋_GB2312" w:eastAsia="仿宋_GB2312" w:cs="仿宋_GB2312"/>
                <w:sz w:val="24"/>
                <w:szCs w:val="24"/>
                <w:lang w:eastAsia="zh-CN"/>
              </w:rPr>
              <w:t>。</w:t>
            </w:r>
          </w:p>
        </w:tc>
        <w:tc>
          <w:tcPr>
            <w:tcW w:w="1772" w:type="dxa"/>
            <w:vMerge w:val="continue"/>
            <w:vAlign w:val="center"/>
          </w:tcPr>
          <w:p>
            <w:pPr>
              <w:pStyle w:val="9"/>
              <w:jc w:val="center"/>
              <w:rPr>
                <w:rFonts w:hint="eastAsia" w:ascii="仿宋_GB2312" w:hAnsi="仿宋_GB2312" w:eastAsia="仿宋_GB2312" w:cs="仿宋_GB2312"/>
                <w:sz w:val="24"/>
                <w:szCs w:val="24"/>
              </w:rPr>
            </w:pPr>
          </w:p>
        </w:tc>
        <w:tc>
          <w:tcPr>
            <w:tcW w:w="1514" w:type="dxa"/>
            <w:vAlign w:val="center"/>
          </w:tcPr>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立行立改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806" w:type="dxa"/>
            <w:vMerge w:val="continue"/>
            <w:vAlign w:val="center"/>
          </w:tcPr>
          <w:p>
            <w:pPr>
              <w:pStyle w:val="9"/>
              <w:jc w:val="center"/>
              <w:rPr>
                <w:rFonts w:hint="eastAsia" w:ascii="仿宋_GB2312" w:hAnsi="仿宋_GB2312" w:eastAsia="仿宋_GB2312" w:cs="仿宋_GB2312"/>
                <w:b/>
                <w:sz w:val="24"/>
                <w:szCs w:val="24"/>
              </w:rPr>
            </w:pPr>
          </w:p>
        </w:tc>
        <w:tc>
          <w:tcPr>
            <w:tcW w:w="1389" w:type="dxa"/>
            <w:vMerge w:val="continue"/>
            <w:vAlign w:val="center"/>
          </w:tcPr>
          <w:p>
            <w:pPr>
              <w:pStyle w:val="9"/>
              <w:jc w:val="center"/>
              <w:rPr>
                <w:rFonts w:hint="eastAsia" w:ascii="仿宋_GB2312" w:hAnsi="仿宋_GB2312" w:eastAsia="仿宋_GB2312" w:cs="仿宋_GB2312"/>
                <w:sz w:val="24"/>
                <w:szCs w:val="24"/>
              </w:rPr>
            </w:pPr>
          </w:p>
        </w:tc>
        <w:tc>
          <w:tcPr>
            <w:tcW w:w="8059" w:type="dxa"/>
            <w:vAlign w:val="center"/>
          </w:tcPr>
          <w:p>
            <w:pPr>
              <w:pStyle w:val="9"/>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开展辖区内面源污染治理，对断面上游的排渍口进行整治，在上游排渍口前池及排渍渠建设生态缓冲带，确保排水总磷进一步削减</w:t>
            </w:r>
            <w:r>
              <w:rPr>
                <w:rFonts w:hint="eastAsia" w:ascii="仿宋_GB2312" w:hAnsi="仿宋_GB2312" w:eastAsia="仿宋_GB2312" w:cs="仿宋_GB2312"/>
                <w:color w:val="000000"/>
                <w:sz w:val="24"/>
                <w:szCs w:val="24"/>
                <w:lang w:eastAsia="zh-CN"/>
              </w:rPr>
              <w:t>。</w:t>
            </w:r>
          </w:p>
        </w:tc>
        <w:tc>
          <w:tcPr>
            <w:tcW w:w="1772" w:type="dxa"/>
            <w:vAlign w:val="center"/>
          </w:tcPr>
          <w:p>
            <w:pPr>
              <w:pStyle w:val="9"/>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农业农村局</w:t>
            </w:r>
          </w:p>
          <w:p>
            <w:pPr>
              <w:pStyle w:val="9"/>
              <w:jc w:val="center"/>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县生环委办</w:t>
            </w:r>
          </w:p>
        </w:tc>
        <w:tc>
          <w:tcPr>
            <w:tcW w:w="1514" w:type="dxa"/>
            <w:vAlign w:val="center"/>
          </w:tcPr>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6月30日前</w:t>
            </w:r>
          </w:p>
        </w:tc>
      </w:tr>
    </w:tbl>
    <w:p>
      <w:pPr>
        <w:pStyle w:val="18"/>
        <w:rPr>
          <w:rFonts w:hint="eastAsia"/>
        </w:rPr>
      </w:pPr>
    </w:p>
    <w:p>
      <w:pPr>
        <w:jc w:val="center"/>
        <w:rPr>
          <w:rFonts w:ascii="仿宋" w:hAnsi="仿宋" w:eastAsia="仿宋"/>
          <w:b/>
          <w:sz w:val="32"/>
          <w:szCs w:val="32"/>
        </w:rPr>
      </w:pP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）主要湖泊断面整改任务</w:t>
      </w:r>
    </w:p>
    <w:tbl>
      <w:tblPr>
        <w:tblStyle w:val="16"/>
        <w:tblW w:w="13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395"/>
        <w:gridCol w:w="8093"/>
        <w:gridCol w:w="1943"/>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09"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流域</w:t>
            </w:r>
          </w:p>
        </w:tc>
        <w:tc>
          <w:tcPr>
            <w:tcW w:w="1395"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断面名称</w:t>
            </w:r>
          </w:p>
        </w:tc>
        <w:tc>
          <w:tcPr>
            <w:tcW w:w="8093"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整改任务</w:t>
            </w:r>
          </w:p>
        </w:tc>
        <w:tc>
          <w:tcPr>
            <w:tcW w:w="1943"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责任单位</w:t>
            </w:r>
          </w:p>
        </w:tc>
        <w:tc>
          <w:tcPr>
            <w:tcW w:w="1520" w:type="dxa"/>
            <w:vAlign w:val="center"/>
          </w:tcPr>
          <w:p>
            <w:pPr>
              <w:pStyle w:val="9"/>
              <w:jc w:val="center"/>
              <w:rPr>
                <w:rFonts w:hint="eastAsia" w:ascii="黑体" w:hAnsi="黑体" w:eastAsia="黑体" w:cs="黑体"/>
                <w:b w:val="0"/>
                <w:bCs/>
                <w:sz w:val="24"/>
                <w:szCs w:val="24"/>
              </w:rPr>
            </w:pPr>
            <w:r>
              <w:rPr>
                <w:rFonts w:hint="eastAsia" w:ascii="黑体" w:hAnsi="黑体" w:eastAsia="黑体" w:cs="黑体"/>
                <w:b w:val="0"/>
                <w:bCs/>
                <w:sz w:val="24"/>
                <w:szCs w:val="24"/>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09" w:type="dxa"/>
            <w:vMerge w:val="restart"/>
            <w:vAlign w:val="center"/>
          </w:tcPr>
          <w:p>
            <w:pPr>
              <w:pStyle w:val="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华</w:t>
            </w:r>
          </w:p>
          <w:p>
            <w:pPr>
              <w:pStyle w:val="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容</w:t>
            </w:r>
          </w:p>
          <w:p>
            <w:pPr>
              <w:pStyle w:val="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东</w:t>
            </w:r>
          </w:p>
          <w:p>
            <w:pPr>
              <w:pStyle w:val="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湖</w:t>
            </w:r>
          </w:p>
        </w:tc>
        <w:tc>
          <w:tcPr>
            <w:tcW w:w="1395" w:type="dxa"/>
            <w:vMerge w:val="restart"/>
            <w:vAlign w:val="center"/>
          </w:tcPr>
          <w:p>
            <w:pPr>
              <w:pStyle w:val="9"/>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东湖断面</w:t>
            </w:r>
          </w:p>
        </w:tc>
        <w:tc>
          <w:tcPr>
            <w:tcW w:w="8093" w:type="dxa"/>
            <w:vAlign w:val="center"/>
          </w:tcPr>
          <w:p>
            <w:pPr>
              <w:pStyle w:val="9"/>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采取“人放天养”的养殖方式，禁止投肥投饵</w:t>
            </w:r>
            <w:r>
              <w:rPr>
                <w:rFonts w:hint="eastAsia" w:ascii="仿宋_GB2312" w:hAnsi="仿宋_GB2312" w:eastAsia="仿宋_GB2312" w:cs="仿宋_GB2312"/>
                <w:sz w:val="24"/>
                <w:szCs w:val="24"/>
                <w:lang w:eastAsia="zh-CN"/>
              </w:rPr>
              <w:t>。</w:t>
            </w:r>
          </w:p>
        </w:tc>
        <w:tc>
          <w:tcPr>
            <w:tcW w:w="1943" w:type="dxa"/>
            <w:vMerge w:val="restart"/>
            <w:vAlign w:val="center"/>
          </w:tcPr>
          <w:p>
            <w:pPr>
              <w:pStyle w:val="9"/>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禹山镇</w:t>
            </w:r>
          </w:p>
          <w:p>
            <w:pPr>
              <w:pStyle w:val="9"/>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县</w:t>
            </w:r>
            <w:r>
              <w:rPr>
                <w:rFonts w:hint="eastAsia" w:ascii="仿宋_GB2312" w:hAnsi="仿宋_GB2312" w:eastAsia="仿宋_GB2312" w:cs="仿宋_GB2312"/>
                <w:sz w:val="21"/>
                <w:szCs w:val="21"/>
              </w:rPr>
              <w:t>农业农村局</w:t>
            </w:r>
          </w:p>
          <w:p>
            <w:pPr>
              <w:pStyle w:val="9"/>
              <w:jc w:val="center"/>
              <w:rPr>
                <w:rFonts w:hint="eastAsia" w:ascii="仿宋_GB2312" w:hAnsi="仿宋_GB2312" w:eastAsia="仿宋_GB2312" w:cs="仿宋_GB2312"/>
                <w:sz w:val="24"/>
                <w:szCs w:val="24"/>
              </w:rPr>
            </w:pPr>
          </w:p>
        </w:tc>
        <w:tc>
          <w:tcPr>
            <w:tcW w:w="1520" w:type="dxa"/>
            <w:vMerge w:val="restart"/>
            <w:vAlign w:val="center"/>
          </w:tcPr>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立行立改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809" w:type="dxa"/>
            <w:vMerge w:val="continue"/>
            <w:vAlign w:val="center"/>
          </w:tcPr>
          <w:p>
            <w:pPr>
              <w:pStyle w:val="9"/>
              <w:jc w:val="center"/>
              <w:rPr>
                <w:rFonts w:hint="eastAsia" w:ascii="仿宋_GB2312" w:hAnsi="仿宋_GB2312" w:eastAsia="仿宋_GB2312" w:cs="仿宋_GB2312"/>
                <w:sz w:val="24"/>
                <w:szCs w:val="24"/>
              </w:rPr>
            </w:pPr>
          </w:p>
        </w:tc>
        <w:tc>
          <w:tcPr>
            <w:tcW w:w="1395" w:type="dxa"/>
            <w:vMerge w:val="continue"/>
            <w:vAlign w:val="center"/>
          </w:tcPr>
          <w:p>
            <w:pPr>
              <w:pStyle w:val="9"/>
              <w:jc w:val="center"/>
              <w:rPr>
                <w:rFonts w:hint="eastAsia" w:ascii="仿宋_GB2312" w:hAnsi="仿宋_GB2312" w:eastAsia="仿宋_GB2312" w:cs="仿宋_GB2312"/>
                <w:sz w:val="24"/>
                <w:szCs w:val="24"/>
              </w:rPr>
            </w:pPr>
          </w:p>
        </w:tc>
        <w:tc>
          <w:tcPr>
            <w:tcW w:w="8093" w:type="dxa"/>
            <w:vAlign w:val="center"/>
          </w:tcPr>
          <w:p>
            <w:pPr>
              <w:pStyle w:val="9"/>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断面长负责巡查断面周边污染物情况，时刻关注断面水质信息，发现超标立即调查整改</w:t>
            </w:r>
            <w:r>
              <w:rPr>
                <w:rFonts w:hint="eastAsia" w:ascii="仿宋_GB2312" w:hAnsi="仿宋_GB2312" w:eastAsia="仿宋_GB2312" w:cs="仿宋_GB2312"/>
                <w:color w:val="000000"/>
                <w:sz w:val="24"/>
                <w:szCs w:val="24"/>
                <w:lang w:eastAsia="zh-CN"/>
              </w:rPr>
              <w:t>。</w:t>
            </w:r>
          </w:p>
        </w:tc>
        <w:tc>
          <w:tcPr>
            <w:tcW w:w="1943" w:type="dxa"/>
            <w:vMerge w:val="continue"/>
            <w:vAlign w:val="center"/>
          </w:tcPr>
          <w:p>
            <w:pPr>
              <w:pStyle w:val="9"/>
              <w:jc w:val="center"/>
              <w:rPr>
                <w:rFonts w:hint="eastAsia" w:ascii="仿宋_GB2312" w:hAnsi="仿宋_GB2312" w:eastAsia="仿宋_GB2312" w:cs="仿宋_GB2312"/>
                <w:sz w:val="24"/>
                <w:szCs w:val="24"/>
              </w:rPr>
            </w:pPr>
          </w:p>
        </w:tc>
        <w:tc>
          <w:tcPr>
            <w:tcW w:w="1520" w:type="dxa"/>
            <w:vMerge w:val="continue"/>
            <w:vAlign w:val="center"/>
          </w:tcPr>
          <w:p>
            <w:pPr>
              <w:pStyle w:val="9"/>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09" w:type="dxa"/>
            <w:vMerge w:val="continue"/>
            <w:vAlign w:val="center"/>
          </w:tcPr>
          <w:p>
            <w:pPr>
              <w:pStyle w:val="9"/>
              <w:jc w:val="center"/>
              <w:rPr>
                <w:rFonts w:hint="eastAsia" w:ascii="仿宋_GB2312" w:hAnsi="仿宋_GB2312" w:eastAsia="仿宋_GB2312" w:cs="仿宋_GB2312"/>
                <w:sz w:val="24"/>
                <w:szCs w:val="24"/>
              </w:rPr>
            </w:pPr>
          </w:p>
        </w:tc>
        <w:tc>
          <w:tcPr>
            <w:tcW w:w="1395" w:type="dxa"/>
            <w:vMerge w:val="continue"/>
            <w:vAlign w:val="center"/>
          </w:tcPr>
          <w:p>
            <w:pPr>
              <w:pStyle w:val="9"/>
              <w:jc w:val="center"/>
              <w:rPr>
                <w:rFonts w:hint="eastAsia" w:ascii="仿宋_GB2312" w:hAnsi="仿宋_GB2312" w:eastAsia="仿宋_GB2312" w:cs="仿宋_GB2312"/>
                <w:sz w:val="24"/>
                <w:szCs w:val="24"/>
              </w:rPr>
            </w:pPr>
          </w:p>
        </w:tc>
        <w:tc>
          <w:tcPr>
            <w:tcW w:w="8093" w:type="dxa"/>
            <w:vAlign w:val="center"/>
          </w:tcPr>
          <w:p>
            <w:pPr>
              <w:pStyle w:val="9"/>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加密监测频次，水质数据及时反馈县人民政府</w:t>
            </w:r>
            <w:r>
              <w:rPr>
                <w:rFonts w:hint="eastAsia" w:ascii="仿宋_GB2312" w:hAnsi="仿宋_GB2312" w:eastAsia="仿宋_GB2312" w:cs="仿宋_GB2312"/>
                <w:sz w:val="24"/>
                <w:szCs w:val="24"/>
                <w:lang w:eastAsia="zh-CN"/>
              </w:rPr>
              <w:t>。</w:t>
            </w:r>
          </w:p>
        </w:tc>
        <w:tc>
          <w:tcPr>
            <w:tcW w:w="1943" w:type="dxa"/>
            <w:vAlign w:val="center"/>
          </w:tcPr>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市生态环境局华容分局</w:t>
            </w:r>
          </w:p>
        </w:tc>
        <w:tc>
          <w:tcPr>
            <w:tcW w:w="1520" w:type="dxa"/>
            <w:vAlign w:val="center"/>
          </w:tcPr>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立行立改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809" w:type="dxa"/>
            <w:vMerge w:val="continue"/>
            <w:vAlign w:val="center"/>
          </w:tcPr>
          <w:p>
            <w:pPr>
              <w:pStyle w:val="9"/>
              <w:jc w:val="center"/>
              <w:rPr>
                <w:rFonts w:hint="eastAsia" w:ascii="仿宋_GB2312" w:hAnsi="仿宋_GB2312" w:eastAsia="仿宋_GB2312" w:cs="仿宋_GB2312"/>
                <w:sz w:val="24"/>
                <w:szCs w:val="24"/>
              </w:rPr>
            </w:pPr>
          </w:p>
        </w:tc>
        <w:tc>
          <w:tcPr>
            <w:tcW w:w="1395" w:type="dxa"/>
            <w:vMerge w:val="continue"/>
            <w:vAlign w:val="center"/>
          </w:tcPr>
          <w:p>
            <w:pPr>
              <w:pStyle w:val="9"/>
              <w:jc w:val="center"/>
              <w:rPr>
                <w:rFonts w:hint="eastAsia" w:ascii="仿宋_GB2312" w:hAnsi="仿宋_GB2312" w:eastAsia="仿宋_GB2312" w:cs="仿宋_GB2312"/>
                <w:sz w:val="24"/>
                <w:szCs w:val="24"/>
              </w:rPr>
            </w:pPr>
          </w:p>
        </w:tc>
        <w:tc>
          <w:tcPr>
            <w:tcW w:w="8093" w:type="dxa"/>
            <w:vAlign w:val="center"/>
          </w:tcPr>
          <w:p>
            <w:pPr>
              <w:pStyle w:val="9"/>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养殖鱼塘、湖库养殖尾水管控，采用“三池两坝一湿地”的方式连片处理养殖尾水</w:t>
            </w:r>
            <w:r>
              <w:rPr>
                <w:rFonts w:hint="eastAsia" w:ascii="仿宋_GB2312" w:hAnsi="仿宋_GB2312" w:eastAsia="仿宋_GB2312" w:cs="仿宋_GB2312"/>
                <w:sz w:val="24"/>
                <w:szCs w:val="24"/>
                <w:lang w:eastAsia="zh-CN"/>
              </w:rPr>
              <w:t>。</w:t>
            </w:r>
          </w:p>
        </w:tc>
        <w:tc>
          <w:tcPr>
            <w:tcW w:w="1943" w:type="dxa"/>
            <w:vAlign w:val="center"/>
          </w:tcPr>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农业农村局</w:t>
            </w:r>
          </w:p>
        </w:tc>
        <w:tc>
          <w:tcPr>
            <w:tcW w:w="1520" w:type="dxa"/>
            <w:vAlign w:val="center"/>
          </w:tcPr>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立行立改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jc w:val="center"/>
        </w:trPr>
        <w:tc>
          <w:tcPr>
            <w:tcW w:w="809" w:type="dxa"/>
            <w:vMerge w:val="continue"/>
            <w:vAlign w:val="center"/>
          </w:tcPr>
          <w:p>
            <w:pPr>
              <w:pStyle w:val="9"/>
              <w:jc w:val="center"/>
              <w:rPr>
                <w:rFonts w:hint="eastAsia" w:ascii="仿宋_GB2312" w:hAnsi="仿宋_GB2312" w:eastAsia="仿宋_GB2312" w:cs="仿宋_GB2312"/>
                <w:sz w:val="24"/>
                <w:szCs w:val="24"/>
              </w:rPr>
            </w:pPr>
          </w:p>
        </w:tc>
        <w:tc>
          <w:tcPr>
            <w:tcW w:w="1395" w:type="dxa"/>
            <w:vMerge w:val="continue"/>
            <w:vAlign w:val="center"/>
          </w:tcPr>
          <w:p>
            <w:pPr>
              <w:pStyle w:val="9"/>
              <w:jc w:val="center"/>
              <w:rPr>
                <w:rFonts w:hint="eastAsia" w:ascii="仿宋_GB2312" w:hAnsi="仿宋_GB2312" w:eastAsia="仿宋_GB2312" w:cs="仿宋_GB2312"/>
                <w:sz w:val="24"/>
                <w:szCs w:val="24"/>
              </w:rPr>
            </w:pPr>
          </w:p>
        </w:tc>
        <w:tc>
          <w:tcPr>
            <w:tcW w:w="8093" w:type="dxa"/>
            <w:vAlign w:val="center"/>
          </w:tcPr>
          <w:p>
            <w:pPr>
              <w:pStyle w:val="9"/>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开展辖区内面源污染治理，对断面上游的排渍口进行整治，在上游排渍口前池及排渍渠建设生态缓冲带，确保排水总磷进一步削减</w:t>
            </w:r>
            <w:r>
              <w:rPr>
                <w:rFonts w:hint="eastAsia" w:ascii="仿宋_GB2312" w:hAnsi="仿宋_GB2312" w:eastAsia="仿宋_GB2312" w:cs="仿宋_GB2312"/>
                <w:color w:val="000000"/>
                <w:sz w:val="24"/>
                <w:szCs w:val="24"/>
                <w:lang w:eastAsia="zh-CN"/>
              </w:rPr>
              <w:t>。</w:t>
            </w:r>
          </w:p>
        </w:tc>
        <w:tc>
          <w:tcPr>
            <w:tcW w:w="1943" w:type="dxa"/>
            <w:vAlign w:val="center"/>
          </w:tcPr>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县</w:t>
            </w:r>
            <w:r>
              <w:rPr>
                <w:rFonts w:hint="eastAsia" w:ascii="仿宋_GB2312" w:hAnsi="仿宋_GB2312" w:eastAsia="仿宋_GB2312" w:cs="仿宋_GB2312"/>
                <w:sz w:val="24"/>
                <w:szCs w:val="24"/>
              </w:rPr>
              <w:t>农业农村局</w:t>
            </w:r>
          </w:p>
          <w:p>
            <w:pPr>
              <w:pStyle w:val="9"/>
              <w:jc w:val="center"/>
              <w:rPr>
                <w:rFonts w:hint="eastAsia" w:ascii="仿宋_GB2312" w:hAnsi="仿宋_GB2312" w:eastAsia="仿宋_GB2312" w:cs="仿宋_GB2312"/>
                <w:sz w:val="24"/>
                <w:szCs w:val="24"/>
              </w:rPr>
            </w:pPr>
          </w:p>
        </w:tc>
        <w:tc>
          <w:tcPr>
            <w:tcW w:w="1520" w:type="dxa"/>
            <w:vAlign w:val="center"/>
          </w:tcPr>
          <w:p>
            <w:pPr>
              <w:pStyle w:val="9"/>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6月30日前</w:t>
            </w:r>
          </w:p>
        </w:tc>
      </w:tr>
    </w:tbl>
    <w:p>
      <w:pPr>
        <w:spacing w:after="0" w:line="560" w:lineRule="exact"/>
        <w:ind w:firstLine="640" w:firstLineChars="200"/>
        <w:rPr>
          <w:rFonts w:hint="eastAsia" w:ascii="仿宋_GB2312" w:hAnsi="仿宋_GB2312" w:eastAsia="仿宋_GB2312" w:cs="仿宋_GB2312"/>
          <w:b w:val="0"/>
          <w:bCs/>
          <w:sz w:val="32"/>
          <w:szCs w:val="32"/>
        </w:rPr>
      </w:pPr>
    </w:p>
    <w:p>
      <w:pPr>
        <w:spacing w:after="0" w:line="560" w:lineRule="exact"/>
        <w:ind w:firstLine="640" w:firstLineChars="200"/>
        <w:rPr>
          <w:rFonts w:hint="eastAsia" w:ascii="仿宋_GB2312" w:hAnsi="仿宋_GB2312" w:eastAsia="仿宋_GB2312" w:cs="仿宋_GB2312"/>
          <w:b w:val="0"/>
          <w:bCs/>
          <w:sz w:val="32"/>
          <w:szCs w:val="32"/>
        </w:rPr>
      </w:pPr>
    </w:p>
    <w:p>
      <w:pPr>
        <w:spacing w:after="0"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w:t>
      </w:r>
      <w:r>
        <w:rPr>
          <w:rFonts w:hint="eastAsia" w:ascii="仿宋_GB2312" w:hAnsi="仿宋_GB2312" w:eastAsia="仿宋_GB2312" w:cs="仿宋_GB2312"/>
          <w:b w:val="0"/>
          <w:bCs/>
          <w:sz w:val="32"/>
          <w:szCs w:val="32"/>
          <w:lang w:val="en-US" w:eastAsia="zh-CN"/>
        </w:rPr>
        <w:t>表</w:t>
      </w: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w:t>
      </w:r>
    </w:p>
    <w:p>
      <w:pPr>
        <w:spacing w:after="0" w:line="560" w:lineRule="exact"/>
        <w:jc w:val="center"/>
        <w:rPr>
          <w:rFonts w:hint="eastAsia" w:ascii="方正小标宋简体" w:hAnsi="方正小标宋简体" w:eastAsia="方正小标宋简体" w:cs="方正小标宋简体"/>
          <w:b w:val="0"/>
          <w:bCs/>
          <w:sz w:val="40"/>
          <w:szCs w:val="40"/>
        </w:rPr>
      </w:pPr>
      <w:r>
        <w:rPr>
          <w:rFonts w:hint="eastAsia" w:ascii="宋体" w:hAnsi="宋体" w:cs="宋体"/>
          <w:b/>
          <w:bCs w:val="0"/>
          <w:sz w:val="36"/>
          <w:szCs w:val="36"/>
          <w:lang w:val="en-US" w:eastAsia="zh-CN"/>
        </w:rPr>
        <w:t xml:space="preserve">   </w:t>
      </w:r>
      <w:r>
        <w:rPr>
          <w:rFonts w:hint="eastAsia" w:ascii="方正小标宋简体" w:hAnsi="方正小标宋简体" w:eastAsia="方正小标宋简体" w:cs="方正小标宋简体"/>
          <w:b w:val="0"/>
          <w:bCs/>
          <w:sz w:val="40"/>
          <w:szCs w:val="40"/>
          <w:lang w:val="en-US" w:eastAsia="zh-CN"/>
        </w:rPr>
        <w:t xml:space="preserve"> </w:t>
      </w:r>
      <w:r>
        <w:rPr>
          <w:rFonts w:hint="eastAsia" w:ascii="方正小标宋简体" w:hAnsi="方正小标宋简体" w:eastAsia="方正小标宋简体" w:cs="方正小标宋简体"/>
          <w:b w:val="0"/>
          <w:bCs/>
          <w:sz w:val="40"/>
          <w:szCs w:val="40"/>
        </w:rPr>
        <w:t>2021年</w:t>
      </w:r>
      <w:r>
        <w:rPr>
          <w:rFonts w:hint="eastAsia" w:ascii="方正小标宋简体" w:hAnsi="方正小标宋简体" w:eastAsia="方正小标宋简体" w:cs="方正小标宋简体"/>
          <w:b w:val="0"/>
          <w:bCs/>
          <w:sz w:val="40"/>
          <w:szCs w:val="40"/>
          <w:lang w:eastAsia="zh-CN"/>
        </w:rPr>
        <w:t>华容县</w:t>
      </w:r>
      <w:r>
        <w:rPr>
          <w:rFonts w:hint="eastAsia" w:ascii="方正小标宋简体" w:hAnsi="方正小标宋简体" w:eastAsia="方正小标宋简体" w:cs="方正小标宋简体"/>
          <w:b w:val="0"/>
          <w:bCs/>
          <w:sz w:val="40"/>
          <w:szCs w:val="40"/>
        </w:rPr>
        <w:t>洞庭湖总磷污染控制与削减工程项目清单</w:t>
      </w:r>
    </w:p>
    <w:p>
      <w:pPr>
        <w:pStyle w:val="4"/>
        <w:ind w:firstLine="2730" w:firstLineChars="1300"/>
        <w:jc w:val="both"/>
        <w:rPr>
          <w:sz w:val="21"/>
          <w:szCs w:val="21"/>
        </w:rPr>
      </w:pP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color w:val="000000"/>
          <w:sz w:val="21"/>
          <w:szCs w:val="21"/>
          <w:highlight w:val="none"/>
        </w:rPr>
        <w:t>完成时限均为2021年</w:t>
      </w:r>
      <w:r>
        <w:rPr>
          <w:rFonts w:hint="eastAsia" w:ascii="仿宋_GB2312" w:hAnsi="仿宋_GB2312" w:eastAsia="仿宋_GB2312" w:cs="仿宋_GB2312"/>
          <w:color w:val="000000"/>
          <w:sz w:val="21"/>
          <w:szCs w:val="21"/>
          <w:highlight w:val="none"/>
          <w:lang w:val="en-US" w:eastAsia="zh-CN"/>
        </w:rPr>
        <w:t>9</w:t>
      </w:r>
      <w:r>
        <w:rPr>
          <w:rFonts w:hint="eastAsia" w:ascii="仿宋_GB2312" w:hAnsi="仿宋_GB2312" w:eastAsia="仿宋_GB2312" w:cs="仿宋_GB2312"/>
          <w:color w:val="000000"/>
          <w:sz w:val="21"/>
          <w:szCs w:val="21"/>
          <w:highlight w:val="none"/>
        </w:rPr>
        <w:t>月</w:t>
      </w:r>
      <w:r>
        <w:rPr>
          <w:rFonts w:hint="eastAsia" w:ascii="仿宋_GB2312" w:hAnsi="仿宋_GB2312" w:eastAsia="仿宋_GB2312" w:cs="仿宋_GB2312"/>
          <w:color w:val="000000"/>
          <w:sz w:val="21"/>
          <w:szCs w:val="21"/>
          <w:highlight w:val="none"/>
          <w:lang w:val="en-US" w:eastAsia="zh-CN"/>
        </w:rPr>
        <w:t>30</w:t>
      </w:r>
      <w:r>
        <w:rPr>
          <w:rFonts w:hint="eastAsia" w:ascii="仿宋_GB2312" w:hAnsi="仿宋_GB2312" w:eastAsia="仿宋_GB2312" w:cs="仿宋_GB2312"/>
          <w:color w:val="000000"/>
          <w:sz w:val="21"/>
          <w:szCs w:val="21"/>
          <w:highlight w:val="none"/>
        </w:rPr>
        <w:t>日</w:t>
      </w:r>
      <w:r>
        <w:rPr>
          <w:rFonts w:hint="eastAsia" w:ascii="仿宋_GB2312" w:hAnsi="仿宋_GB2312" w:eastAsia="仿宋_GB2312" w:cs="仿宋_GB2312"/>
          <w:color w:val="000000"/>
          <w:sz w:val="21"/>
          <w:szCs w:val="21"/>
          <w:highlight w:val="none"/>
          <w:lang w:eastAsia="zh-CN"/>
        </w:rPr>
        <w:t>前）</w:t>
      </w:r>
    </w:p>
    <w:tbl>
      <w:tblPr>
        <w:tblStyle w:val="16"/>
        <w:tblW w:w="13710"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9"/>
        <w:gridCol w:w="888"/>
        <w:gridCol w:w="2310"/>
        <w:gridCol w:w="7545"/>
        <w:gridCol w:w="2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919" w:type="dxa"/>
            <w:vAlign w:val="center"/>
          </w:tcPr>
          <w:p>
            <w:pPr>
              <w:pStyle w:val="38"/>
              <w:spacing w:before="50"/>
              <w:ind w:left="32" w:right="28"/>
              <w:rPr>
                <w:rFonts w:hint="eastAsia" w:ascii="黑体" w:hAnsi="黑体" w:eastAsia="黑体" w:cs="黑体"/>
                <w:b w:val="0"/>
                <w:bCs w:val="0"/>
                <w:color w:val="000000"/>
                <w:sz w:val="21"/>
                <w:szCs w:val="21"/>
                <w:highlight w:val="none"/>
              </w:rPr>
            </w:pPr>
            <w:r>
              <w:rPr>
                <w:rFonts w:hint="eastAsia" w:ascii="黑体" w:hAnsi="黑体" w:eastAsia="黑体" w:cs="黑体"/>
                <w:b w:val="0"/>
                <w:bCs w:val="0"/>
                <w:color w:val="000000"/>
                <w:sz w:val="21"/>
                <w:szCs w:val="21"/>
                <w:highlight w:val="none"/>
              </w:rPr>
              <w:t>序号</w:t>
            </w:r>
          </w:p>
        </w:tc>
        <w:tc>
          <w:tcPr>
            <w:tcW w:w="888" w:type="dxa"/>
            <w:vAlign w:val="center"/>
          </w:tcPr>
          <w:p>
            <w:pPr>
              <w:pStyle w:val="38"/>
              <w:spacing w:before="63"/>
              <w:ind w:left="75" w:right="64"/>
              <w:rPr>
                <w:rFonts w:hint="eastAsia" w:ascii="黑体" w:hAnsi="黑体" w:eastAsia="黑体" w:cs="黑体"/>
                <w:b w:val="0"/>
                <w:bCs w:val="0"/>
                <w:color w:val="000000"/>
                <w:sz w:val="21"/>
                <w:szCs w:val="21"/>
                <w:highlight w:val="none"/>
              </w:rPr>
            </w:pPr>
            <w:r>
              <w:rPr>
                <w:rFonts w:hint="eastAsia" w:ascii="黑体" w:hAnsi="黑体" w:eastAsia="黑体" w:cs="黑体"/>
                <w:b w:val="0"/>
                <w:bCs w:val="0"/>
                <w:color w:val="000000"/>
                <w:sz w:val="21"/>
                <w:szCs w:val="21"/>
                <w:highlight w:val="none"/>
              </w:rPr>
              <w:t>县市区</w:t>
            </w:r>
          </w:p>
        </w:tc>
        <w:tc>
          <w:tcPr>
            <w:tcW w:w="2310" w:type="dxa"/>
            <w:vAlign w:val="center"/>
          </w:tcPr>
          <w:p>
            <w:pPr>
              <w:pStyle w:val="38"/>
              <w:spacing w:before="63"/>
              <w:jc w:val="center"/>
              <w:rPr>
                <w:rFonts w:hint="eastAsia" w:ascii="黑体" w:hAnsi="黑体" w:eastAsia="黑体" w:cs="黑体"/>
                <w:b w:val="0"/>
                <w:bCs w:val="0"/>
                <w:color w:val="000000"/>
                <w:sz w:val="21"/>
                <w:szCs w:val="21"/>
                <w:highlight w:val="none"/>
              </w:rPr>
            </w:pPr>
            <w:r>
              <w:rPr>
                <w:rFonts w:hint="eastAsia" w:ascii="黑体" w:hAnsi="黑体" w:eastAsia="黑体" w:cs="黑体"/>
                <w:b w:val="0"/>
                <w:bCs w:val="0"/>
                <w:color w:val="000000"/>
                <w:sz w:val="21"/>
                <w:szCs w:val="21"/>
                <w:highlight w:val="none"/>
              </w:rPr>
              <w:t>项目名称</w:t>
            </w:r>
          </w:p>
        </w:tc>
        <w:tc>
          <w:tcPr>
            <w:tcW w:w="7545" w:type="dxa"/>
            <w:vAlign w:val="center"/>
          </w:tcPr>
          <w:p>
            <w:pPr>
              <w:pStyle w:val="38"/>
              <w:spacing w:before="63"/>
              <w:ind w:right="2565"/>
              <w:jc w:val="center"/>
              <w:rPr>
                <w:rFonts w:hint="eastAsia" w:ascii="黑体" w:hAnsi="黑体" w:eastAsia="黑体" w:cs="黑体"/>
                <w:b w:val="0"/>
                <w:bCs w:val="0"/>
                <w:color w:val="000000"/>
                <w:sz w:val="21"/>
                <w:szCs w:val="21"/>
                <w:highlight w:val="none"/>
              </w:rPr>
            </w:pPr>
            <w:r>
              <w:rPr>
                <w:rFonts w:hint="eastAsia" w:ascii="黑体" w:hAnsi="黑体" w:eastAsia="黑体" w:cs="黑体"/>
                <w:b w:val="0"/>
                <w:bCs w:val="0"/>
                <w:color w:val="000000"/>
                <w:sz w:val="21"/>
                <w:szCs w:val="21"/>
                <w:highlight w:val="none"/>
                <w:lang w:val="en-US" w:eastAsia="zh-CN"/>
              </w:rPr>
              <w:t xml:space="preserve">                    </w:t>
            </w:r>
            <w:r>
              <w:rPr>
                <w:rFonts w:hint="eastAsia" w:ascii="黑体" w:hAnsi="黑体" w:eastAsia="黑体" w:cs="黑体"/>
                <w:b w:val="0"/>
                <w:bCs w:val="0"/>
                <w:color w:val="000000"/>
                <w:sz w:val="21"/>
                <w:szCs w:val="21"/>
                <w:highlight w:val="none"/>
              </w:rPr>
              <w:t>主要建设内容及规模</w:t>
            </w:r>
          </w:p>
        </w:tc>
        <w:tc>
          <w:tcPr>
            <w:tcW w:w="2048" w:type="dxa"/>
            <w:vAlign w:val="center"/>
          </w:tcPr>
          <w:p>
            <w:pPr>
              <w:pStyle w:val="38"/>
              <w:spacing w:before="63"/>
              <w:ind w:left="219" w:right="211"/>
              <w:rPr>
                <w:rFonts w:hint="eastAsia" w:ascii="黑体" w:hAnsi="黑体" w:eastAsia="黑体" w:cs="黑体"/>
                <w:b w:val="0"/>
                <w:bCs w:val="0"/>
                <w:color w:val="000000"/>
                <w:sz w:val="21"/>
                <w:szCs w:val="21"/>
                <w:highlight w:val="none"/>
              </w:rPr>
            </w:pPr>
            <w:r>
              <w:rPr>
                <w:rFonts w:hint="eastAsia" w:ascii="黑体" w:hAnsi="黑体" w:eastAsia="黑体" w:cs="黑体"/>
                <w:b w:val="0"/>
                <w:bCs w:val="0"/>
                <w:color w:val="000000"/>
                <w:sz w:val="21"/>
                <w:szCs w:val="21"/>
                <w:highlight w:val="none"/>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3710" w:type="dxa"/>
            <w:gridSpan w:val="5"/>
            <w:vAlign w:val="center"/>
          </w:tcPr>
          <w:p>
            <w:pPr>
              <w:pStyle w:val="38"/>
              <w:spacing w:before="113"/>
              <w:ind w:left="14"/>
              <w:rPr>
                <w:rFonts w:ascii="宋体"/>
                <w:color w:val="000000"/>
                <w:sz w:val="21"/>
                <w:szCs w:val="21"/>
                <w:highlight w:val="none"/>
              </w:rPr>
            </w:pPr>
            <w:r>
              <w:rPr>
                <w:rFonts w:hint="eastAsia" w:ascii="宋体" w:hAnsi="宋体"/>
                <w:color w:val="000000"/>
                <w:sz w:val="21"/>
                <w:szCs w:val="21"/>
                <w:highlight w:val="none"/>
              </w:rPr>
              <w:t>一、农业农村污染防治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3710" w:type="dxa"/>
            <w:gridSpan w:val="5"/>
            <w:vAlign w:val="center"/>
          </w:tcPr>
          <w:p>
            <w:pPr>
              <w:pStyle w:val="38"/>
              <w:spacing w:before="57"/>
              <w:ind w:left="14"/>
              <w:rPr>
                <w:rFonts w:ascii="宋体"/>
                <w:b/>
                <w:color w:val="000000"/>
                <w:sz w:val="21"/>
                <w:szCs w:val="21"/>
                <w:highlight w:val="none"/>
              </w:rPr>
            </w:pPr>
            <w:r>
              <w:rPr>
                <w:rFonts w:hint="eastAsia" w:ascii="宋体" w:hAnsi="宋体"/>
                <w:b/>
                <w:color w:val="000000"/>
                <w:sz w:val="21"/>
                <w:szCs w:val="21"/>
                <w:highlight w:val="none"/>
              </w:rPr>
              <w:t>（一）种植业面源污染防控工程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919" w:type="dxa"/>
            <w:vAlign w:val="center"/>
          </w:tcPr>
          <w:p>
            <w:pPr>
              <w:pStyle w:val="38"/>
              <w:spacing w:before="148"/>
              <w:ind w:left="3" w:leftChars="0"/>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w w:val="99"/>
                <w:sz w:val="21"/>
                <w:szCs w:val="21"/>
                <w:highlight w:val="none"/>
                <w:lang w:val="en-US" w:eastAsia="zh-CN"/>
              </w:rPr>
              <w:t>1</w:t>
            </w:r>
          </w:p>
        </w:tc>
        <w:tc>
          <w:tcPr>
            <w:tcW w:w="888" w:type="dxa"/>
            <w:vAlign w:val="center"/>
          </w:tcPr>
          <w:p>
            <w:pPr>
              <w:pStyle w:val="38"/>
              <w:spacing w:before="12" w:line="260" w:lineRule="atLeast"/>
              <w:ind w:left="95" w:leftChars="0" w:right="87" w:rightChars="0"/>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sz w:val="21"/>
                <w:szCs w:val="21"/>
                <w:highlight w:val="none"/>
                <w:lang w:val="en-US"/>
              </w:rPr>
              <w:t>华容县</w:t>
            </w:r>
          </w:p>
        </w:tc>
        <w:tc>
          <w:tcPr>
            <w:tcW w:w="2310" w:type="dxa"/>
            <w:vAlign w:val="center"/>
          </w:tcPr>
          <w:p>
            <w:pPr>
              <w:pStyle w:val="38"/>
              <w:spacing w:before="148"/>
              <w:ind w:left="15" w:leftChars="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测土配方施肥项目</w:t>
            </w:r>
          </w:p>
        </w:tc>
        <w:tc>
          <w:tcPr>
            <w:tcW w:w="7545" w:type="dxa"/>
            <w:vAlign w:val="center"/>
          </w:tcPr>
          <w:p>
            <w:pPr>
              <w:pStyle w:val="38"/>
              <w:tabs>
                <w:tab w:val="left" w:pos="714"/>
                <w:tab w:val="left" w:pos="2615"/>
              </w:tabs>
              <w:spacing w:before="148"/>
              <w:ind w:left="13" w:leftChars="0"/>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lang w:val="en-US"/>
              </w:rPr>
              <w:t>夯实测土配方施肥技术应用，应用面积610万亩</w:t>
            </w:r>
            <w:r>
              <w:rPr>
                <w:rFonts w:hint="eastAsia" w:ascii="仿宋_GB2312" w:hAnsi="仿宋_GB2312" w:eastAsia="仿宋_GB2312" w:cs="仿宋_GB2312"/>
                <w:sz w:val="21"/>
                <w:szCs w:val="21"/>
                <w:highlight w:val="none"/>
                <w:lang w:val="en-US" w:eastAsia="zh-CN"/>
              </w:rPr>
              <w:t>（全市）</w:t>
            </w:r>
            <w:r>
              <w:rPr>
                <w:rFonts w:hint="eastAsia" w:ascii="仿宋_GB2312" w:hAnsi="仿宋_GB2312" w:eastAsia="仿宋_GB2312" w:cs="仿宋_GB2312"/>
                <w:sz w:val="21"/>
                <w:szCs w:val="21"/>
                <w:highlight w:val="none"/>
                <w:lang w:val="en-US"/>
              </w:rPr>
              <w:t>，其中华容县112万亩。</w:t>
            </w:r>
          </w:p>
        </w:tc>
        <w:tc>
          <w:tcPr>
            <w:tcW w:w="2048" w:type="dxa"/>
            <w:vAlign w:val="center"/>
          </w:tcPr>
          <w:p>
            <w:pPr>
              <w:pStyle w:val="38"/>
              <w:spacing w:before="148"/>
              <w:ind w:left="217" w:leftChars="0" w:right="211" w:rightChars="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lang w:eastAsia="zh-CN"/>
              </w:rPr>
              <w:t>县</w:t>
            </w:r>
            <w:r>
              <w:rPr>
                <w:rFonts w:hint="eastAsia" w:ascii="仿宋_GB2312" w:hAnsi="仿宋_GB2312" w:eastAsia="仿宋_GB2312" w:cs="仿宋_GB2312"/>
                <w:sz w:val="21"/>
                <w:szCs w:val="21"/>
                <w:highlight w:val="none"/>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919" w:type="dxa"/>
            <w:vAlign w:val="center"/>
          </w:tcPr>
          <w:p>
            <w:pPr>
              <w:pStyle w:val="38"/>
              <w:spacing w:before="148"/>
              <w:ind w:left="3" w:leftChars="0"/>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w w:val="99"/>
                <w:sz w:val="21"/>
                <w:szCs w:val="21"/>
                <w:highlight w:val="none"/>
                <w:lang w:val="en-US" w:eastAsia="zh-CN"/>
              </w:rPr>
              <w:t>2</w:t>
            </w:r>
          </w:p>
        </w:tc>
        <w:tc>
          <w:tcPr>
            <w:tcW w:w="888" w:type="dxa"/>
            <w:vAlign w:val="center"/>
          </w:tcPr>
          <w:p>
            <w:pPr>
              <w:pStyle w:val="38"/>
              <w:spacing w:before="12" w:line="260" w:lineRule="atLeast"/>
              <w:ind w:left="95" w:leftChars="0" w:right="87" w:rightChars="0"/>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sz w:val="21"/>
                <w:szCs w:val="21"/>
                <w:highlight w:val="none"/>
                <w:lang w:val="en-US"/>
              </w:rPr>
              <w:t>华容县</w:t>
            </w:r>
          </w:p>
        </w:tc>
        <w:tc>
          <w:tcPr>
            <w:tcW w:w="2310" w:type="dxa"/>
            <w:vAlign w:val="center"/>
          </w:tcPr>
          <w:p>
            <w:pPr>
              <w:pStyle w:val="38"/>
              <w:spacing w:before="148"/>
              <w:ind w:left="15" w:leftChars="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rPr>
              <w:t>绿肥推广项目</w:t>
            </w:r>
          </w:p>
        </w:tc>
        <w:tc>
          <w:tcPr>
            <w:tcW w:w="7545" w:type="dxa"/>
            <w:vAlign w:val="center"/>
          </w:tcPr>
          <w:p>
            <w:pPr>
              <w:pStyle w:val="38"/>
              <w:tabs>
                <w:tab w:val="left" w:pos="714"/>
                <w:tab w:val="left" w:pos="2615"/>
              </w:tabs>
              <w:spacing w:before="148"/>
              <w:ind w:left="13" w:leftChars="0"/>
              <w:jc w:val="left"/>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lang w:val="en-US"/>
              </w:rPr>
              <w:t>实施绿肥种植项目</w:t>
            </w:r>
            <w:r>
              <w:rPr>
                <w:rFonts w:hint="eastAsia" w:ascii="仿宋_GB2312" w:hAnsi="仿宋_GB2312" w:eastAsia="仿宋_GB2312" w:cs="仿宋_GB2312"/>
                <w:sz w:val="21"/>
                <w:szCs w:val="21"/>
                <w:highlight w:val="none"/>
                <w:lang w:val="en-US" w:eastAsia="zh-CN"/>
              </w:rPr>
              <w:t>（全市）</w:t>
            </w:r>
            <w:r>
              <w:rPr>
                <w:rFonts w:hint="eastAsia" w:ascii="仿宋_GB2312" w:hAnsi="仿宋_GB2312" w:eastAsia="仿宋_GB2312" w:cs="仿宋_GB2312"/>
                <w:sz w:val="21"/>
                <w:szCs w:val="21"/>
                <w:highlight w:val="none"/>
                <w:lang w:val="en-US"/>
              </w:rPr>
              <w:t>17万亩，其中华容县3万亩。</w:t>
            </w:r>
            <w:r>
              <w:rPr>
                <w:rFonts w:hint="eastAsia" w:ascii="仿宋_GB2312" w:hAnsi="仿宋_GB2312" w:cs="仿宋_GB2312"/>
                <w:sz w:val="21"/>
                <w:szCs w:val="21"/>
                <w:highlight w:val="none"/>
                <w:lang w:val="en-US" w:eastAsia="zh-CN"/>
              </w:rPr>
              <w:t>带动</w:t>
            </w:r>
            <w:r>
              <w:rPr>
                <w:rFonts w:hint="eastAsia" w:ascii="仿宋_GB2312" w:hAnsi="仿宋_GB2312" w:eastAsia="仿宋_GB2312" w:cs="仿宋_GB2312"/>
                <w:sz w:val="21"/>
                <w:szCs w:val="21"/>
                <w:highlight w:val="none"/>
                <w:lang w:val="en-US"/>
              </w:rPr>
              <w:t>推广面积5万亩以上。</w:t>
            </w:r>
          </w:p>
        </w:tc>
        <w:tc>
          <w:tcPr>
            <w:tcW w:w="2048" w:type="dxa"/>
            <w:vAlign w:val="center"/>
          </w:tcPr>
          <w:p>
            <w:pPr>
              <w:pStyle w:val="38"/>
              <w:spacing w:before="148"/>
              <w:ind w:left="217" w:leftChars="0" w:right="211" w:rightChars="0"/>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sz w:val="21"/>
                <w:szCs w:val="21"/>
                <w:highlight w:val="none"/>
                <w:lang w:eastAsia="zh-CN"/>
              </w:rPr>
              <w:t>县</w:t>
            </w:r>
            <w:r>
              <w:rPr>
                <w:rFonts w:hint="eastAsia" w:ascii="仿宋_GB2312" w:hAnsi="仿宋_GB2312" w:eastAsia="仿宋_GB2312" w:cs="仿宋_GB2312"/>
                <w:sz w:val="21"/>
                <w:szCs w:val="21"/>
                <w:highlight w:val="none"/>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3710" w:type="dxa"/>
            <w:gridSpan w:val="5"/>
            <w:vAlign w:val="center"/>
          </w:tcPr>
          <w:p>
            <w:pPr>
              <w:pStyle w:val="38"/>
              <w:spacing w:before="115"/>
              <w:ind w:left="14"/>
              <w:rPr>
                <w:rFonts w:ascii="宋体"/>
                <w:b/>
                <w:color w:val="000000"/>
                <w:sz w:val="21"/>
                <w:szCs w:val="21"/>
                <w:highlight w:val="none"/>
              </w:rPr>
            </w:pP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rPr>
              <w:t>（二）畜禽养殖业粪污处理与资源化利用工程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919"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3</w:t>
            </w:r>
          </w:p>
        </w:tc>
        <w:tc>
          <w:tcPr>
            <w:tcW w:w="888"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华容县</w:t>
            </w:r>
          </w:p>
        </w:tc>
        <w:tc>
          <w:tcPr>
            <w:tcW w:w="2310"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畜禽粪污处理与资源利用项目</w:t>
            </w:r>
          </w:p>
        </w:tc>
        <w:tc>
          <w:tcPr>
            <w:tcW w:w="7545" w:type="dxa"/>
            <w:vAlign w:val="center"/>
          </w:tcPr>
          <w:p>
            <w:pPr>
              <w:pStyle w:val="38"/>
              <w:tabs>
                <w:tab w:val="left" w:pos="714"/>
                <w:tab w:val="left" w:pos="2615"/>
              </w:tabs>
              <w:spacing w:before="148"/>
              <w:ind w:left="13" w:leftChars="0"/>
              <w:jc w:val="left"/>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巩固提升已实施项目的治理成效，确保已建成的畜禽粪污处理和资源化利用设施稳定运行，畜禽粪污资源化利用率达到 80%以上。推动绿色种养循环农业试点，完成国家和省</w:t>
            </w:r>
            <w:r>
              <w:rPr>
                <w:rFonts w:hint="eastAsia" w:ascii="仿宋_GB2312" w:hAnsi="仿宋_GB2312" w:eastAsia="仿宋_GB2312" w:cs="仿宋_GB2312"/>
                <w:sz w:val="21"/>
                <w:szCs w:val="21"/>
                <w:highlight w:val="none"/>
                <w:lang w:val="en-US" w:eastAsia="zh-CN"/>
              </w:rPr>
              <w:t>、市</w:t>
            </w:r>
            <w:r>
              <w:rPr>
                <w:rFonts w:hint="eastAsia" w:ascii="仿宋_GB2312" w:hAnsi="仿宋_GB2312" w:eastAsia="仿宋_GB2312" w:cs="仿宋_GB2312"/>
                <w:sz w:val="21"/>
                <w:szCs w:val="21"/>
                <w:highlight w:val="none"/>
                <w:lang w:val="en-US"/>
              </w:rPr>
              <w:t>下达的其他年度工作任务。</w:t>
            </w:r>
          </w:p>
        </w:tc>
        <w:tc>
          <w:tcPr>
            <w:tcW w:w="2048"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eastAsia="zh-CN"/>
              </w:rPr>
              <w:t>县</w:t>
            </w:r>
            <w:r>
              <w:rPr>
                <w:rFonts w:hint="eastAsia" w:ascii="仿宋_GB2312" w:hAnsi="仿宋_GB2312" w:eastAsia="仿宋_GB2312" w:cs="仿宋_GB2312"/>
                <w:sz w:val="21"/>
                <w:szCs w:val="21"/>
                <w:highlight w:val="none"/>
                <w:lang w:val="en-US"/>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919" w:type="dxa"/>
            <w:tcBorders>
              <w:bottom w:val="single" w:color="000000" w:sz="6" w:space="0"/>
            </w:tcBorders>
            <w:vAlign w:val="center"/>
          </w:tcPr>
          <w:p>
            <w:pPr>
              <w:pStyle w:val="38"/>
              <w:tabs>
                <w:tab w:val="left" w:pos="714"/>
                <w:tab w:val="left" w:pos="2615"/>
              </w:tabs>
              <w:spacing w:before="148"/>
              <w:ind w:left="13" w:leftChars="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w:t>
            </w:r>
          </w:p>
        </w:tc>
        <w:tc>
          <w:tcPr>
            <w:tcW w:w="888" w:type="dxa"/>
            <w:tcBorders>
              <w:bottom w:val="single" w:color="000000" w:sz="6" w:space="0"/>
            </w:tcBorders>
            <w:vAlign w:val="center"/>
          </w:tcPr>
          <w:p>
            <w:pPr>
              <w:pStyle w:val="38"/>
              <w:tabs>
                <w:tab w:val="left" w:pos="714"/>
                <w:tab w:val="left" w:pos="2615"/>
              </w:tabs>
              <w:spacing w:before="148"/>
              <w:ind w:firstLine="210" w:firstLineChars="100"/>
              <w:jc w:val="both"/>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华容县</w:t>
            </w:r>
          </w:p>
        </w:tc>
        <w:tc>
          <w:tcPr>
            <w:tcW w:w="2310" w:type="dxa"/>
            <w:tcBorders>
              <w:bottom w:val="single" w:color="000000" w:sz="6" w:space="0"/>
            </w:tcBorders>
            <w:vAlign w:val="center"/>
          </w:tcPr>
          <w:p>
            <w:pPr>
              <w:pStyle w:val="38"/>
              <w:tabs>
                <w:tab w:val="left" w:pos="714"/>
                <w:tab w:val="left" w:pos="2615"/>
              </w:tabs>
              <w:spacing w:before="148"/>
              <w:ind w:left="13" w:leftChars="0"/>
              <w:jc w:val="center"/>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洞庭湖区种养平衡项目</w:t>
            </w:r>
          </w:p>
          <w:p>
            <w:pPr>
              <w:pStyle w:val="38"/>
              <w:tabs>
                <w:tab w:val="left" w:pos="714"/>
                <w:tab w:val="left" w:pos="2615"/>
              </w:tabs>
              <w:spacing w:before="148"/>
              <w:ind w:left="13" w:leftChars="0"/>
              <w:jc w:val="center"/>
              <w:rPr>
                <w:rFonts w:hint="eastAsia" w:ascii="仿宋_GB2312" w:hAnsi="仿宋_GB2312" w:eastAsia="仿宋_GB2312" w:cs="仿宋_GB2312"/>
                <w:sz w:val="21"/>
                <w:szCs w:val="21"/>
                <w:highlight w:val="none"/>
                <w:lang w:val="en-US"/>
              </w:rPr>
            </w:pPr>
          </w:p>
        </w:tc>
        <w:tc>
          <w:tcPr>
            <w:tcW w:w="7545" w:type="dxa"/>
            <w:tcBorders>
              <w:bottom w:val="single" w:color="000000" w:sz="6" w:space="0"/>
            </w:tcBorders>
            <w:vAlign w:val="center"/>
          </w:tcPr>
          <w:p>
            <w:pPr>
              <w:pStyle w:val="38"/>
              <w:tabs>
                <w:tab w:val="left" w:pos="714"/>
                <w:tab w:val="left" w:pos="2615"/>
              </w:tabs>
              <w:spacing w:before="148"/>
              <w:ind w:left="13" w:leftChars="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rPr>
              <w:t>积极争取绿色种养循环农业试点项目，争取</w:t>
            </w:r>
            <w:r>
              <w:rPr>
                <w:rFonts w:hint="eastAsia" w:ascii="仿宋_GB2312" w:hAnsi="仿宋_GB2312" w:eastAsia="仿宋_GB2312" w:cs="仿宋_GB2312"/>
                <w:sz w:val="21"/>
                <w:szCs w:val="21"/>
                <w:highlight w:val="none"/>
                <w:lang w:val="en-US" w:eastAsia="zh-CN"/>
              </w:rPr>
              <w:t>成为</w:t>
            </w:r>
            <w:r>
              <w:rPr>
                <w:rFonts w:hint="eastAsia" w:ascii="仿宋_GB2312" w:hAnsi="仿宋_GB2312" w:eastAsia="仿宋_GB2312" w:cs="仿宋_GB2312"/>
                <w:sz w:val="21"/>
                <w:szCs w:val="21"/>
                <w:highlight w:val="none"/>
                <w:lang w:val="en-US"/>
              </w:rPr>
              <w:t>试点县</w:t>
            </w:r>
            <w:r>
              <w:rPr>
                <w:rFonts w:hint="eastAsia" w:ascii="仿宋_GB2312" w:hAnsi="仿宋_GB2312" w:eastAsia="仿宋_GB2312" w:cs="仿宋_GB2312"/>
                <w:sz w:val="21"/>
                <w:szCs w:val="21"/>
                <w:highlight w:val="none"/>
                <w:lang w:val="en-US" w:eastAsia="zh-CN"/>
              </w:rPr>
              <w:t>（全市3个以上）。</w:t>
            </w:r>
          </w:p>
        </w:tc>
        <w:tc>
          <w:tcPr>
            <w:tcW w:w="2048" w:type="dxa"/>
            <w:tcBorders>
              <w:bottom w:val="single" w:color="000000" w:sz="6" w:space="0"/>
            </w:tcBorders>
            <w:vAlign w:val="center"/>
          </w:tcPr>
          <w:p>
            <w:pPr>
              <w:pStyle w:val="38"/>
              <w:tabs>
                <w:tab w:val="left" w:pos="714"/>
                <w:tab w:val="left" w:pos="2615"/>
              </w:tabs>
              <w:spacing w:before="148"/>
              <w:ind w:left="13" w:leftChars="0"/>
              <w:jc w:val="center"/>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eastAsia="zh-CN"/>
              </w:rPr>
              <w:t>县</w:t>
            </w:r>
            <w:r>
              <w:rPr>
                <w:rFonts w:hint="eastAsia" w:ascii="仿宋_GB2312" w:hAnsi="仿宋_GB2312" w:eastAsia="仿宋_GB2312" w:cs="仿宋_GB2312"/>
                <w:sz w:val="21"/>
                <w:szCs w:val="21"/>
                <w:highlight w:val="none"/>
                <w:lang w:val="en-US"/>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3710" w:type="dxa"/>
            <w:gridSpan w:val="5"/>
            <w:vAlign w:val="center"/>
          </w:tcPr>
          <w:p>
            <w:pPr>
              <w:pStyle w:val="38"/>
              <w:spacing w:before="115"/>
              <w:ind w:left="14"/>
              <w:rPr>
                <w:rFonts w:ascii="宋体"/>
                <w:color w:val="000000"/>
                <w:sz w:val="21"/>
                <w:szCs w:val="21"/>
                <w:highlight w:val="none"/>
              </w:rPr>
            </w:pPr>
            <w:r>
              <w:rPr>
                <w:rFonts w:hint="eastAsia" w:ascii="宋体" w:hAnsi="宋体"/>
                <w:color w:val="000000"/>
                <w:sz w:val="21"/>
                <w:szCs w:val="21"/>
                <w:highlight w:val="none"/>
              </w:rPr>
              <w:t>二、城乡生活污染治理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3710" w:type="dxa"/>
            <w:gridSpan w:val="5"/>
            <w:vAlign w:val="center"/>
          </w:tcPr>
          <w:p>
            <w:pPr>
              <w:pStyle w:val="38"/>
              <w:spacing w:before="107"/>
              <w:ind w:left="14"/>
              <w:rPr>
                <w:rFonts w:ascii="宋体"/>
                <w:b/>
                <w:color w:val="000000"/>
                <w:sz w:val="21"/>
                <w:szCs w:val="21"/>
                <w:highlight w:val="none"/>
              </w:rPr>
            </w:pPr>
            <w:r>
              <w:rPr>
                <w:rFonts w:hint="eastAsia" w:ascii="宋体" w:hAnsi="宋体"/>
                <w:b/>
                <w:color w:val="000000"/>
                <w:sz w:val="21"/>
                <w:szCs w:val="21"/>
                <w:highlight w:val="none"/>
              </w:rPr>
              <w:t>城乡生活污水处理提质增效工程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919"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5</w:t>
            </w:r>
          </w:p>
        </w:tc>
        <w:tc>
          <w:tcPr>
            <w:tcW w:w="888"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华容县</w:t>
            </w:r>
          </w:p>
        </w:tc>
        <w:tc>
          <w:tcPr>
            <w:tcW w:w="2310"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华容县桥东污水处理厂及配套管网建设</w:t>
            </w:r>
          </w:p>
        </w:tc>
        <w:tc>
          <w:tcPr>
            <w:tcW w:w="7545" w:type="dxa"/>
            <w:vAlign w:val="center"/>
          </w:tcPr>
          <w:p>
            <w:pPr>
              <w:pStyle w:val="38"/>
              <w:tabs>
                <w:tab w:val="left" w:pos="714"/>
                <w:tab w:val="left" w:pos="2615"/>
              </w:tabs>
              <w:spacing w:before="148"/>
              <w:ind w:left="13" w:leftChars="0"/>
              <w:jc w:val="left"/>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建设日处理规模2万吨的污水处理厂（</w:t>
            </w:r>
            <w:r>
              <w:rPr>
                <w:rFonts w:hint="eastAsia" w:ascii="仿宋_GB2312" w:hAnsi="仿宋_GB2312" w:cs="仿宋_GB2312"/>
                <w:sz w:val="21"/>
                <w:szCs w:val="21"/>
                <w:highlight w:val="none"/>
                <w:lang w:val="en-US" w:eastAsia="zh-CN"/>
              </w:rPr>
              <w:t>已建</w:t>
            </w:r>
            <w:r>
              <w:rPr>
                <w:rFonts w:hint="eastAsia" w:ascii="仿宋_GB2312" w:hAnsi="仿宋_GB2312" w:eastAsia="仿宋_GB2312" w:cs="仿宋_GB2312"/>
                <w:sz w:val="21"/>
                <w:szCs w:val="21"/>
                <w:highlight w:val="none"/>
                <w:lang w:val="en-US"/>
              </w:rPr>
              <w:t>），并配套建设截污主干管及污水支管共 30.55km，服务人口约 80000 人，采用 BDP（生物倍增）工艺处理工艺。</w:t>
            </w:r>
          </w:p>
        </w:tc>
        <w:tc>
          <w:tcPr>
            <w:tcW w:w="2048"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eastAsia="zh-CN"/>
              </w:rPr>
              <w:t>县</w:t>
            </w:r>
            <w:r>
              <w:rPr>
                <w:rFonts w:hint="eastAsia" w:ascii="仿宋_GB2312" w:hAnsi="仿宋_GB2312" w:eastAsia="仿宋_GB2312" w:cs="仿宋_GB2312"/>
                <w:sz w:val="21"/>
                <w:szCs w:val="21"/>
                <w:highlight w:val="none"/>
                <w:lang w:val="en-US"/>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919" w:type="dxa"/>
            <w:vAlign w:val="center"/>
          </w:tcPr>
          <w:p>
            <w:pPr>
              <w:pStyle w:val="38"/>
              <w:tabs>
                <w:tab w:val="left" w:pos="714"/>
                <w:tab w:val="left" w:pos="2615"/>
              </w:tabs>
              <w:spacing w:before="148"/>
              <w:ind w:left="13" w:leftChars="0"/>
              <w:rPr>
                <w:rFonts w:hint="default"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6</w:t>
            </w:r>
          </w:p>
        </w:tc>
        <w:tc>
          <w:tcPr>
            <w:tcW w:w="888"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华容县</w:t>
            </w:r>
          </w:p>
        </w:tc>
        <w:tc>
          <w:tcPr>
            <w:tcW w:w="2310"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乡镇污水处理厂稳定运行项目</w:t>
            </w:r>
          </w:p>
        </w:tc>
        <w:tc>
          <w:tcPr>
            <w:tcW w:w="7545" w:type="dxa"/>
            <w:vAlign w:val="center"/>
          </w:tcPr>
          <w:p>
            <w:pPr>
              <w:pStyle w:val="38"/>
              <w:tabs>
                <w:tab w:val="left" w:pos="714"/>
                <w:tab w:val="left" w:pos="2615"/>
              </w:tabs>
              <w:spacing w:before="148"/>
              <w:ind w:left="13" w:leftChars="0" w:firstLine="420" w:firstLineChars="200"/>
              <w:jc w:val="left"/>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已建成的乡镇污水处理设施稳定运行，达标排放。</w:t>
            </w:r>
          </w:p>
        </w:tc>
        <w:tc>
          <w:tcPr>
            <w:tcW w:w="2048"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县</w:t>
            </w:r>
            <w:r>
              <w:rPr>
                <w:rFonts w:hint="eastAsia" w:ascii="仿宋_GB2312" w:hAnsi="仿宋_GB2312" w:eastAsia="仿宋_GB2312" w:cs="仿宋_GB2312"/>
                <w:sz w:val="21"/>
                <w:szCs w:val="21"/>
                <w:highlight w:val="none"/>
                <w:lang w:val="en-US"/>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3710" w:type="dxa"/>
            <w:gridSpan w:val="5"/>
            <w:vAlign w:val="center"/>
          </w:tcPr>
          <w:p>
            <w:pPr>
              <w:pStyle w:val="38"/>
              <w:spacing w:before="115"/>
              <w:ind w:left="14"/>
              <w:rPr>
                <w:rFonts w:ascii="宋体"/>
                <w:color w:val="000000"/>
                <w:sz w:val="21"/>
                <w:szCs w:val="21"/>
                <w:highlight w:val="none"/>
              </w:rPr>
            </w:pPr>
            <w:r>
              <w:rPr>
                <w:rFonts w:hint="eastAsia" w:ascii="宋体" w:hAnsi="宋体"/>
                <w:color w:val="000000"/>
                <w:sz w:val="21"/>
                <w:szCs w:val="21"/>
                <w:highlight w:val="none"/>
                <w:lang w:eastAsia="zh-CN"/>
              </w:rPr>
              <w:t>三</w:t>
            </w:r>
            <w:r>
              <w:rPr>
                <w:rFonts w:hint="eastAsia" w:ascii="宋体" w:hAnsi="宋体"/>
                <w:color w:val="000000"/>
                <w:sz w:val="21"/>
                <w:szCs w:val="21"/>
                <w:highlight w:val="none"/>
              </w:rPr>
              <w:t>、入河湖排口污染防控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3710" w:type="dxa"/>
            <w:gridSpan w:val="5"/>
            <w:vAlign w:val="center"/>
          </w:tcPr>
          <w:p>
            <w:pPr>
              <w:pStyle w:val="38"/>
              <w:spacing w:before="107"/>
              <w:ind w:left="14"/>
              <w:rPr>
                <w:rFonts w:ascii="宋体"/>
                <w:b/>
                <w:color w:val="000000"/>
                <w:sz w:val="21"/>
                <w:szCs w:val="21"/>
                <w:highlight w:val="none"/>
              </w:rPr>
            </w:pPr>
            <w:r>
              <w:rPr>
                <w:rFonts w:hint="eastAsia" w:ascii="宋体" w:hAnsi="宋体"/>
                <w:b/>
                <w:color w:val="000000"/>
                <w:sz w:val="21"/>
                <w:szCs w:val="21"/>
                <w:highlight w:val="none"/>
              </w:rPr>
              <w:t>重点入河湖排污口规范化整治与生态拦截工程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919"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7</w:t>
            </w:r>
          </w:p>
        </w:tc>
        <w:tc>
          <w:tcPr>
            <w:tcW w:w="888"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华容县</w:t>
            </w:r>
          </w:p>
        </w:tc>
        <w:tc>
          <w:tcPr>
            <w:tcW w:w="2310"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华容县排污口规范化整治项目</w:t>
            </w:r>
          </w:p>
        </w:tc>
        <w:tc>
          <w:tcPr>
            <w:tcW w:w="7545" w:type="dxa"/>
            <w:vAlign w:val="center"/>
          </w:tcPr>
          <w:p>
            <w:pPr>
              <w:pStyle w:val="38"/>
              <w:tabs>
                <w:tab w:val="left" w:pos="714"/>
                <w:tab w:val="left" w:pos="2615"/>
              </w:tabs>
              <w:spacing w:before="148"/>
              <w:ind w:left="13" w:leftChars="0"/>
              <w:jc w:val="left"/>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完成 1 个以上入河入湖排污口规范化整治</w:t>
            </w:r>
            <w:r>
              <w:rPr>
                <w:rFonts w:hint="eastAsia" w:ascii="仿宋_GB2312" w:hAnsi="仿宋_GB2312" w:cs="仿宋_GB2312"/>
                <w:sz w:val="21"/>
                <w:szCs w:val="21"/>
                <w:highlight w:val="none"/>
                <w:lang w:val="en-US" w:eastAsia="zh-CN"/>
              </w:rPr>
              <w:t>(新增)</w:t>
            </w:r>
            <w:r>
              <w:rPr>
                <w:rFonts w:hint="eastAsia" w:ascii="仿宋_GB2312" w:hAnsi="仿宋_GB2312" w:eastAsia="仿宋_GB2312" w:cs="仿宋_GB2312"/>
                <w:sz w:val="21"/>
                <w:szCs w:val="21"/>
                <w:highlight w:val="none"/>
                <w:lang w:val="en-US"/>
              </w:rPr>
              <w:t>。</w:t>
            </w:r>
          </w:p>
        </w:tc>
        <w:tc>
          <w:tcPr>
            <w:tcW w:w="2048"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市生态环境局</w:t>
            </w:r>
          </w:p>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华容分局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3710" w:type="dxa"/>
            <w:gridSpan w:val="5"/>
            <w:vAlign w:val="center"/>
          </w:tcPr>
          <w:p>
            <w:pPr>
              <w:pStyle w:val="38"/>
              <w:spacing w:before="112"/>
              <w:ind w:left="14"/>
              <w:rPr>
                <w:rFonts w:ascii="宋体"/>
                <w:color w:val="000000"/>
                <w:sz w:val="21"/>
                <w:szCs w:val="21"/>
                <w:highlight w:val="none"/>
              </w:rPr>
            </w:pPr>
            <w:r>
              <w:rPr>
                <w:rFonts w:hint="eastAsia" w:ascii="宋体" w:hAnsi="宋体"/>
                <w:color w:val="000000"/>
                <w:sz w:val="21"/>
                <w:szCs w:val="21"/>
                <w:highlight w:val="none"/>
                <w:lang w:eastAsia="zh-CN"/>
              </w:rPr>
              <w:t>四</w:t>
            </w:r>
            <w:r>
              <w:rPr>
                <w:rFonts w:hint="eastAsia" w:ascii="宋体" w:hAnsi="宋体"/>
                <w:color w:val="000000"/>
                <w:sz w:val="21"/>
                <w:szCs w:val="21"/>
                <w:highlight w:val="none"/>
              </w:rPr>
              <w:t>、黑臭水体整治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3710" w:type="dxa"/>
            <w:gridSpan w:val="5"/>
            <w:vAlign w:val="center"/>
          </w:tcPr>
          <w:p>
            <w:pPr>
              <w:pStyle w:val="38"/>
              <w:spacing w:before="105"/>
              <w:ind w:left="14"/>
              <w:rPr>
                <w:rFonts w:ascii="宋体"/>
                <w:b/>
                <w:color w:val="000000"/>
                <w:sz w:val="21"/>
                <w:szCs w:val="21"/>
                <w:highlight w:val="none"/>
              </w:rPr>
            </w:pPr>
            <w:r>
              <w:rPr>
                <w:rFonts w:hint="eastAsia" w:ascii="宋体" w:hAnsi="宋体"/>
                <w:b/>
                <w:color w:val="000000"/>
                <w:sz w:val="21"/>
                <w:szCs w:val="21"/>
                <w:highlight w:val="none"/>
              </w:rPr>
              <w:t>城乡黑臭水体整治工程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4" w:hRule="atLeast"/>
        </w:trPr>
        <w:tc>
          <w:tcPr>
            <w:tcW w:w="919"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8</w:t>
            </w:r>
          </w:p>
        </w:tc>
        <w:tc>
          <w:tcPr>
            <w:tcW w:w="888"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华容县</w:t>
            </w:r>
          </w:p>
        </w:tc>
        <w:tc>
          <w:tcPr>
            <w:tcW w:w="2310" w:type="dxa"/>
            <w:vAlign w:val="center"/>
          </w:tcPr>
          <w:p>
            <w:pPr>
              <w:pStyle w:val="38"/>
              <w:tabs>
                <w:tab w:val="left" w:pos="714"/>
                <w:tab w:val="left" w:pos="2615"/>
              </w:tabs>
              <w:spacing w:before="148"/>
              <w:jc w:val="left"/>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农村黑臭水体整治</w:t>
            </w:r>
          </w:p>
        </w:tc>
        <w:tc>
          <w:tcPr>
            <w:tcW w:w="7545" w:type="dxa"/>
            <w:vAlign w:val="center"/>
          </w:tcPr>
          <w:p>
            <w:pPr>
              <w:pStyle w:val="38"/>
              <w:tabs>
                <w:tab w:val="left" w:pos="714"/>
                <w:tab w:val="left" w:pos="2615"/>
              </w:tabs>
              <w:spacing w:before="148"/>
              <w:ind w:left="13" w:leftChars="0"/>
              <w:jc w:val="left"/>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完成华容县 1 条农村黑臭水体整治任务</w:t>
            </w:r>
            <w:r>
              <w:rPr>
                <w:rFonts w:hint="eastAsia" w:ascii="仿宋_GB2312" w:hAnsi="仿宋_GB2312" w:cs="仿宋_GB2312"/>
                <w:sz w:val="21"/>
                <w:szCs w:val="21"/>
                <w:highlight w:val="none"/>
                <w:lang w:val="en-US" w:eastAsia="zh-CN"/>
              </w:rPr>
              <w:t>（操军镇）</w:t>
            </w:r>
            <w:r>
              <w:rPr>
                <w:rFonts w:hint="eastAsia" w:ascii="仿宋_GB2312" w:hAnsi="仿宋_GB2312" w:eastAsia="仿宋_GB2312" w:cs="仿宋_GB2312"/>
                <w:sz w:val="21"/>
                <w:szCs w:val="21"/>
                <w:highlight w:val="none"/>
                <w:lang w:val="en-US"/>
              </w:rPr>
              <w:t>。</w:t>
            </w:r>
          </w:p>
        </w:tc>
        <w:tc>
          <w:tcPr>
            <w:tcW w:w="2048" w:type="dxa"/>
            <w:vAlign w:val="center"/>
          </w:tcPr>
          <w:p>
            <w:pPr>
              <w:pStyle w:val="38"/>
              <w:tabs>
                <w:tab w:val="left" w:pos="714"/>
                <w:tab w:val="left" w:pos="2615"/>
              </w:tabs>
              <w:spacing w:before="148"/>
              <w:ind w:left="13" w:leftChars="0"/>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市生态环境局</w:t>
            </w:r>
            <w:r>
              <w:rPr>
                <w:rFonts w:hint="eastAsia" w:ascii="仿宋_GB2312" w:hAnsi="仿宋_GB2312" w:eastAsia="仿宋_GB2312" w:cs="仿宋_GB2312"/>
                <w:sz w:val="21"/>
                <w:szCs w:val="21"/>
                <w:highlight w:val="none"/>
                <w:lang w:val="en-US" w:eastAsia="zh-CN"/>
              </w:rPr>
              <w:t>华容分局</w:t>
            </w:r>
            <w:r>
              <w:rPr>
                <w:rFonts w:hint="eastAsia" w:ascii="仿宋_GB2312" w:hAnsi="仿宋_GB2312" w:eastAsia="仿宋_GB2312" w:cs="仿宋_GB2312"/>
                <w:sz w:val="21"/>
                <w:szCs w:val="21"/>
                <w:highlight w:val="none"/>
                <w:lang w:val="en-US"/>
              </w:rPr>
              <w:t>、</w:t>
            </w:r>
            <w:r>
              <w:rPr>
                <w:rFonts w:hint="eastAsia" w:ascii="仿宋_GB2312" w:hAnsi="仿宋_GB2312" w:eastAsia="仿宋_GB2312" w:cs="仿宋_GB2312"/>
                <w:sz w:val="21"/>
                <w:szCs w:val="21"/>
                <w:highlight w:val="none"/>
                <w:lang w:val="en-US" w:eastAsia="zh-CN"/>
              </w:rPr>
              <w:t>县</w:t>
            </w:r>
            <w:r>
              <w:rPr>
                <w:rFonts w:hint="eastAsia" w:ascii="仿宋_GB2312" w:hAnsi="仿宋_GB2312" w:eastAsia="仿宋_GB2312" w:cs="仿宋_GB2312"/>
                <w:sz w:val="21"/>
                <w:szCs w:val="21"/>
                <w:highlight w:val="none"/>
                <w:lang w:val="en-US"/>
              </w:rPr>
              <w:t>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7" w:hRule="atLeast"/>
        </w:trPr>
        <w:tc>
          <w:tcPr>
            <w:tcW w:w="13710" w:type="dxa"/>
            <w:gridSpan w:val="5"/>
            <w:vAlign w:val="center"/>
          </w:tcPr>
          <w:p>
            <w:pPr>
              <w:pStyle w:val="38"/>
              <w:spacing w:before="115"/>
              <w:ind w:left="14"/>
              <w:rPr>
                <w:rFonts w:ascii="宋体"/>
                <w:color w:val="000000"/>
                <w:sz w:val="21"/>
                <w:szCs w:val="21"/>
                <w:highlight w:val="none"/>
              </w:rPr>
            </w:pPr>
            <w:r>
              <w:rPr>
                <w:rFonts w:hint="eastAsia" w:ascii="宋体" w:hAnsi="宋体"/>
                <w:color w:val="000000"/>
                <w:sz w:val="21"/>
                <w:szCs w:val="21"/>
                <w:highlight w:val="none"/>
                <w:lang w:eastAsia="zh-CN"/>
              </w:rPr>
              <w:t>五</w:t>
            </w:r>
            <w:r>
              <w:rPr>
                <w:rFonts w:hint="eastAsia" w:ascii="宋体" w:hAnsi="宋体"/>
                <w:color w:val="000000"/>
                <w:sz w:val="21"/>
                <w:szCs w:val="21"/>
                <w:highlight w:val="none"/>
              </w:rPr>
              <w:t>、重点内湖、内河水环境综合治理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trPr>
        <w:tc>
          <w:tcPr>
            <w:tcW w:w="13710" w:type="dxa"/>
            <w:gridSpan w:val="5"/>
            <w:vAlign w:val="center"/>
          </w:tcPr>
          <w:p>
            <w:pPr>
              <w:pStyle w:val="38"/>
              <w:spacing w:before="108"/>
              <w:ind w:left="14"/>
              <w:rPr>
                <w:rFonts w:ascii="宋体"/>
                <w:b/>
                <w:color w:val="000000"/>
                <w:sz w:val="21"/>
                <w:szCs w:val="21"/>
                <w:highlight w:val="none"/>
              </w:rPr>
            </w:pPr>
            <w:r>
              <w:rPr>
                <w:rFonts w:hint="eastAsia" w:ascii="宋体" w:hAnsi="宋体"/>
                <w:b/>
                <w:color w:val="000000"/>
                <w:sz w:val="21"/>
                <w:szCs w:val="21"/>
                <w:highlight w:val="none"/>
              </w:rPr>
              <w:t>重点内湖、内河水环境综合治理工程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5" w:hRule="atLeast"/>
        </w:trPr>
        <w:tc>
          <w:tcPr>
            <w:tcW w:w="919" w:type="dxa"/>
            <w:vAlign w:val="center"/>
          </w:tcPr>
          <w:p>
            <w:pPr>
              <w:pStyle w:val="38"/>
              <w:tabs>
                <w:tab w:val="left" w:pos="714"/>
                <w:tab w:val="left" w:pos="2615"/>
              </w:tabs>
              <w:spacing w:before="148"/>
              <w:ind w:left="13" w:leftChars="0"/>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9</w:t>
            </w:r>
          </w:p>
        </w:tc>
        <w:tc>
          <w:tcPr>
            <w:tcW w:w="888" w:type="dxa"/>
            <w:vAlign w:val="center"/>
          </w:tcPr>
          <w:p>
            <w:pPr>
              <w:pStyle w:val="38"/>
              <w:tabs>
                <w:tab w:val="left" w:pos="714"/>
                <w:tab w:val="left" w:pos="2615"/>
              </w:tabs>
              <w:spacing w:before="148"/>
              <w:ind w:left="13" w:leftChars="0"/>
              <w:jc w:val="center"/>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华容县</w:t>
            </w:r>
          </w:p>
        </w:tc>
        <w:tc>
          <w:tcPr>
            <w:tcW w:w="2310" w:type="dxa"/>
            <w:vAlign w:val="center"/>
          </w:tcPr>
          <w:p>
            <w:pPr>
              <w:pStyle w:val="38"/>
              <w:tabs>
                <w:tab w:val="left" w:pos="714"/>
                <w:tab w:val="left" w:pos="2615"/>
              </w:tabs>
              <w:spacing w:before="148"/>
              <w:ind w:left="13" w:leftChars="0"/>
              <w:jc w:val="left"/>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东湖水生态环境综合治理项目(大乘港部分）</w:t>
            </w:r>
          </w:p>
        </w:tc>
        <w:tc>
          <w:tcPr>
            <w:tcW w:w="7545" w:type="dxa"/>
            <w:vAlign w:val="center"/>
          </w:tcPr>
          <w:p>
            <w:pPr>
              <w:pStyle w:val="38"/>
              <w:tabs>
                <w:tab w:val="left" w:pos="714"/>
                <w:tab w:val="left" w:pos="2615"/>
              </w:tabs>
              <w:spacing w:before="148"/>
              <w:ind w:left="13" w:leftChars="0"/>
              <w:jc w:val="left"/>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eastAsia="zh-CN"/>
              </w:rPr>
              <w:t>①</w:t>
            </w:r>
            <w:r>
              <w:rPr>
                <w:rFonts w:hint="eastAsia" w:ascii="仿宋_GB2312" w:hAnsi="仿宋_GB2312" w:eastAsia="仿宋_GB2312" w:cs="仿宋_GB2312"/>
                <w:sz w:val="21"/>
                <w:szCs w:val="21"/>
                <w:highlight w:val="none"/>
                <w:lang w:val="en-US"/>
              </w:rPr>
              <w:t>控源截污工程：建设入湖河口截污工程，在农田灌溉汇水渠和鱼塘汇水渠入口处建设生态浮岛5处，约 1200m</w:t>
            </w:r>
            <w:r>
              <w:rPr>
                <w:rFonts w:hint="eastAsia" w:ascii="仿宋_GB2312" w:hAnsi="仿宋_GB2312" w:eastAsia="仿宋_GB2312" w:cs="仿宋_GB2312"/>
                <w:sz w:val="21"/>
                <w:szCs w:val="21"/>
                <w:highlight w:val="none"/>
                <w:vertAlign w:val="superscript"/>
                <w:lang w:val="en-US"/>
              </w:rPr>
              <w:t>2</w:t>
            </w:r>
            <w:r>
              <w:rPr>
                <w:rFonts w:hint="eastAsia" w:ascii="仿宋_GB2312" w:hAnsi="仿宋_GB2312" w:eastAsia="仿宋_GB2312" w:cs="仿宋_GB2312"/>
                <w:sz w:val="21"/>
                <w:szCs w:val="21"/>
                <w:highlight w:val="none"/>
                <w:lang w:val="en-US"/>
              </w:rPr>
              <w:t>；</w:t>
            </w:r>
            <w:r>
              <w:rPr>
                <w:rFonts w:hint="eastAsia" w:ascii="仿宋_GB2312" w:hAnsi="仿宋_GB2312" w:eastAsia="仿宋_GB2312" w:cs="仿宋_GB2312"/>
                <w:sz w:val="21"/>
                <w:szCs w:val="21"/>
                <w:highlight w:val="none"/>
                <w:lang w:val="en-US" w:eastAsia="zh-CN"/>
              </w:rPr>
              <w:t>②</w:t>
            </w:r>
            <w:r>
              <w:rPr>
                <w:rFonts w:hint="eastAsia" w:ascii="仿宋_GB2312" w:hAnsi="仿宋_GB2312" w:eastAsia="仿宋_GB2312" w:cs="仿宋_GB2312"/>
                <w:sz w:val="21"/>
                <w:szCs w:val="21"/>
                <w:highlight w:val="none"/>
                <w:lang w:val="en-US"/>
              </w:rPr>
              <w:t>水生态修复工程：种植沉水植物约 3633m</w:t>
            </w:r>
            <w:r>
              <w:rPr>
                <w:rFonts w:hint="eastAsia" w:ascii="仿宋_GB2312" w:hAnsi="仿宋_GB2312" w:eastAsia="仿宋_GB2312" w:cs="仿宋_GB2312"/>
                <w:sz w:val="21"/>
                <w:szCs w:val="21"/>
                <w:highlight w:val="none"/>
                <w:vertAlign w:val="superscript"/>
                <w:lang w:val="en-US"/>
              </w:rPr>
              <w:t>2</w:t>
            </w:r>
            <w:r>
              <w:rPr>
                <w:rFonts w:hint="eastAsia" w:ascii="仿宋_GB2312" w:hAnsi="仿宋_GB2312" w:eastAsia="仿宋_GB2312" w:cs="仿宋_GB2312"/>
                <w:sz w:val="21"/>
                <w:szCs w:val="21"/>
                <w:highlight w:val="none"/>
                <w:lang w:val="en-US"/>
              </w:rPr>
              <w:t>，水面覆盖率不低于 10%；在大乘港两岸种植挺水植物 3267m</w:t>
            </w:r>
            <w:r>
              <w:rPr>
                <w:rFonts w:hint="eastAsia" w:ascii="仿宋_GB2312" w:hAnsi="仿宋_GB2312" w:eastAsia="仿宋_GB2312" w:cs="仿宋_GB2312"/>
                <w:sz w:val="21"/>
                <w:szCs w:val="21"/>
                <w:highlight w:val="none"/>
                <w:vertAlign w:val="superscript"/>
                <w:lang w:val="en-US"/>
              </w:rPr>
              <w:t>2</w:t>
            </w:r>
            <w:r>
              <w:rPr>
                <w:rFonts w:hint="eastAsia" w:ascii="仿宋_GB2312" w:hAnsi="仿宋_GB2312" w:eastAsia="仿宋_GB2312" w:cs="仿宋_GB2312"/>
                <w:sz w:val="21"/>
                <w:szCs w:val="21"/>
                <w:highlight w:val="none"/>
                <w:lang w:val="en-US"/>
              </w:rPr>
              <w:t>；投放青虾、环棱螺等水生动物，对大乘港进行生态修复</w:t>
            </w:r>
            <w:r>
              <w:rPr>
                <w:rFonts w:hint="eastAsia" w:ascii="仿宋_GB2312" w:hAnsi="仿宋_GB2312" w:eastAsia="仿宋_GB2312" w:cs="仿宋_GB2312"/>
                <w:sz w:val="21"/>
                <w:szCs w:val="21"/>
                <w:highlight w:val="none"/>
                <w:lang w:val="en-US" w:eastAsia="zh-CN"/>
              </w:rPr>
              <w:t>③</w:t>
            </w:r>
            <w:r>
              <w:rPr>
                <w:rFonts w:hint="eastAsia" w:ascii="仿宋_GB2312" w:hAnsi="仿宋_GB2312" w:eastAsia="仿宋_GB2312" w:cs="仿宋_GB2312"/>
                <w:sz w:val="21"/>
                <w:szCs w:val="21"/>
                <w:highlight w:val="none"/>
                <w:lang w:val="en-US"/>
              </w:rPr>
              <w:t>生态池塘养殖系统：对大乘港下游 30 亩鱼塘进行改造，建设生态池塘养殖系统确保养殖废水不通过大乘港进入东湖；</w:t>
            </w:r>
            <w:r>
              <w:rPr>
                <w:rFonts w:hint="eastAsia" w:ascii="仿宋_GB2312" w:hAnsi="仿宋_GB2312" w:eastAsia="仿宋_GB2312" w:cs="仿宋_GB2312"/>
                <w:sz w:val="21"/>
                <w:szCs w:val="21"/>
                <w:highlight w:val="none"/>
                <w:lang w:val="en-US" w:eastAsia="zh-CN"/>
              </w:rPr>
              <w:t>④</w:t>
            </w:r>
            <w:r>
              <w:rPr>
                <w:rFonts w:hint="eastAsia" w:ascii="仿宋_GB2312" w:hAnsi="仿宋_GB2312" w:eastAsia="仿宋_GB2312" w:cs="仿宋_GB2312"/>
                <w:sz w:val="21"/>
                <w:szCs w:val="21"/>
                <w:highlight w:val="none"/>
                <w:lang w:val="en-US"/>
              </w:rPr>
              <w:t>内源治理工程：对项目范围内 1711 米河道进行以水质改善为目的的底泥清淤。</w:t>
            </w:r>
          </w:p>
        </w:tc>
        <w:tc>
          <w:tcPr>
            <w:tcW w:w="2048" w:type="dxa"/>
            <w:vAlign w:val="center"/>
          </w:tcPr>
          <w:p>
            <w:pPr>
              <w:pStyle w:val="38"/>
              <w:tabs>
                <w:tab w:val="left" w:pos="714"/>
                <w:tab w:val="left" w:pos="2615"/>
              </w:tabs>
              <w:spacing w:before="148"/>
              <w:ind w:left="13" w:leftChars="0"/>
              <w:jc w:val="center"/>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sz w:val="21"/>
                <w:szCs w:val="21"/>
                <w:highlight w:val="none"/>
                <w:lang w:val="en-US"/>
              </w:rPr>
              <w:t>市生态环境局</w:t>
            </w:r>
          </w:p>
          <w:p>
            <w:pPr>
              <w:pStyle w:val="38"/>
              <w:tabs>
                <w:tab w:val="left" w:pos="714"/>
                <w:tab w:val="left" w:pos="2615"/>
              </w:tabs>
              <w:spacing w:before="148"/>
              <w:ind w:left="13" w:leftChars="0"/>
              <w:jc w:val="center"/>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华容分局</w:t>
            </w:r>
          </w:p>
          <w:p>
            <w:pPr>
              <w:pStyle w:val="38"/>
              <w:tabs>
                <w:tab w:val="left" w:pos="714"/>
                <w:tab w:val="left" w:pos="2615"/>
              </w:tabs>
              <w:spacing w:before="148"/>
              <w:ind w:left="13" w:leftChars="0"/>
              <w:jc w:val="center"/>
              <w:rPr>
                <w:rFonts w:hint="eastAsia" w:ascii="仿宋_GB2312" w:hAnsi="仿宋_GB2312" w:eastAsia="仿宋_GB2312" w:cs="仿宋_GB2312"/>
                <w:sz w:val="21"/>
                <w:szCs w:val="21"/>
                <w:highlight w:val="none"/>
                <w:lang w:val="en-US" w:eastAsia="zh-CN"/>
              </w:rPr>
            </w:pPr>
            <w:r>
              <w:rPr>
                <w:rFonts w:hint="eastAsia" w:ascii="仿宋_GB2312" w:hAnsi="仿宋_GB2312" w:cs="仿宋_GB2312"/>
                <w:sz w:val="21"/>
                <w:szCs w:val="21"/>
                <w:highlight w:val="none"/>
                <w:lang w:val="en-US" w:eastAsia="zh-CN"/>
              </w:rPr>
              <w:t>禹山镇人民政府</w:t>
            </w:r>
          </w:p>
        </w:tc>
      </w:tr>
    </w:tbl>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方正小标宋简体" w:hAnsi="方正小标宋简体" w:eastAsia="方正小标宋简体" w:cs="方正小标宋简体"/>
          <w:sz w:val="44"/>
          <w:szCs w:val="44"/>
        </w:rPr>
      </w:pPr>
      <w:r>
        <w:rPr>
          <w:rFonts w:hint="eastAsia" w:ascii="仿宋" w:hAnsi="仿宋" w:eastAsia="仿宋" w:cs="仿宋"/>
          <w:sz w:val="32"/>
          <w:szCs w:val="32"/>
        </w:rPr>
        <w:t>附表3：</w:t>
      </w:r>
      <w:r>
        <w:rPr>
          <w:rFonts w:hint="eastAsia" w:ascii="方正小标宋简体" w:hAnsi="方正小标宋简体" w:eastAsia="方正小标宋简体" w:cs="方正小标宋简体"/>
          <w:sz w:val="44"/>
          <w:szCs w:val="44"/>
        </w:rPr>
        <w:t xml:space="preserve">        </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2021年全</w:t>
      </w:r>
      <w:r>
        <w:rPr>
          <w:rFonts w:hint="eastAsia" w:ascii="方正小标宋简体" w:hAnsi="方正小标宋简体" w:eastAsia="方正小标宋简体" w:cs="方正小标宋简体"/>
          <w:b w:val="0"/>
          <w:bCs w:val="0"/>
          <w:sz w:val="44"/>
          <w:szCs w:val="44"/>
          <w:lang w:eastAsia="zh-CN"/>
        </w:rPr>
        <w:t>县</w:t>
      </w:r>
      <w:r>
        <w:rPr>
          <w:rFonts w:hint="eastAsia" w:ascii="方正小标宋简体" w:hAnsi="方正小标宋简体" w:eastAsia="方正小标宋简体" w:cs="方正小标宋简体"/>
          <w:b w:val="0"/>
          <w:bCs w:val="0"/>
          <w:sz w:val="44"/>
          <w:szCs w:val="44"/>
        </w:rPr>
        <w:t>土壤污染防治</w:t>
      </w:r>
      <w:r>
        <w:rPr>
          <w:rFonts w:hint="eastAsia" w:ascii="方正小标宋简体" w:hAnsi="方正小标宋简体" w:eastAsia="方正小标宋简体" w:cs="方正小标宋简体"/>
          <w:b w:val="0"/>
          <w:bCs w:val="0"/>
          <w:sz w:val="44"/>
          <w:szCs w:val="44"/>
          <w:lang w:eastAsia="zh-CN"/>
        </w:rPr>
        <w:t>攻坚主要任务清单</w:t>
      </w:r>
    </w:p>
    <w:tbl>
      <w:tblPr>
        <w:tblStyle w:val="16"/>
        <w:tblW w:w="13553" w:type="dxa"/>
        <w:jc w:val="center"/>
        <w:tblInd w:w="-584" w:type="dxa"/>
        <w:tblLayout w:type="fixed"/>
        <w:tblCellMar>
          <w:top w:w="0" w:type="dxa"/>
          <w:left w:w="108" w:type="dxa"/>
          <w:bottom w:w="0" w:type="dxa"/>
          <w:right w:w="108" w:type="dxa"/>
        </w:tblCellMar>
      </w:tblPr>
      <w:tblGrid>
        <w:gridCol w:w="3961"/>
        <w:gridCol w:w="5256"/>
        <w:gridCol w:w="1656"/>
        <w:gridCol w:w="2680"/>
      </w:tblGrid>
      <w:tr>
        <w:tblPrEx>
          <w:tblLayout w:type="fixed"/>
          <w:tblCellMar>
            <w:top w:w="0" w:type="dxa"/>
            <w:left w:w="108" w:type="dxa"/>
            <w:bottom w:w="0" w:type="dxa"/>
            <w:right w:w="108" w:type="dxa"/>
          </w:tblCellMar>
        </w:tblPrEx>
        <w:trPr>
          <w:trHeight w:val="595" w:hRule="atLeast"/>
          <w:jc w:val="center"/>
        </w:trPr>
        <w:tc>
          <w:tcPr>
            <w:tcW w:w="39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rPr>
              <w:t>工作任务</w:t>
            </w:r>
          </w:p>
        </w:tc>
        <w:tc>
          <w:tcPr>
            <w:tcW w:w="52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rPr>
              <w:t>主要内容</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lang w:val="en-US" w:eastAsia="zh-CN"/>
              </w:rPr>
              <w:t>责任</w:t>
            </w:r>
            <w:r>
              <w:rPr>
                <w:rFonts w:hint="eastAsia" w:ascii="黑体" w:hAnsi="黑体" w:eastAsia="黑体" w:cs="黑体"/>
                <w:color w:val="000000"/>
                <w:kern w:val="0"/>
                <w:sz w:val="22"/>
                <w:szCs w:val="22"/>
              </w:rPr>
              <w:t>单位</w:t>
            </w:r>
          </w:p>
        </w:tc>
        <w:tc>
          <w:tcPr>
            <w:tcW w:w="2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22"/>
                <w:szCs w:val="22"/>
              </w:rPr>
            </w:pPr>
            <w:r>
              <w:rPr>
                <w:rFonts w:hint="eastAsia" w:ascii="黑体" w:hAnsi="黑体" w:eastAsia="黑体" w:cs="黑体"/>
                <w:color w:val="000000"/>
                <w:kern w:val="0"/>
                <w:sz w:val="22"/>
                <w:szCs w:val="22"/>
              </w:rPr>
              <w:t>完成时限</w:t>
            </w:r>
          </w:p>
        </w:tc>
      </w:tr>
      <w:tr>
        <w:tblPrEx>
          <w:tblLayout w:type="fixed"/>
          <w:tblCellMar>
            <w:top w:w="0" w:type="dxa"/>
            <w:left w:w="108" w:type="dxa"/>
            <w:bottom w:w="0" w:type="dxa"/>
            <w:right w:w="108" w:type="dxa"/>
          </w:tblCellMar>
        </w:tblPrEx>
        <w:trPr>
          <w:trHeight w:val="1812" w:hRule="atLeast"/>
          <w:jc w:val="center"/>
        </w:trPr>
        <w:tc>
          <w:tcPr>
            <w:tcW w:w="39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kern w:val="0"/>
                <w:sz w:val="22"/>
                <w:szCs w:val="22"/>
              </w:rPr>
              <w:t>开展2轮涉镉等重金属重点行业企业排查整治</w:t>
            </w:r>
          </w:p>
        </w:tc>
        <w:tc>
          <w:tcPr>
            <w:tcW w:w="525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1、根据省生态环境厅梳理下发的初步排查清单，开展第一轮排查工作；</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2、结合重点行业企业调查、危废大排查及日常环境监管执法、信访投诉等，开展第二轮排查工作。</w:t>
            </w:r>
          </w:p>
        </w:tc>
        <w:tc>
          <w:tcPr>
            <w:tcW w:w="16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kern w:val="0"/>
                <w:sz w:val="22"/>
                <w:szCs w:val="22"/>
                <w:lang w:eastAsia="zh-CN"/>
              </w:rPr>
              <w:t>市生态环境局华容分局</w:t>
            </w:r>
          </w:p>
        </w:tc>
        <w:tc>
          <w:tcPr>
            <w:tcW w:w="2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第一轮排查5月底前；</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第二轮排查11月底前</w:t>
            </w:r>
          </w:p>
        </w:tc>
      </w:tr>
    </w:tbl>
    <w:p>
      <w:pPr>
        <w:pStyle w:val="6"/>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黑体" w:hAnsi="黑体" w:eastAsia="黑体" w:cs="黑体"/>
          <w:sz w:val="44"/>
          <w:szCs w:val="44"/>
          <w:lang w:val="en-US" w:eastAsia="zh-CN"/>
        </w:rPr>
      </w:pPr>
      <w:r>
        <w:rPr>
          <w:rFonts w:hint="eastAsia" w:ascii="仿宋_GB2312" w:hAnsi="仿宋_GB2312" w:eastAsia="仿宋_GB2312" w:cs="仿宋_GB2312"/>
          <w:sz w:val="32"/>
          <w:szCs w:val="32"/>
          <w:lang w:val="en-US" w:eastAsia="zh-CN"/>
        </w:rPr>
        <w:t>附表4</w:t>
      </w:r>
      <w:r>
        <w:rPr>
          <w:rFonts w:hint="eastAsia" w:ascii="仿宋_GB2312" w:hAnsi="仿宋_GB2312" w:cs="仿宋_GB2312"/>
          <w:sz w:val="32"/>
          <w:szCs w:val="32"/>
          <w:lang w:val="en-US" w:eastAsia="zh-CN"/>
        </w:rPr>
        <w:t>:</w:t>
      </w:r>
      <w:r>
        <w:rPr>
          <w:rFonts w:hint="eastAsia" w:ascii="黑体" w:hAnsi="黑体" w:eastAsia="黑体" w:cs="黑体"/>
          <w:sz w:val="44"/>
          <w:szCs w:val="44"/>
          <w:lang w:val="en-US" w:eastAsia="zh-CN"/>
        </w:rPr>
        <w:t xml:space="preserve"> </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2021年度</w:t>
      </w:r>
      <w:r>
        <w:rPr>
          <w:rFonts w:hint="eastAsia" w:ascii="方正小标宋简体" w:hAnsi="方正小标宋简体" w:eastAsia="方正小标宋简体" w:cs="方正小标宋简体"/>
          <w:b w:val="0"/>
          <w:bCs w:val="0"/>
          <w:sz w:val="44"/>
          <w:szCs w:val="44"/>
          <w:lang w:val="en-US" w:eastAsia="zh-CN"/>
        </w:rPr>
        <w:t>全</w:t>
      </w:r>
      <w:r>
        <w:rPr>
          <w:rFonts w:hint="eastAsia" w:ascii="方正小标宋简体" w:hAnsi="方正小标宋简体" w:eastAsia="方正小标宋简体" w:cs="方正小标宋简体"/>
          <w:b w:val="0"/>
          <w:bCs w:val="0"/>
          <w:sz w:val="44"/>
          <w:szCs w:val="44"/>
          <w:lang w:eastAsia="zh-CN"/>
        </w:rPr>
        <w:t>县</w:t>
      </w:r>
      <w:r>
        <w:rPr>
          <w:rFonts w:hint="eastAsia" w:ascii="方正小标宋简体" w:hAnsi="方正小标宋简体" w:eastAsia="方正小标宋简体" w:cs="方正小标宋简体"/>
          <w:b w:val="0"/>
          <w:bCs w:val="0"/>
          <w:sz w:val="44"/>
          <w:szCs w:val="44"/>
        </w:rPr>
        <w:t>农业农村污染</w:t>
      </w:r>
      <w:r>
        <w:rPr>
          <w:rFonts w:hint="eastAsia" w:ascii="方正小标宋简体" w:hAnsi="方正小标宋简体" w:eastAsia="方正小标宋简体" w:cs="方正小标宋简体"/>
          <w:b w:val="0"/>
          <w:bCs w:val="0"/>
          <w:sz w:val="44"/>
          <w:szCs w:val="44"/>
          <w:lang w:val="en-US" w:eastAsia="zh-CN"/>
        </w:rPr>
        <w:t>防治攻坚战</w:t>
      </w:r>
      <w:r>
        <w:rPr>
          <w:rFonts w:hint="eastAsia" w:ascii="方正小标宋简体" w:hAnsi="方正小标宋简体" w:eastAsia="方正小标宋简体" w:cs="方正小标宋简体"/>
          <w:b w:val="0"/>
          <w:bCs w:val="0"/>
          <w:sz w:val="44"/>
          <w:szCs w:val="44"/>
        </w:rPr>
        <w:t>工作任务分解表</w:t>
      </w:r>
    </w:p>
    <w:tbl>
      <w:tblPr>
        <w:tblStyle w:val="16"/>
        <w:tblW w:w="13765" w:type="dxa"/>
        <w:jc w:val="center"/>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124"/>
        <w:gridCol w:w="1332"/>
        <w:gridCol w:w="6923"/>
        <w:gridCol w:w="1650"/>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4"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rPr>
              <w:t>序号</w:t>
            </w:r>
          </w:p>
        </w:tc>
        <w:tc>
          <w:tcPr>
            <w:tcW w:w="2456" w:type="dxa"/>
            <w:gridSpan w:val="2"/>
            <w:vAlign w:val="center"/>
          </w:tcPr>
          <w:p>
            <w:pPr>
              <w:keepNext w:val="0"/>
              <w:keepLines w:val="0"/>
              <w:pageBreakBefore w:val="0"/>
              <w:widowControl w:val="0"/>
              <w:kinsoku/>
              <w:wordWrap/>
              <w:overflowPunct/>
              <w:topLinePunct w:val="0"/>
              <w:autoSpaceDE/>
              <w:autoSpaceDN/>
              <w:bidi w:val="0"/>
              <w:spacing w:after="0" w:line="320" w:lineRule="exact"/>
              <w:ind w:firstLine="422" w:firstLineChars="200"/>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lang w:val="en-US" w:eastAsia="zh-CN"/>
              </w:rPr>
              <w:t>工作任务</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ind w:firstLine="422" w:firstLineChars="200"/>
              <w:jc w:val="center"/>
              <w:textAlignment w:val="auto"/>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主要内容</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b/>
                <w:color w:val="000000"/>
                <w:sz w:val="21"/>
                <w:szCs w:val="21"/>
              </w:rPr>
            </w:pPr>
            <w:r>
              <w:rPr>
                <w:rFonts w:hint="eastAsia" w:ascii="仿宋" w:hAnsi="仿宋" w:eastAsia="仿宋" w:cs="仿宋"/>
                <w:b/>
                <w:color w:val="000000"/>
                <w:sz w:val="21"/>
                <w:szCs w:val="21"/>
                <w:lang w:val="en-US" w:eastAsia="zh-CN"/>
              </w:rPr>
              <w:t>责任</w:t>
            </w:r>
            <w:r>
              <w:rPr>
                <w:rFonts w:hint="eastAsia" w:ascii="仿宋" w:hAnsi="仿宋" w:eastAsia="仿宋" w:cs="仿宋"/>
                <w:b/>
                <w:color w:val="000000"/>
                <w:sz w:val="21"/>
                <w:szCs w:val="21"/>
              </w:rPr>
              <w:t>单位</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jc w:val="center"/>
        </w:trPr>
        <w:tc>
          <w:tcPr>
            <w:tcW w:w="106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楷体" w:hAnsi="楷体" w:eastAsia="楷体" w:cs="楷体"/>
                <w:b/>
                <w:bCs w:val="0"/>
                <w:color w:val="000000"/>
                <w:sz w:val="21"/>
                <w:szCs w:val="21"/>
              </w:rPr>
            </w:pPr>
            <w:r>
              <w:rPr>
                <w:rFonts w:hint="eastAsia" w:ascii="楷体" w:hAnsi="楷体" w:eastAsia="楷体" w:cs="楷体"/>
                <w:b/>
                <w:bCs w:val="0"/>
                <w:color w:val="000000"/>
                <w:sz w:val="21"/>
                <w:szCs w:val="21"/>
              </w:rPr>
              <w:t>1</w:t>
            </w:r>
          </w:p>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楷体" w:hAnsi="楷体" w:eastAsia="楷体" w:cs="楷体"/>
                <w:b/>
                <w:bCs w:val="0"/>
                <w:color w:val="000000"/>
                <w:sz w:val="21"/>
                <w:szCs w:val="21"/>
                <w:lang w:val="en-US" w:eastAsia="zh-CN"/>
              </w:rPr>
            </w:pPr>
          </w:p>
        </w:tc>
        <w:tc>
          <w:tcPr>
            <w:tcW w:w="112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left"/>
              <w:textAlignment w:val="auto"/>
              <w:rPr>
                <w:rFonts w:hint="eastAsia" w:ascii="楷体" w:hAnsi="楷体" w:eastAsia="楷体" w:cs="楷体"/>
                <w:b/>
                <w:bCs w:val="0"/>
                <w:color w:val="000000"/>
                <w:sz w:val="21"/>
                <w:szCs w:val="21"/>
              </w:rPr>
            </w:pPr>
            <w:r>
              <w:rPr>
                <w:rFonts w:hint="eastAsia" w:ascii="楷体" w:hAnsi="楷体" w:eastAsia="楷体" w:cs="楷体"/>
                <w:b/>
                <w:bCs w:val="0"/>
                <w:color w:val="auto"/>
                <w:sz w:val="21"/>
                <w:szCs w:val="21"/>
              </w:rPr>
              <w:t>切实加强农村饮用水水源保护</w:t>
            </w:r>
          </w:p>
        </w:tc>
        <w:tc>
          <w:tcPr>
            <w:tcW w:w="1332" w:type="dxa"/>
            <w:vMerge w:val="restart"/>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sz w:val="21"/>
                <w:szCs w:val="21"/>
              </w:rPr>
            </w:pPr>
            <w:r>
              <w:rPr>
                <w:rFonts w:hint="eastAsia" w:ascii="仿宋" w:hAnsi="仿宋" w:eastAsia="仿宋" w:cs="仿宋"/>
                <w:b/>
                <w:bCs/>
                <w:color w:val="000000"/>
                <w:sz w:val="21"/>
                <w:szCs w:val="21"/>
                <w:highlight w:val="none"/>
                <w:u w:val="none"/>
                <w:lang w:eastAsia="zh-CN"/>
              </w:rPr>
              <w:t>（</w:t>
            </w:r>
            <w:r>
              <w:rPr>
                <w:rFonts w:hint="eastAsia" w:ascii="仿宋" w:hAnsi="仿宋" w:eastAsia="仿宋" w:cs="仿宋"/>
                <w:b/>
                <w:bCs/>
                <w:color w:val="000000"/>
                <w:sz w:val="21"/>
                <w:szCs w:val="21"/>
                <w:highlight w:val="none"/>
                <w:u w:val="none"/>
                <w:lang w:val="en-US" w:eastAsia="zh-CN"/>
              </w:rPr>
              <w:t>1</w:t>
            </w:r>
            <w:r>
              <w:rPr>
                <w:rFonts w:hint="eastAsia" w:ascii="仿宋" w:hAnsi="仿宋" w:eastAsia="仿宋" w:cs="仿宋"/>
                <w:b/>
                <w:bCs/>
                <w:color w:val="000000"/>
                <w:sz w:val="21"/>
                <w:szCs w:val="21"/>
                <w:highlight w:val="none"/>
                <w:u w:val="none"/>
                <w:lang w:eastAsia="zh-CN"/>
              </w:rPr>
              <w:t>）</w:t>
            </w:r>
            <w:r>
              <w:rPr>
                <w:rFonts w:hint="eastAsia" w:ascii="仿宋" w:hAnsi="仿宋" w:eastAsia="仿宋" w:cs="仿宋"/>
                <w:b/>
                <w:bCs/>
                <w:color w:val="000000"/>
                <w:sz w:val="21"/>
                <w:szCs w:val="21"/>
                <w:highlight w:val="none"/>
                <w:u w:val="none"/>
              </w:rPr>
              <w:t>加快饮用水水源调查评估和保护区划定。</w:t>
            </w:r>
          </w:p>
        </w:tc>
        <w:tc>
          <w:tcPr>
            <w:tcW w:w="6923"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highlight w:val="none"/>
                <w:u w:val="none"/>
                <w:lang w:val="en-US" w:eastAsia="zh-CN"/>
              </w:rPr>
              <w:t>①</w:t>
            </w:r>
            <w:r>
              <w:rPr>
                <w:rFonts w:hint="eastAsia" w:ascii="仿宋" w:hAnsi="仿宋" w:eastAsia="仿宋" w:cs="仿宋"/>
                <w:color w:val="000000"/>
                <w:sz w:val="21"/>
                <w:szCs w:val="21"/>
                <w:highlight w:val="none"/>
                <w:u w:val="none"/>
              </w:rPr>
              <w:t>加</w:t>
            </w:r>
            <w:r>
              <w:rPr>
                <w:rFonts w:hint="eastAsia" w:ascii="仿宋" w:hAnsi="仿宋" w:eastAsia="仿宋" w:cs="仿宋"/>
                <w:color w:val="000000"/>
                <w:sz w:val="21"/>
                <w:szCs w:val="21"/>
                <w:highlight w:val="none"/>
              </w:rPr>
              <w:t>快完成集中式水源保护区划定。一是深入查漏补缺、全面核准千吨万人及以上集中式水源地清单，8月底前，完成新增千吨万人水源保护区划定；二是完成千人以上集中式水源保护区划定。对千人以上水源地进行深入核实，做到供水工程-水源地-保护区相对应，水源保护区应划尽划、不留死角，</w:t>
            </w:r>
            <w:r>
              <w:rPr>
                <w:rFonts w:hint="eastAsia" w:ascii="仿宋" w:hAnsi="仿宋" w:eastAsia="仿宋" w:cs="仿宋"/>
                <w:color w:val="000000"/>
                <w:sz w:val="21"/>
                <w:szCs w:val="21"/>
                <w:highlight w:val="none"/>
                <w:u w:val="none"/>
              </w:rPr>
              <w:t>应于9月30日前完成千人以上水源保护区划定批</w:t>
            </w:r>
            <w:r>
              <w:rPr>
                <w:rFonts w:hint="eastAsia" w:ascii="仿宋" w:hAnsi="仿宋" w:eastAsia="仿宋" w:cs="仿宋"/>
                <w:color w:val="000000"/>
                <w:sz w:val="21"/>
                <w:szCs w:val="21"/>
                <w:highlight w:val="none"/>
              </w:rPr>
              <w:t>复。</w:t>
            </w:r>
          </w:p>
        </w:tc>
        <w:tc>
          <w:tcPr>
            <w:tcW w:w="1650" w:type="dxa"/>
            <w:vMerge w:val="restart"/>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default"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市生态环境局华容分局各相关乡镇</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color w:val="000000"/>
                <w:sz w:val="21"/>
                <w:szCs w:val="21"/>
                <w:highlight w:val="none"/>
                <w:u w:val="none"/>
                <w:lang w:val="en-US" w:eastAsia="zh-CN"/>
              </w:rPr>
            </w:pPr>
            <w:r>
              <w:rPr>
                <w:rFonts w:hint="eastAsia" w:ascii="仿宋" w:hAnsi="仿宋" w:eastAsia="仿宋" w:cs="仿宋"/>
                <w:color w:val="000000"/>
                <w:sz w:val="21"/>
                <w:szCs w:val="21"/>
                <w:highlight w:val="none"/>
                <w:u w:val="none"/>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b w:val="0"/>
                <w:bCs w:val="0"/>
                <w:color w:val="000000"/>
                <w:sz w:val="21"/>
                <w:szCs w:val="21"/>
                <w:lang w:val="en-US" w:eastAsia="zh-CN"/>
              </w:rPr>
            </w:pPr>
            <w:r>
              <w:rPr>
                <w:rFonts w:hint="eastAsia" w:ascii="仿宋" w:hAnsi="仿宋" w:eastAsia="仿宋" w:cs="仿宋"/>
                <w:color w:val="000000"/>
                <w:sz w:val="21"/>
                <w:szCs w:val="21"/>
                <w:highlight w:val="none"/>
                <w:u w:val="none"/>
              </w:rPr>
              <w:t>9月</w:t>
            </w:r>
            <w:r>
              <w:rPr>
                <w:rFonts w:hint="eastAsia" w:ascii="仿宋" w:hAnsi="仿宋" w:eastAsia="仿宋" w:cs="仿宋"/>
                <w:color w:val="000000"/>
                <w:sz w:val="21"/>
                <w:szCs w:val="21"/>
                <w:highlight w:val="none"/>
                <w:u w:val="none"/>
                <w:lang w:val="en-US" w:eastAsia="zh-CN"/>
              </w:rPr>
              <w:t>底</w:t>
            </w:r>
            <w:r>
              <w:rPr>
                <w:rFonts w:hint="eastAsia" w:ascii="仿宋" w:hAnsi="仿宋" w:eastAsia="仿宋" w:cs="仿宋"/>
                <w:color w:val="000000"/>
                <w:sz w:val="21"/>
                <w:szCs w:val="21"/>
                <w:highlight w:val="none"/>
                <w:u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b/>
                <w:color w:val="000000"/>
                <w:sz w:val="21"/>
                <w:szCs w:val="21"/>
                <w:lang w:val="en-US" w:eastAsia="zh-CN"/>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sz w:val="21"/>
                <w:szCs w:val="21"/>
              </w:rPr>
            </w:pPr>
          </w:p>
        </w:tc>
        <w:tc>
          <w:tcPr>
            <w:tcW w:w="1332" w:type="dxa"/>
            <w:vMerge w:val="continue"/>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sz w:val="21"/>
                <w:szCs w:val="21"/>
              </w:rPr>
            </w:pPr>
          </w:p>
        </w:tc>
        <w:tc>
          <w:tcPr>
            <w:tcW w:w="6923"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highlight w:val="none"/>
                <w:lang w:val="en-US" w:eastAsia="zh-CN"/>
              </w:rPr>
              <w:t>②</w:t>
            </w:r>
            <w:r>
              <w:rPr>
                <w:rFonts w:hint="eastAsia" w:ascii="仿宋" w:hAnsi="仿宋" w:eastAsia="仿宋" w:cs="仿宋"/>
                <w:color w:val="000000"/>
                <w:sz w:val="21"/>
                <w:szCs w:val="21"/>
                <w:highlight w:val="none"/>
              </w:rPr>
              <w:t>加快划定分散式水源保护范围。国家审计署已多次指出分散式供水工程保护范围划定工作滞后问题，年内启动分散式水源地环境管理工作，明确分散式水源保护范围、合理设置保护范围标识牌，并做好相关资料收集整理备案。</w:t>
            </w:r>
          </w:p>
        </w:tc>
        <w:tc>
          <w:tcPr>
            <w:tcW w:w="1650" w:type="dxa"/>
            <w:vMerge w:val="continue"/>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color w:val="000000"/>
                <w:sz w:val="21"/>
                <w:szCs w:val="21"/>
              </w:rPr>
            </w:pP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color w:val="000000"/>
                <w:sz w:val="21"/>
                <w:szCs w:val="21"/>
                <w:highlight w:val="none"/>
                <w:u w:val="none"/>
                <w:lang w:val="en-US" w:eastAsia="zh-CN"/>
              </w:rPr>
            </w:pPr>
            <w:r>
              <w:rPr>
                <w:rFonts w:hint="eastAsia" w:ascii="仿宋" w:hAnsi="仿宋" w:eastAsia="仿宋" w:cs="仿宋"/>
                <w:color w:val="000000"/>
                <w:sz w:val="21"/>
                <w:szCs w:val="21"/>
                <w:highlight w:val="none"/>
                <w:u w:val="none"/>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highlight w:val="none"/>
                <w:u w:val="none"/>
                <w:lang w:val="en-US" w:eastAsia="zh-CN"/>
              </w:rPr>
              <w:t>12底</w:t>
            </w:r>
            <w:r>
              <w:rPr>
                <w:rFonts w:hint="eastAsia" w:ascii="仿宋" w:hAnsi="仿宋" w:eastAsia="仿宋" w:cs="仿宋"/>
                <w:color w:val="000000"/>
                <w:sz w:val="21"/>
                <w:szCs w:val="21"/>
                <w:highlight w:val="none"/>
                <w:u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sz w:val="21"/>
                <w:szCs w:val="21"/>
              </w:rPr>
            </w:pPr>
          </w:p>
        </w:tc>
        <w:tc>
          <w:tcPr>
            <w:tcW w:w="1332" w:type="dxa"/>
            <w:vMerge w:val="continue"/>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sz w:val="21"/>
                <w:szCs w:val="21"/>
              </w:rPr>
            </w:pP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sz w:val="21"/>
                <w:szCs w:val="21"/>
                <w:lang w:val="en-US" w:eastAsia="zh-CN"/>
              </w:rPr>
            </w:pPr>
            <w:r>
              <w:rPr>
                <w:rFonts w:hint="eastAsia" w:ascii="仿宋" w:hAnsi="仿宋" w:eastAsia="仿宋" w:cs="仿宋"/>
                <w:color w:val="000000"/>
                <w:sz w:val="21"/>
                <w:szCs w:val="21"/>
                <w:highlight w:val="none"/>
                <w:lang w:val="en-US" w:eastAsia="zh-CN"/>
              </w:rPr>
              <w:t>③</w:t>
            </w:r>
            <w:r>
              <w:rPr>
                <w:rFonts w:hint="eastAsia" w:ascii="仿宋" w:hAnsi="仿宋" w:eastAsia="仿宋" w:cs="仿宋"/>
                <w:color w:val="000000"/>
                <w:sz w:val="21"/>
                <w:szCs w:val="21"/>
                <w:highlight w:val="none"/>
              </w:rPr>
              <w:t>按时完成集中式水源基础状况评估。6月底前，完成县级饮用水水源基础状况评估报告编制，7月份，</w:t>
            </w:r>
            <w:r>
              <w:rPr>
                <w:rFonts w:hint="eastAsia" w:ascii="仿宋" w:hAnsi="仿宋" w:eastAsia="仿宋" w:cs="仿宋"/>
                <w:color w:val="000000"/>
                <w:sz w:val="21"/>
                <w:szCs w:val="21"/>
                <w:highlight w:val="none"/>
                <w:lang w:eastAsia="zh-CN"/>
              </w:rPr>
              <w:t>上级将</w:t>
            </w:r>
            <w:r>
              <w:rPr>
                <w:rFonts w:hint="eastAsia" w:ascii="仿宋" w:hAnsi="仿宋" w:eastAsia="仿宋" w:cs="仿宋"/>
                <w:color w:val="000000"/>
                <w:sz w:val="21"/>
                <w:szCs w:val="21"/>
                <w:highlight w:val="none"/>
              </w:rPr>
              <w:t>组织对县级及以上水源评估报告进行审核，9月底前，完成千吨万人和乡镇级千人以上水源基础状况评估（以县为单位编写评估报告）</w:t>
            </w:r>
            <w:r>
              <w:rPr>
                <w:rFonts w:hint="eastAsia" w:ascii="仿宋" w:hAnsi="仿宋" w:eastAsia="仿宋" w:cs="仿宋"/>
                <w:color w:val="000000"/>
                <w:sz w:val="21"/>
                <w:szCs w:val="21"/>
                <w:highlight w:val="none"/>
                <w:lang w:val="en-US" w:eastAsia="zh-CN"/>
              </w:rPr>
              <w:t>。</w:t>
            </w:r>
          </w:p>
        </w:tc>
        <w:tc>
          <w:tcPr>
            <w:tcW w:w="1650" w:type="dxa"/>
            <w:vMerge w:val="continue"/>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6"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楷体" w:hAnsi="楷体" w:eastAsia="楷体" w:cs="楷体"/>
                <w:b/>
                <w:bCs w:val="0"/>
                <w:color w:val="000000"/>
                <w:sz w:val="21"/>
                <w:szCs w:val="21"/>
                <w:lang w:val="en-US" w:eastAsia="zh-CN"/>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left"/>
              <w:textAlignment w:val="auto"/>
              <w:rPr>
                <w:rFonts w:hint="eastAsia" w:ascii="楷体" w:hAnsi="楷体" w:eastAsia="楷体" w:cs="楷体"/>
                <w:b/>
                <w:bCs w:val="0"/>
                <w:color w:val="000000"/>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sz w:val="21"/>
                <w:szCs w:val="21"/>
              </w:rPr>
            </w:pPr>
            <w:r>
              <w:rPr>
                <w:rFonts w:hint="eastAsia" w:ascii="仿宋" w:hAnsi="仿宋" w:eastAsia="仿宋" w:cs="仿宋"/>
                <w:b/>
                <w:bCs/>
                <w:color w:val="auto"/>
                <w:sz w:val="21"/>
                <w:szCs w:val="21"/>
                <w:u w:val="none"/>
                <w:lang w:eastAsia="zh-CN"/>
              </w:rPr>
              <w:t>（</w:t>
            </w:r>
            <w:r>
              <w:rPr>
                <w:rFonts w:hint="eastAsia" w:ascii="仿宋" w:hAnsi="仿宋" w:eastAsia="仿宋" w:cs="仿宋"/>
                <w:b/>
                <w:bCs/>
                <w:color w:val="auto"/>
                <w:sz w:val="21"/>
                <w:szCs w:val="21"/>
                <w:u w:val="none"/>
                <w:lang w:val="en-US" w:eastAsia="zh-CN"/>
              </w:rPr>
              <w:t>2</w:t>
            </w:r>
            <w:r>
              <w:rPr>
                <w:rFonts w:hint="eastAsia" w:ascii="仿宋" w:hAnsi="仿宋" w:eastAsia="仿宋" w:cs="仿宋"/>
                <w:b/>
                <w:bCs/>
                <w:color w:val="auto"/>
                <w:sz w:val="21"/>
                <w:szCs w:val="21"/>
                <w:u w:val="none"/>
                <w:lang w:eastAsia="zh-CN"/>
              </w:rPr>
              <w:t>）</w:t>
            </w:r>
            <w:r>
              <w:rPr>
                <w:rFonts w:hint="eastAsia" w:ascii="仿宋" w:hAnsi="仿宋" w:eastAsia="仿宋" w:cs="仿宋"/>
                <w:b/>
                <w:bCs/>
                <w:color w:val="auto"/>
                <w:sz w:val="21"/>
                <w:szCs w:val="21"/>
                <w:u w:val="none"/>
              </w:rPr>
              <w:t>加强饮用水水质监测。</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监测和评估饮用水水源、供水单位供水、用户水龙头出水水质等饮用水安全状况，落实水源保护、工程建设、水质监测检测“三同时”制度，从水源到水龙头全过程监管饮用水安全。开展农村饮用水水源地监测工作，建立定期监测机制，按照国家相关标准，结合本地水质状况确定监测项目，对供水人口在10000人或日供水1000吨以上的饮用水水源每季度监测不少于一次。建立饮用水水质信息定期发布机制，建立统一的饮用水监测数据平台，由每季度向社会公开一次饮用水安全状况信息。</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eastAsia="zh-CN"/>
              </w:rPr>
              <w:t>市生态环境局华容分局</w:t>
            </w:r>
            <w:r>
              <w:rPr>
                <w:rFonts w:hint="eastAsia" w:ascii="仿宋" w:hAnsi="仿宋" w:eastAsia="仿宋" w:cs="仿宋"/>
                <w:color w:val="auto"/>
                <w:sz w:val="21"/>
                <w:szCs w:val="21"/>
                <w:u w:val="none"/>
              </w:rPr>
              <w:t>、</w:t>
            </w:r>
            <w:r>
              <w:rPr>
                <w:rFonts w:hint="eastAsia" w:ascii="仿宋" w:hAnsi="仿宋" w:eastAsia="仿宋" w:cs="仿宋"/>
                <w:color w:val="auto"/>
                <w:sz w:val="21"/>
                <w:szCs w:val="21"/>
                <w:u w:val="none"/>
                <w:lang w:eastAsia="zh-CN"/>
              </w:rPr>
              <w:t>县</w:t>
            </w:r>
            <w:r>
              <w:rPr>
                <w:rFonts w:hint="eastAsia" w:ascii="仿宋" w:hAnsi="仿宋" w:eastAsia="仿宋" w:cs="仿宋"/>
                <w:color w:val="auto"/>
                <w:sz w:val="21"/>
                <w:szCs w:val="21"/>
                <w:u w:val="none"/>
              </w:rPr>
              <w:t>卫健</w:t>
            </w:r>
            <w:r>
              <w:rPr>
                <w:rFonts w:hint="eastAsia" w:ascii="仿宋" w:hAnsi="仿宋" w:eastAsia="仿宋" w:cs="仿宋"/>
                <w:color w:val="auto"/>
                <w:sz w:val="21"/>
                <w:szCs w:val="21"/>
                <w:u w:val="none"/>
                <w:lang w:eastAsia="zh-CN"/>
              </w:rPr>
              <w:t>局</w:t>
            </w:r>
            <w:r>
              <w:rPr>
                <w:rFonts w:hint="eastAsia" w:ascii="仿宋" w:hAnsi="仿宋" w:eastAsia="仿宋" w:cs="仿宋"/>
                <w:color w:val="auto"/>
                <w:sz w:val="21"/>
                <w:szCs w:val="21"/>
                <w:u w:val="none"/>
              </w:rPr>
              <w:t>、</w:t>
            </w:r>
            <w:r>
              <w:rPr>
                <w:rFonts w:hint="eastAsia" w:ascii="仿宋" w:hAnsi="仿宋" w:eastAsia="仿宋" w:cs="仿宋"/>
                <w:color w:val="auto"/>
                <w:sz w:val="21"/>
                <w:szCs w:val="21"/>
                <w:u w:val="none"/>
                <w:lang w:eastAsia="zh-CN"/>
              </w:rPr>
              <w:t>县</w:t>
            </w:r>
            <w:r>
              <w:rPr>
                <w:rFonts w:hint="eastAsia" w:ascii="仿宋" w:hAnsi="仿宋" w:eastAsia="仿宋" w:cs="仿宋"/>
                <w:color w:val="auto"/>
                <w:sz w:val="21"/>
                <w:szCs w:val="21"/>
                <w:u w:val="none"/>
              </w:rPr>
              <w:t>水利</w:t>
            </w:r>
            <w:r>
              <w:rPr>
                <w:rFonts w:hint="eastAsia" w:ascii="仿宋" w:hAnsi="仿宋" w:eastAsia="仿宋" w:cs="仿宋"/>
                <w:color w:val="auto"/>
                <w:sz w:val="21"/>
                <w:szCs w:val="21"/>
                <w:u w:val="none"/>
                <w:lang w:eastAsia="zh-CN"/>
              </w:rPr>
              <w:t>局</w:t>
            </w:r>
            <w:r>
              <w:rPr>
                <w:rFonts w:hint="eastAsia" w:ascii="仿宋" w:hAnsi="仿宋" w:eastAsia="仿宋" w:cs="仿宋"/>
                <w:color w:val="auto"/>
                <w:sz w:val="21"/>
                <w:szCs w:val="21"/>
                <w:u w:val="none"/>
              </w:rPr>
              <w:t>、</w:t>
            </w:r>
            <w:r>
              <w:rPr>
                <w:rFonts w:hint="eastAsia" w:ascii="仿宋" w:hAnsi="仿宋" w:eastAsia="仿宋" w:cs="仿宋"/>
                <w:color w:val="auto"/>
                <w:sz w:val="21"/>
                <w:szCs w:val="21"/>
                <w:u w:val="none"/>
                <w:lang w:eastAsia="zh-CN"/>
              </w:rPr>
              <w:t>县</w:t>
            </w:r>
            <w:r>
              <w:rPr>
                <w:rFonts w:hint="eastAsia" w:ascii="仿宋" w:hAnsi="仿宋" w:eastAsia="仿宋" w:cs="仿宋"/>
                <w:color w:val="auto"/>
                <w:sz w:val="21"/>
                <w:szCs w:val="21"/>
                <w:u w:val="none"/>
              </w:rPr>
              <w:t>住建</w:t>
            </w:r>
            <w:r>
              <w:rPr>
                <w:rFonts w:hint="eastAsia" w:ascii="仿宋" w:hAnsi="仿宋" w:eastAsia="仿宋" w:cs="仿宋"/>
                <w:color w:val="auto"/>
                <w:sz w:val="21"/>
                <w:szCs w:val="21"/>
                <w:u w:val="none"/>
                <w:lang w:eastAsia="zh-CN"/>
              </w:rPr>
              <w:t>局</w:t>
            </w:r>
            <w:r>
              <w:rPr>
                <w:rFonts w:hint="eastAsia" w:ascii="仿宋" w:hAnsi="仿宋" w:eastAsia="仿宋" w:cs="仿宋"/>
                <w:color w:val="auto"/>
                <w:sz w:val="21"/>
                <w:szCs w:val="21"/>
                <w:u w:val="none"/>
              </w:rPr>
              <w:t>按职责分工负责</w:t>
            </w:r>
          </w:p>
        </w:tc>
        <w:tc>
          <w:tcPr>
            <w:tcW w:w="167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jc w:val="center"/>
              <w:rPr>
                <w:rFonts w:hint="eastAsia"/>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3"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left"/>
              <w:textAlignment w:val="auto"/>
              <w:rPr>
                <w:rFonts w:hint="eastAsia" w:ascii="仿宋" w:hAnsi="仿宋" w:eastAsia="仿宋" w:cs="仿宋"/>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sz w:val="21"/>
                <w:szCs w:val="21"/>
              </w:rPr>
            </w:pPr>
            <w:r>
              <w:rPr>
                <w:rFonts w:hint="eastAsia" w:ascii="仿宋" w:hAnsi="仿宋" w:eastAsia="仿宋" w:cs="仿宋"/>
                <w:b/>
                <w:bCs/>
                <w:color w:val="auto"/>
                <w:sz w:val="21"/>
                <w:szCs w:val="21"/>
                <w:u w:val="none"/>
                <w:lang w:eastAsia="zh-CN"/>
              </w:rPr>
              <w:t>（</w:t>
            </w:r>
            <w:r>
              <w:rPr>
                <w:rFonts w:hint="eastAsia" w:ascii="仿宋" w:hAnsi="仿宋" w:eastAsia="仿宋" w:cs="仿宋"/>
                <w:b/>
                <w:bCs/>
                <w:color w:val="auto"/>
                <w:sz w:val="21"/>
                <w:szCs w:val="21"/>
                <w:u w:val="none"/>
                <w:lang w:val="en-US" w:eastAsia="zh-CN"/>
              </w:rPr>
              <w:t>3</w:t>
            </w:r>
            <w:r>
              <w:rPr>
                <w:rFonts w:hint="eastAsia" w:ascii="仿宋" w:hAnsi="仿宋" w:eastAsia="仿宋" w:cs="仿宋"/>
                <w:b/>
                <w:bCs/>
                <w:color w:val="auto"/>
                <w:sz w:val="21"/>
                <w:szCs w:val="21"/>
                <w:u w:val="none"/>
                <w:lang w:eastAsia="zh-CN"/>
              </w:rPr>
              <w:t>）</w:t>
            </w:r>
            <w:r>
              <w:rPr>
                <w:rFonts w:hint="eastAsia" w:ascii="仿宋" w:hAnsi="仿宋" w:eastAsia="仿宋" w:cs="仿宋"/>
                <w:b/>
                <w:bCs/>
                <w:color w:val="auto"/>
                <w:sz w:val="21"/>
                <w:szCs w:val="21"/>
                <w:u w:val="none"/>
              </w:rPr>
              <w:t>开展饮用水水源环境风险排查整治。</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textAlignment w:val="auto"/>
              <w:rPr>
                <w:rFonts w:hint="eastAsia" w:ascii="仿宋" w:hAnsi="仿宋" w:eastAsia="仿宋" w:cs="仿宋"/>
                <w:sz w:val="21"/>
                <w:szCs w:val="21"/>
              </w:rPr>
            </w:pPr>
            <w:r>
              <w:rPr>
                <w:rFonts w:hint="eastAsia" w:ascii="仿宋" w:hAnsi="仿宋" w:eastAsia="仿宋" w:cs="仿宋"/>
                <w:color w:val="auto"/>
                <w:sz w:val="21"/>
                <w:szCs w:val="21"/>
                <w:u w:val="none"/>
              </w:rPr>
              <w:t>以供水人口在10000人或日供水在1000吨以上的饮用水水源保护区为重点，全面</w:t>
            </w:r>
            <w:r>
              <w:rPr>
                <w:rFonts w:hint="eastAsia" w:ascii="仿宋" w:hAnsi="仿宋" w:eastAsia="仿宋" w:cs="仿宋"/>
                <w:color w:val="auto"/>
                <w:sz w:val="21"/>
                <w:szCs w:val="21"/>
                <w:u w:val="none"/>
                <w:lang w:eastAsia="zh-CN"/>
              </w:rPr>
              <w:t>完成</w:t>
            </w:r>
            <w:r>
              <w:rPr>
                <w:rFonts w:hint="eastAsia" w:ascii="仿宋" w:hAnsi="仿宋" w:eastAsia="仿宋" w:cs="仿宋"/>
                <w:color w:val="auto"/>
                <w:sz w:val="21"/>
                <w:szCs w:val="21"/>
                <w:u w:val="none"/>
              </w:rPr>
              <w:t>排查可能影响饮用水水源环境安全的化工、造纸、冶炼、制药等风险源和生活污水垃圾、畜禽养殖等风险源，全面整治饮用水水源保护区范围内的排污口、违法建设项目、违法网箱养殖等环境违法问题。对水质不达标的水源，采取水源更换、集中供水、污染治理等措施，确保农村饮水安全。</w:t>
            </w:r>
            <w:r>
              <w:rPr>
                <w:rFonts w:hint="eastAsia" w:ascii="仿宋" w:hAnsi="仿宋" w:eastAsia="仿宋" w:cs="仿宋"/>
                <w:color w:val="000000"/>
                <w:sz w:val="21"/>
                <w:szCs w:val="21"/>
                <w:u w:val="none"/>
              </w:rPr>
              <w:t>202</w:t>
            </w:r>
            <w:r>
              <w:rPr>
                <w:rFonts w:hint="eastAsia" w:ascii="仿宋" w:hAnsi="仿宋" w:eastAsia="仿宋" w:cs="仿宋"/>
                <w:color w:val="000000"/>
                <w:sz w:val="21"/>
                <w:szCs w:val="21"/>
                <w:u w:val="none"/>
                <w:lang w:val="en-US" w:eastAsia="zh-CN"/>
              </w:rPr>
              <w:t>1</w:t>
            </w:r>
            <w:r>
              <w:rPr>
                <w:rFonts w:hint="eastAsia" w:ascii="仿宋" w:hAnsi="仿宋" w:eastAsia="仿宋" w:cs="仿宋"/>
                <w:color w:val="000000"/>
                <w:sz w:val="21"/>
                <w:szCs w:val="21"/>
                <w:u w:val="none"/>
              </w:rPr>
              <w:t>年底前，饮用水水源地清理整治工作基本</w:t>
            </w:r>
            <w:r>
              <w:rPr>
                <w:rFonts w:hint="eastAsia" w:ascii="仿宋" w:hAnsi="仿宋" w:eastAsia="仿宋" w:cs="仿宋"/>
                <w:color w:val="000000"/>
                <w:sz w:val="21"/>
                <w:szCs w:val="21"/>
                <w:u w:val="none"/>
                <w:lang w:eastAsia="zh-CN"/>
              </w:rPr>
              <w:t>完成。</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color w:val="auto"/>
                <w:sz w:val="21"/>
                <w:szCs w:val="21"/>
                <w:lang w:eastAsia="zh-CN"/>
              </w:rPr>
              <w:t>市生态环境局华容分局</w:t>
            </w:r>
            <w:r>
              <w:rPr>
                <w:rFonts w:hint="eastAsia" w:ascii="仿宋" w:hAnsi="仿宋" w:eastAsia="仿宋" w:cs="仿宋"/>
                <w:b w:val="0"/>
                <w:bCs w:val="0"/>
                <w:color w:val="auto"/>
                <w:sz w:val="21"/>
                <w:szCs w:val="21"/>
              </w:rPr>
              <w:t>牵头，</w:t>
            </w:r>
            <w:r>
              <w:rPr>
                <w:rFonts w:hint="eastAsia" w:ascii="仿宋" w:hAnsi="仿宋" w:eastAsia="仿宋" w:cs="仿宋"/>
                <w:b w:val="0"/>
                <w:bCs w:val="0"/>
                <w:color w:val="auto"/>
                <w:sz w:val="21"/>
                <w:szCs w:val="21"/>
                <w:lang w:eastAsia="zh-CN"/>
              </w:rPr>
              <w:t>县</w:t>
            </w:r>
            <w:r>
              <w:rPr>
                <w:rFonts w:hint="eastAsia" w:ascii="仿宋" w:hAnsi="仿宋" w:eastAsia="仿宋" w:cs="仿宋"/>
                <w:b w:val="0"/>
                <w:bCs w:val="0"/>
                <w:color w:val="auto"/>
                <w:sz w:val="21"/>
                <w:szCs w:val="21"/>
              </w:rPr>
              <w:t>农业农村</w:t>
            </w:r>
            <w:r>
              <w:rPr>
                <w:rFonts w:hint="eastAsia" w:ascii="仿宋" w:hAnsi="仿宋" w:eastAsia="仿宋" w:cs="仿宋"/>
                <w:b w:val="0"/>
                <w:bCs w:val="0"/>
                <w:color w:val="auto"/>
                <w:sz w:val="21"/>
                <w:szCs w:val="21"/>
                <w:lang w:eastAsia="zh-CN"/>
              </w:rPr>
              <w:t>局</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县</w:t>
            </w:r>
            <w:r>
              <w:rPr>
                <w:rFonts w:hint="eastAsia" w:ascii="仿宋" w:hAnsi="仿宋" w:eastAsia="仿宋" w:cs="仿宋"/>
                <w:b w:val="0"/>
                <w:bCs w:val="0"/>
                <w:color w:val="auto"/>
                <w:sz w:val="21"/>
                <w:szCs w:val="21"/>
              </w:rPr>
              <w:t>水利</w:t>
            </w:r>
            <w:r>
              <w:rPr>
                <w:rFonts w:hint="eastAsia" w:ascii="仿宋" w:hAnsi="仿宋" w:eastAsia="仿宋" w:cs="仿宋"/>
                <w:b w:val="0"/>
                <w:bCs w:val="0"/>
                <w:color w:val="auto"/>
                <w:sz w:val="21"/>
                <w:szCs w:val="21"/>
                <w:lang w:eastAsia="zh-CN"/>
              </w:rPr>
              <w:t>局</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县</w:t>
            </w:r>
            <w:r>
              <w:rPr>
                <w:rFonts w:hint="eastAsia" w:ascii="仿宋" w:hAnsi="仿宋" w:eastAsia="仿宋" w:cs="仿宋"/>
                <w:b w:val="0"/>
                <w:bCs w:val="0"/>
                <w:color w:val="auto"/>
                <w:sz w:val="21"/>
                <w:szCs w:val="21"/>
              </w:rPr>
              <w:t>住建</w:t>
            </w:r>
            <w:r>
              <w:rPr>
                <w:rFonts w:hint="eastAsia" w:ascii="仿宋" w:hAnsi="仿宋" w:eastAsia="仿宋" w:cs="仿宋"/>
                <w:b w:val="0"/>
                <w:bCs w:val="0"/>
                <w:color w:val="auto"/>
                <w:sz w:val="21"/>
                <w:szCs w:val="21"/>
                <w:lang w:eastAsia="zh-CN"/>
              </w:rPr>
              <w:t>局</w:t>
            </w:r>
            <w:r>
              <w:rPr>
                <w:rFonts w:hint="eastAsia" w:ascii="仿宋" w:hAnsi="仿宋" w:eastAsia="仿宋" w:cs="仿宋"/>
                <w:b w:val="0"/>
                <w:bCs w:val="0"/>
                <w:color w:val="auto"/>
                <w:sz w:val="21"/>
                <w:szCs w:val="21"/>
              </w:rPr>
              <w:t>参与</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楷体" w:hAnsi="楷体" w:eastAsia="楷体" w:cs="楷体"/>
                <w:b/>
                <w:bCs w:val="0"/>
                <w:color w:val="000000"/>
                <w:sz w:val="21"/>
                <w:szCs w:val="21"/>
                <w:lang w:val="en-US" w:eastAsia="zh-CN"/>
              </w:rPr>
            </w:pPr>
            <w:r>
              <w:rPr>
                <w:rFonts w:hint="eastAsia" w:ascii="楷体" w:hAnsi="楷体" w:eastAsia="楷体" w:cs="楷体"/>
                <w:b/>
                <w:bCs w:val="0"/>
                <w:color w:val="000000"/>
                <w:sz w:val="21"/>
                <w:szCs w:val="21"/>
                <w:lang w:val="en-US" w:eastAsia="zh-CN"/>
              </w:rPr>
              <w:t>2</w:t>
            </w:r>
          </w:p>
        </w:tc>
        <w:tc>
          <w:tcPr>
            <w:tcW w:w="112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left"/>
              <w:textAlignment w:val="auto"/>
              <w:rPr>
                <w:rFonts w:hint="eastAsia" w:ascii="楷体" w:hAnsi="楷体" w:eastAsia="楷体" w:cs="楷体"/>
                <w:b/>
                <w:bCs w:val="0"/>
                <w:color w:val="000000"/>
                <w:sz w:val="21"/>
                <w:szCs w:val="21"/>
                <w:lang w:val="en-US" w:eastAsia="zh-CN"/>
              </w:rPr>
            </w:pPr>
            <w:r>
              <w:rPr>
                <w:rFonts w:hint="eastAsia" w:ascii="楷体" w:hAnsi="楷体" w:eastAsia="楷体" w:cs="楷体"/>
                <w:b/>
                <w:bCs w:val="0"/>
                <w:color w:val="000000"/>
                <w:sz w:val="21"/>
                <w:szCs w:val="21"/>
                <w:lang w:val="en-US" w:eastAsia="zh-CN"/>
              </w:rPr>
              <w:t>加快推进农村生活垃圾污水治理。</w:t>
            </w: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bCs/>
                <w:sz w:val="21"/>
                <w:szCs w:val="21"/>
              </w:rPr>
            </w:pPr>
            <w:r>
              <w:rPr>
                <w:rFonts w:hint="eastAsia" w:ascii="仿宋" w:hAnsi="仿宋" w:eastAsia="仿宋" w:cs="仿宋"/>
                <w:b/>
                <w:bCs/>
                <w:color w:val="auto"/>
                <w:kern w:val="0"/>
                <w:sz w:val="21"/>
                <w:szCs w:val="21"/>
                <w:lang w:eastAsia="zh-CN"/>
              </w:rPr>
              <w:t>（</w:t>
            </w:r>
            <w:r>
              <w:rPr>
                <w:rFonts w:hint="eastAsia" w:ascii="仿宋" w:hAnsi="仿宋" w:eastAsia="仿宋" w:cs="仿宋"/>
                <w:b/>
                <w:bCs/>
                <w:color w:val="auto"/>
                <w:kern w:val="0"/>
                <w:sz w:val="21"/>
                <w:szCs w:val="21"/>
                <w:lang w:val="en-US" w:eastAsia="zh-CN"/>
              </w:rPr>
              <w:t>1</w:t>
            </w:r>
            <w:r>
              <w:rPr>
                <w:rFonts w:hint="eastAsia" w:ascii="仿宋" w:hAnsi="仿宋" w:eastAsia="仿宋" w:cs="仿宋"/>
                <w:b/>
                <w:bCs/>
                <w:color w:val="auto"/>
                <w:kern w:val="0"/>
                <w:sz w:val="21"/>
                <w:szCs w:val="21"/>
                <w:lang w:eastAsia="zh-CN"/>
              </w:rPr>
              <w:t>）</w:t>
            </w:r>
            <w:r>
              <w:rPr>
                <w:rFonts w:hint="eastAsia" w:ascii="仿宋" w:hAnsi="仿宋" w:eastAsia="仿宋" w:cs="仿宋"/>
                <w:b/>
                <w:bCs/>
                <w:color w:val="auto"/>
                <w:kern w:val="0"/>
                <w:sz w:val="21"/>
                <w:szCs w:val="21"/>
              </w:rPr>
              <w:t>加大生活垃圾治理力度。</w:t>
            </w:r>
          </w:p>
        </w:tc>
        <w:tc>
          <w:tcPr>
            <w:tcW w:w="6923" w:type="dxa"/>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outlineLvl w:val="9"/>
              <w:rPr>
                <w:rFonts w:hint="eastAsia" w:ascii="仿宋" w:hAnsi="仿宋" w:eastAsia="仿宋" w:cs="仿宋"/>
                <w:sz w:val="21"/>
                <w:szCs w:val="21"/>
              </w:rPr>
            </w:pPr>
            <w:r>
              <w:rPr>
                <w:rFonts w:hint="eastAsia" w:ascii="仿宋" w:hAnsi="仿宋" w:eastAsia="仿宋" w:cs="仿宋"/>
                <w:color w:val="auto"/>
                <w:kern w:val="0"/>
                <w:sz w:val="21"/>
                <w:szCs w:val="21"/>
              </w:rPr>
              <w:t>统筹推进生活垃圾和农业生产废弃物利用、处理，推行垃圾就地分类减量和资源化利用，实行“户分类、村收集、镇转运、县处理”垃圾处理模式，加强村庄收转运设施建设，健全农村生活垃圾收运处置体系，加强村庄日常保洁，建立稳定高效的运行维护管理机制。</w:t>
            </w:r>
            <w:r>
              <w:rPr>
                <w:rFonts w:hint="eastAsia" w:ascii="仿宋" w:hAnsi="仿宋" w:eastAsia="仿宋" w:cs="仿宋"/>
                <w:color w:val="000000"/>
                <w:kern w:val="0"/>
                <w:sz w:val="21"/>
                <w:szCs w:val="21"/>
                <w:u w:val="none"/>
              </w:rPr>
              <w:t>到202</w:t>
            </w:r>
            <w:r>
              <w:rPr>
                <w:rFonts w:hint="eastAsia" w:ascii="仿宋" w:hAnsi="仿宋" w:eastAsia="仿宋" w:cs="仿宋"/>
                <w:color w:val="000000"/>
                <w:kern w:val="0"/>
                <w:sz w:val="21"/>
                <w:szCs w:val="21"/>
                <w:u w:val="none"/>
                <w:lang w:val="en-US" w:eastAsia="zh-CN"/>
              </w:rPr>
              <w:t>1</w:t>
            </w:r>
            <w:r>
              <w:rPr>
                <w:rFonts w:hint="eastAsia" w:ascii="仿宋" w:hAnsi="仿宋" w:eastAsia="仿宋" w:cs="仿宋"/>
                <w:color w:val="000000"/>
                <w:kern w:val="0"/>
                <w:sz w:val="21"/>
                <w:szCs w:val="21"/>
                <w:u w:val="none"/>
              </w:rPr>
              <w:t>年，实现农村生活垃圾处置体系全覆盖。</w:t>
            </w:r>
            <w:r>
              <w:rPr>
                <w:rFonts w:hint="eastAsia" w:ascii="仿宋" w:hAnsi="仿宋" w:eastAsia="仿宋" w:cs="仿宋"/>
                <w:color w:val="000000"/>
                <w:kern w:val="0"/>
                <w:sz w:val="21"/>
                <w:szCs w:val="21"/>
              </w:rPr>
              <w:t>对较大规模的非正规垃圾堆放点和河道水面漂浮垃圾进行清理整治，清理河湖沿岸垃圾，重点整治“垃圾山”、“垃圾岛”、“垃圾围村”、工业污染“上山下乡”和“垃圾围坝”。</w:t>
            </w:r>
            <w:r>
              <w:rPr>
                <w:rFonts w:hint="eastAsia" w:ascii="仿宋" w:hAnsi="仿宋" w:eastAsia="仿宋" w:cs="仿宋"/>
                <w:color w:val="000000"/>
                <w:kern w:val="0"/>
                <w:sz w:val="21"/>
                <w:szCs w:val="21"/>
                <w:u w:val="none"/>
                <w:lang w:eastAsia="zh-CN"/>
              </w:rPr>
              <w:t>全面</w:t>
            </w:r>
            <w:r>
              <w:rPr>
                <w:rFonts w:hint="eastAsia" w:ascii="仿宋" w:hAnsi="仿宋" w:eastAsia="仿宋" w:cs="仿宋"/>
                <w:color w:val="000000"/>
                <w:kern w:val="0"/>
                <w:sz w:val="21"/>
                <w:szCs w:val="21"/>
                <w:u w:val="none"/>
              </w:rPr>
              <w:t>完成县级及以上集中式饮用水水源保护区及群众反映强烈的非正规垃圾堆放点整治。到202</w:t>
            </w:r>
            <w:r>
              <w:rPr>
                <w:rFonts w:hint="eastAsia" w:ascii="仿宋" w:hAnsi="仿宋" w:eastAsia="仿宋" w:cs="仿宋"/>
                <w:color w:val="000000"/>
                <w:kern w:val="0"/>
                <w:sz w:val="21"/>
                <w:szCs w:val="21"/>
                <w:u w:val="none"/>
                <w:lang w:val="en-US" w:eastAsia="zh-CN"/>
              </w:rPr>
              <w:t>1</w:t>
            </w:r>
            <w:r>
              <w:rPr>
                <w:rFonts w:hint="eastAsia" w:ascii="仿宋" w:hAnsi="仿宋" w:eastAsia="仿宋" w:cs="仿宋"/>
                <w:color w:val="000000"/>
                <w:kern w:val="0"/>
                <w:sz w:val="21"/>
                <w:szCs w:val="21"/>
                <w:u w:val="none"/>
              </w:rPr>
              <w:t>年，</w:t>
            </w:r>
            <w:r>
              <w:rPr>
                <w:rFonts w:hint="eastAsia" w:ascii="仿宋" w:hAnsi="仿宋" w:eastAsia="仿宋" w:cs="仿宋"/>
                <w:color w:val="000000"/>
                <w:kern w:val="0"/>
                <w:sz w:val="21"/>
                <w:szCs w:val="21"/>
                <w:u w:val="none"/>
                <w:lang w:eastAsia="zh-CN"/>
              </w:rPr>
              <w:t>力争</w:t>
            </w:r>
            <w:r>
              <w:rPr>
                <w:rFonts w:hint="eastAsia" w:ascii="仿宋" w:hAnsi="仿宋" w:eastAsia="仿宋" w:cs="仿宋"/>
                <w:color w:val="000000"/>
                <w:kern w:val="0"/>
                <w:sz w:val="21"/>
                <w:szCs w:val="21"/>
                <w:u w:val="none"/>
              </w:rPr>
              <w:t>实现全</w:t>
            </w:r>
            <w:r>
              <w:rPr>
                <w:rFonts w:hint="eastAsia" w:ascii="仿宋" w:hAnsi="仿宋" w:eastAsia="仿宋" w:cs="仿宋"/>
                <w:color w:val="000000"/>
                <w:kern w:val="0"/>
                <w:sz w:val="21"/>
                <w:szCs w:val="21"/>
                <w:u w:val="none"/>
                <w:lang w:eastAsia="zh-CN"/>
              </w:rPr>
              <w:t>县所有建制</w:t>
            </w:r>
            <w:r>
              <w:rPr>
                <w:rFonts w:hint="eastAsia" w:ascii="仿宋" w:hAnsi="仿宋" w:eastAsia="仿宋" w:cs="仿宋"/>
                <w:color w:val="000000"/>
                <w:kern w:val="0"/>
                <w:sz w:val="21"/>
                <w:szCs w:val="21"/>
                <w:u w:val="none"/>
              </w:rPr>
              <w:t>村庄生活垃圾得到有效治理，完成非正规垃圾堆放点排查整治，实施整治全流程监管，严厉查处在农村地区随意倾倒、堆放垃圾行为。</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color w:val="auto"/>
                <w:sz w:val="21"/>
                <w:szCs w:val="21"/>
                <w:lang w:eastAsia="zh-CN"/>
              </w:rPr>
              <w:t>县城管局</w:t>
            </w:r>
            <w:r>
              <w:rPr>
                <w:rFonts w:hint="eastAsia" w:ascii="仿宋" w:hAnsi="仿宋" w:eastAsia="仿宋" w:cs="仿宋"/>
                <w:b w:val="0"/>
                <w:bCs w:val="0"/>
                <w:color w:val="auto"/>
                <w:sz w:val="21"/>
                <w:szCs w:val="21"/>
              </w:rPr>
              <w:t>牵头，</w:t>
            </w:r>
            <w:r>
              <w:rPr>
                <w:rFonts w:hint="eastAsia" w:ascii="仿宋" w:hAnsi="仿宋" w:eastAsia="仿宋" w:cs="仿宋"/>
                <w:b w:val="0"/>
                <w:bCs w:val="0"/>
                <w:color w:val="auto"/>
                <w:sz w:val="21"/>
                <w:szCs w:val="21"/>
                <w:lang w:eastAsia="zh-CN"/>
              </w:rPr>
              <w:t>县</w:t>
            </w:r>
            <w:r>
              <w:rPr>
                <w:rFonts w:hint="eastAsia" w:ascii="仿宋" w:hAnsi="仿宋" w:eastAsia="仿宋" w:cs="仿宋"/>
                <w:b w:val="0"/>
                <w:bCs w:val="0"/>
                <w:color w:val="auto"/>
                <w:kern w:val="0"/>
                <w:sz w:val="21"/>
                <w:szCs w:val="21"/>
              </w:rPr>
              <w:t>农业农村</w:t>
            </w:r>
            <w:r>
              <w:rPr>
                <w:rFonts w:hint="eastAsia" w:ascii="仿宋" w:hAnsi="仿宋" w:eastAsia="仿宋" w:cs="仿宋"/>
                <w:b w:val="0"/>
                <w:bCs w:val="0"/>
                <w:color w:val="auto"/>
                <w:kern w:val="0"/>
                <w:sz w:val="21"/>
                <w:szCs w:val="21"/>
                <w:lang w:eastAsia="zh-CN"/>
              </w:rPr>
              <w:t>局</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县</w:t>
            </w:r>
            <w:r>
              <w:rPr>
                <w:rFonts w:hint="eastAsia" w:ascii="仿宋" w:hAnsi="仿宋" w:eastAsia="仿宋" w:cs="仿宋"/>
                <w:b w:val="0"/>
                <w:bCs w:val="0"/>
                <w:color w:val="auto"/>
                <w:kern w:val="0"/>
                <w:sz w:val="21"/>
                <w:szCs w:val="21"/>
              </w:rPr>
              <w:t>水利</w:t>
            </w:r>
            <w:r>
              <w:rPr>
                <w:rFonts w:hint="eastAsia" w:ascii="仿宋" w:hAnsi="仿宋" w:eastAsia="仿宋" w:cs="仿宋"/>
                <w:b w:val="0"/>
                <w:bCs w:val="0"/>
                <w:color w:val="auto"/>
                <w:kern w:val="0"/>
                <w:sz w:val="21"/>
                <w:szCs w:val="21"/>
                <w:lang w:eastAsia="zh-CN"/>
              </w:rPr>
              <w:t>局</w:t>
            </w:r>
            <w:r>
              <w:rPr>
                <w:rFonts w:hint="eastAsia" w:ascii="仿宋" w:hAnsi="仿宋" w:eastAsia="仿宋" w:cs="仿宋"/>
                <w:b w:val="0"/>
                <w:bCs w:val="0"/>
                <w:color w:val="auto"/>
                <w:kern w:val="0"/>
                <w:sz w:val="21"/>
                <w:szCs w:val="21"/>
              </w:rPr>
              <w:t>、</w:t>
            </w:r>
            <w:r>
              <w:rPr>
                <w:rFonts w:hint="eastAsia" w:ascii="仿宋" w:hAnsi="仿宋" w:eastAsia="仿宋" w:cs="仿宋"/>
                <w:b w:val="0"/>
                <w:bCs w:val="0"/>
                <w:color w:val="auto"/>
                <w:sz w:val="21"/>
                <w:szCs w:val="21"/>
                <w:lang w:eastAsia="zh-CN"/>
              </w:rPr>
              <w:t>市生态环境局华容分局</w:t>
            </w:r>
            <w:r>
              <w:rPr>
                <w:rFonts w:hint="eastAsia" w:ascii="仿宋" w:hAnsi="仿宋" w:eastAsia="仿宋" w:cs="仿宋"/>
                <w:b w:val="0"/>
                <w:bCs w:val="0"/>
                <w:color w:val="auto"/>
                <w:kern w:val="0"/>
                <w:sz w:val="21"/>
                <w:szCs w:val="21"/>
              </w:rPr>
              <w:t>、</w:t>
            </w:r>
            <w:r>
              <w:rPr>
                <w:rFonts w:hint="eastAsia" w:ascii="仿宋" w:hAnsi="仿宋" w:eastAsia="仿宋" w:cs="仿宋"/>
                <w:b w:val="0"/>
                <w:bCs w:val="0"/>
                <w:color w:val="auto"/>
                <w:kern w:val="0"/>
                <w:sz w:val="21"/>
                <w:szCs w:val="21"/>
                <w:lang w:eastAsia="zh-CN"/>
              </w:rPr>
              <w:t>县</w:t>
            </w:r>
            <w:r>
              <w:rPr>
                <w:rFonts w:hint="eastAsia" w:ascii="仿宋" w:hAnsi="仿宋" w:eastAsia="仿宋" w:cs="仿宋"/>
                <w:b w:val="0"/>
                <w:bCs w:val="0"/>
                <w:color w:val="auto"/>
                <w:kern w:val="0"/>
                <w:sz w:val="21"/>
                <w:szCs w:val="21"/>
              </w:rPr>
              <w:t>交通运输</w:t>
            </w:r>
            <w:r>
              <w:rPr>
                <w:rFonts w:hint="eastAsia" w:ascii="仿宋" w:hAnsi="仿宋" w:eastAsia="仿宋" w:cs="仿宋"/>
                <w:b w:val="0"/>
                <w:bCs w:val="0"/>
                <w:color w:val="auto"/>
                <w:kern w:val="0"/>
                <w:sz w:val="21"/>
                <w:szCs w:val="21"/>
                <w:lang w:eastAsia="zh-CN"/>
              </w:rPr>
              <w:t>局、各相关乡镇</w:t>
            </w:r>
            <w:r>
              <w:rPr>
                <w:rFonts w:hint="eastAsia" w:ascii="仿宋" w:hAnsi="仿宋" w:eastAsia="仿宋" w:cs="仿宋"/>
                <w:b w:val="0"/>
                <w:bCs w:val="0"/>
                <w:color w:val="auto"/>
                <w:kern w:val="0"/>
                <w:sz w:val="21"/>
                <w:szCs w:val="21"/>
              </w:rPr>
              <w:t>按职责分工负责</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2"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lang w:val="en-US" w:eastAsia="zh-CN"/>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left"/>
              <w:textAlignment w:val="auto"/>
              <w:rPr>
                <w:rFonts w:hint="eastAsia" w:ascii="仿宋" w:hAnsi="仿宋" w:eastAsia="仿宋" w:cs="仿宋"/>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sz w:val="21"/>
                <w:szCs w:val="21"/>
              </w:rPr>
            </w:pPr>
            <w:r>
              <w:rPr>
                <w:rFonts w:hint="eastAsia" w:ascii="仿宋" w:hAnsi="仿宋" w:eastAsia="仿宋" w:cs="仿宋"/>
                <w:b/>
                <w:bCs/>
                <w:color w:val="auto"/>
                <w:kern w:val="0"/>
                <w:sz w:val="21"/>
                <w:szCs w:val="21"/>
                <w:lang w:eastAsia="zh-CN"/>
              </w:rPr>
              <w:t>（</w:t>
            </w:r>
            <w:r>
              <w:rPr>
                <w:rFonts w:hint="eastAsia" w:ascii="仿宋" w:hAnsi="仿宋" w:eastAsia="仿宋" w:cs="仿宋"/>
                <w:b/>
                <w:bCs/>
                <w:color w:val="auto"/>
                <w:kern w:val="0"/>
                <w:sz w:val="21"/>
                <w:szCs w:val="21"/>
                <w:lang w:val="en-US" w:eastAsia="zh-CN"/>
              </w:rPr>
              <w:t>2</w:t>
            </w:r>
            <w:r>
              <w:rPr>
                <w:rFonts w:hint="eastAsia" w:ascii="仿宋" w:hAnsi="仿宋" w:eastAsia="仿宋" w:cs="仿宋"/>
                <w:b/>
                <w:bCs/>
                <w:color w:val="auto"/>
                <w:kern w:val="0"/>
                <w:sz w:val="21"/>
                <w:szCs w:val="21"/>
                <w:lang w:eastAsia="zh-CN"/>
              </w:rPr>
              <w:t>）</w:t>
            </w:r>
            <w:r>
              <w:rPr>
                <w:rFonts w:hint="eastAsia" w:ascii="仿宋" w:hAnsi="仿宋" w:eastAsia="仿宋" w:cs="仿宋"/>
                <w:b/>
                <w:bCs/>
                <w:color w:val="auto"/>
                <w:kern w:val="0"/>
                <w:sz w:val="21"/>
                <w:szCs w:val="21"/>
              </w:rPr>
              <w:t>梯次推进生活污水治理。</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ind w:firstLine="420" w:firstLineChars="200"/>
              <w:textAlignment w:val="auto"/>
              <w:rPr>
                <w:rFonts w:hint="eastAsia" w:ascii="仿宋" w:hAnsi="仿宋" w:eastAsia="仿宋" w:cs="仿宋"/>
                <w:sz w:val="21"/>
                <w:szCs w:val="21"/>
              </w:rPr>
            </w:pPr>
            <w:r>
              <w:rPr>
                <w:rFonts w:hint="eastAsia" w:ascii="仿宋" w:hAnsi="仿宋" w:eastAsia="仿宋" w:cs="仿宋"/>
                <w:color w:val="auto"/>
                <w:kern w:val="0"/>
                <w:sz w:val="21"/>
                <w:szCs w:val="21"/>
              </w:rPr>
              <w:t>实行农村生活污水处理统一规划、统一建设、统一管理。根据农村区位条件、人口数量和聚集程度、经济发展水平和污水产生规模，因地制宜采用污染治理与资源利用相结合、工程措施与生态措施相结合、集中与分散相结合的建设模式，鼓励采用人工湿地等生态处理工艺</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加大农村污水治理适宜技术研究和设施研发。以房前屋后河塘沟渠为重点实施清淤疏浚，采取综合措施恢复水生态，重点开展洞庭湖区环湖沿河农村黑臭水体整治。加强改厕与农村生活污水治理的有效衔接，将农村水环境治理纳入河长制、湖长制管理。</w:t>
            </w:r>
            <w:r>
              <w:rPr>
                <w:rFonts w:hint="eastAsia" w:ascii="仿宋" w:hAnsi="仿宋" w:eastAsia="仿宋" w:cs="仿宋"/>
                <w:color w:val="000000"/>
                <w:kern w:val="0"/>
                <w:sz w:val="21"/>
                <w:szCs w:val="21"/>
              </w:rPr>
              <w:t>202</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年，对污水进行处理的行政村比例达到</w:t>
            </w:r>
            <w:r>
              <w:rPr>
                <w:rFonts w:hint="eastAsia" w:ascii="仿宋" w:hAnsi="仿宋" w:eastAsia="仿宋" w:cs="仿宋"/>
                <w:color w:val="000000"/>
                <w:kern w:val="0"/>
                <w:sz w:val="21"/>
                <w:szCs w:val="21"/>
                <w:lang w:val="en-US" w:eastAsia="zh-CN"/>
              </w:rPr>
              <w:t>6</w:t>
            </w:r>
            <w:r>
              <w:rPr>
                <w:rFonts w:hint="eastAsia" w:ascii="仿宋" w:hAnsi="仿宋" w:eastAsia="仿宋" w:cs="仿宋"/>
                <w:color w:val="000000"/>
                <w:kern w:val="0"/>
                <w:sz w:val="21"/>
                <w:szCs w:val="21"/>
              </w:rPr>
              <w:t>0%</w:t>
            </w:r>
            <w:r>
              <w:rPr>
                <w:rFonts w:hint="eastAsia" w:ascii="仿宋" w:hAnsi="仿宋" w:eastAsia="仿宋" w:cs="仿宋"/>
                <w:color w:val="000000"/>
                <w:sz w:val="21"/>
                <w:szCs w:val="21"/>
                <w:lang w:val="en-US" w:eastAsia="zh-CN"/>
              </w:rPr>
              <w:t>；2021年相比2020年全县农村生活污水治理率提高3个百分点。</w:t>
            </w:r>
            <w:r>
              <w:rPr>
                <w:rFonts w:hint="eastAsia" w:ascii="仿宋" w:hAnsi="仿宋" w:eastAsia="仿宋" w:cs="仿宋"/>
                <w:color w:val="000000"/>
                <w:kern w:val="0"/>
                <w:sz w:val="21"/>
                <w:szCs w:val="21"/>
              </w:rPr>
              <w:t>城</w:t>
            </w:r>
            <w:r>
              <w:rPr>
                <w:rFonts w:hint="eastAsia" w:ascii="仿宋" w:hAnsi="仿宋" w:eastAsia="仿宋" w:cs="仿宋"/>
                <w:color w:val="000000"/>
                <w:kern w:val="0"/>
                <w:sz w:val="21"/>
                <w:szCs w:val="21"/>
                <w:lang w:eastAsia="zh-CN"/>
              </w:rPr>
              <w:t>区</w:t>
            </w:r>
            <w:r>
              <w:rPr>
                <w:rFonts w:hint="eastAsia" w:ascii="仿宋" w:hAnsi="仿宋" w:eastAsia="仿宋" w:cs="仿宋"/>
                <w:color w:val="000000"/>
                <w:kern w:val="0"/>
                <w:sz w:val="21"/>
                <w:szCs w:val="21"/>
              </w:rPr>
              <w:t>近郊区的农村生活污水治理率明显提高，生活污水乱排乱放得到管控。</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color w:val="000000"/>
                <w:sz w:val="21"/>
                <w:szCs w:val="21"/>
                <w:lang w:eastAsia="zh-CN"/>
              </w:rPr>
              <w:t>县</w:t>
            </w:r>
            <w:r>
              <w:rPr>
                <w:rFonts w:hint="eastAsia" w:ascii="仿宋" w:hAnsi="仿宋" w:eastAsia="仿宋" w:cs="仿宋"/>
                <w:b w:val="0"/>
                <w:bCs w:val="0"/>
                <w:color w:val="000000"/>
                <w:sz w:val="21"/>
                <w:szCs w:val="21"/>
              </w:rPr>
              <w:t>农业农村</w:t>
            </w:r>
            <w:r>
              <w:rPr>
                <w:rFonts w:hint="eastAsia" w:ascii="仿宋" w:hAnsi="仿宋" w:eastAsia="仿宋" w:cs="仿宋"/>
                <w:b w:val="0"/>
                <w:bCs w:val="0"/>
                <w:color w:val="000000"/>
                <w:sz w:val="21"/>
                <w:szCs w:val="21"/>
                <w:lang w:eastAsia="zh-CN"/>
              </w:rPr>
              <w:t>局牵头，县</w:t>
            </w:r>
            <w:r>
              <w:rPr>
                <w:rFonts w:hint="eastAsia" w:ascii="仿宋" w:hAnsi="仿宋" w:eastAsia="仿宋" w:cs="仿宋"/>
                <w:b w:val="0"/>
                <w:bCs w:val="0"/>
                <w:color w:val="000000"/>
                <w:sz w:val="21"/>
                <w:szCs w:val="21"/>
              </w:rPr>
              <w:t>住建</w:t>
            </w:r>
            <w:r>
              <w:rPr>
                <w:rFonts w:hint="eastAsia" w:ascii="仿宋" w:hAnsi="仿宋" w:eastAsia="仿宋" w:cs="仿宋"/>
                <w:b w:val="0"/>
                <w:bCs w:val="0"/>
                <w:color w:val="000000"/>
                <w:sz w:val="21"/>
                <w:szCs w:val="21"/>
                <w:lang w:eastAsia="zh-CN"/>
              </w:rPr>
              <w:t>局</w:t>
            </w:r>
            <w:r>
              <w:rPr>
                <w:rFonts w:hint="eastAsia" w:ascii="仿宋" w:hAnsi="仿宋" w:eastAsia="仿宋" w:cs="仿宋"/>
                <w:b w:val="0"/>
                <w:bCs w:val="0"/>
                <w:color w:val="000000"/>
                <w:sz w:val="21"/>
                <w:szCs w:val="21"/>
              </w:rPr>
              <w:t>、</w:t>
            </w:r>
            <w:r>
              <w:rPr>
                <w:rFonts w:hint="eastAsia" w:ascii="仿宋" w:hAnsi="仿宋" w:eastAsia="仿宋" w:cs="仿宋"/>
                <w:b w:val="0"/>
                <w:bCs w:val="0"/>
                <w:color w:val="000000"/>
                <w:sz w:val="21"/>
                <w:szCs w:val="21"/>
                <w:lang w:eastAsia="zh-CN"/>
              </w:rPr>
              <w:t>县</w:t>
            </w:r>
            <w:r>
              <w:rPr>
                <w:rFonts w:hint="eastAsia" w:ascii="仿宋" w:hAnsi="仿宋" w:eastAsia="仿宋" w:cs="仿宋"/>
                <w:b w:val="0"/>
                <w:bCs w:val="0"/>
                <w:color w:val="000000"/>
                <w:sz w:val="21"/>
                <w:szCs w:val="21"/>
              </w:rPr>
              <w:t>卫健</w:t>
            </w:r>
            <w:r>
              <w:rPr>
                <w:rFonts w:hint="eastAsia" w:ascii="仿宋" w:hAnsi="仿宋" w:eastAsia="仿宋" w:cs="仿宋"/>
                <w:b w:val="0"/>
                <w:bCs w:val="0"/>
                <w:color w:val="000000"/>
                <w:sz w:val="21"/>
                <w:szCs w:val="21"/>
                <w:lang w:eastAsia="zh-CN"/>
              </w:rPr>
              <w:t>局</w:t>
            </w:r>
            <w:r>
              <w:rPr>
                <w:rFonts w:hint="eastAsia" w:ascii="仿宋" w:hAnsi="仿宋" w:eastAsia="仿宋" w:cs="仿宋"/>
                <w:b w:val="0"/>
                <w:bCs w:val="0"/>
                <w:color w:val="000000"/>
                <w:sz w:val="21"/>
                <w:szCs w:val="21"/>
              </w:rPr>
              <w:t>、</w:t>
            </w:r>
            <w:r>
              <w:rPr>
                <w:rFonts w:hint="eastAsia" w:ascii="仿宋" w:hAnsi="仿宋" w:eastAsia="仿宋" w:cs="仿宋"/>
                <w:b w:val="0"/>
                <w:bCs w:val="0"/>
                <w:color w:val="000000"/>
                <w:sz w:val="21"/>
                <w:szCs w:val="21"/>
                <w:lang w:eastAsia="zh-CN"/>
              </w:rPr>
              <w:t>县</w:t>
            </w:r>
            <w:r>
              <w:rPr>
                <w:rFonts w:hint="eastAsia" w:ascii="仿宋" w:hAnsi="仿宋" w:eastAsia="仿宋" w:cs="仿宋"/>
                <w:b w:val="0"/>
                <w:bCs w:val="0"/>
                <w:color w:val="000000"/>
                <w:sz w:val="21"/>
                <w:szCs w:val="21"/>
              </w:rPr>
              <w:t>水利</w:t>
            </w:r>
            <w:r>
              <w:rPr>
                <w:rFonts w:hint="eastAsia" w:ascii="仿宋" w:hAnsi="仿宋" w:eastAsia="仿宋" w:cs="仿宋"/>
                <w:b w:val="0"/>
                <w:bCs w:val="0"/>
                <w:color w:val="000000"/>
                <w:sz w:val="21"/>
                <w:szCs w:val="21"/>
                <w:lang w:eastAsia="zh-CN"/>
              </w:rPr>
              <w:t>局、市生态环境局华容分局</w:t>
            </w:r>
            <w:r>
              <w:rPr>
                <w:rFonts w:hint="eastAsia" w:ascii="仿宋" w:hAnsi="仿宋" w:eastAsia="仿宋" w:cs="仿宋"/>
                <w:b w:val="0"/>
                <w:bCs w:val="0"/>
                <w:color w:val="000000"/>
                <w:sz w:val="21"/>
                <w:szCs w:val="21"/>
              </w:rPr>
              <w:t>按职责分工负责</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5" w:hRule="atLeast"/>
          <w:jc w:val="center"/>
        </w:trPr>
        <w:tc>
          <w:tcPr>
            <w:tcW w:w="1064" w:type="dxa"/>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lang w:val="en-US" w:eastAsia="zh-CN"/>
              </w:rPr>
            </w:pPr>
          </w:p>
        </w:tc>
        <w:tc>
          <w:tcPr>
            <w:tcW w:w="1124" w:type="dxa"/>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left"/>
              <w:textAlignment w:val="auto"/>
              <w:rPr>
                <w:rFonts w:hint="eastAsia" w:ascii="仿宋" w:hAnsi="仿宋" w:eastAsia="仿宋" w:cs="仿宋"/>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eastAsia="zh-CN"/>
              </w:rPr>
              <w:t>（</w:t>
            </w:r>
            <w:r>
              <w:rPr>
                <w:rFonts w:hint="eastAsia" w:ascii="仿宋" w:hAnsi="仿宋" w:eastAsia="仿宋" w:cs="仿宋"/>
                <w:b/>
                <w:bCs/>
                <w:color w:val="auto"/>
                <w:kern w:val="0"/>
                <w:sz w:val="21"/>
                <w:szCs w:val="21"/>
                <w:lang w:val="en-US" w:eastAsia="zh-CN"/>
              </w:rPr>
              <w:t>3</w:t>
            </w:r>
            <w:r>
              <w:rPr>
                <w:rFonts w:hint="eastAsia" w:ascii="仿宋" w:hAnsi="仿宋" w:eastAsia="仿宋" w:cs="仿宋"/>
                <w:b/>
                <w:bCs/>
                <w:color w:val="auto"/>
                <w:kern w:val="0"/>
                <w:sz w:val="21"/>
                <w:szCs w:val="21"/>
                <w:lang w:eastAsia="zh-CN"/>
              </w:rPr>
              <w:t>）</w:t>
            </w:r>
            <w:r>
              <w:rPr>
                <w:rFonts w:hint="eastAsia" w:ascii="仿宋" w:hAnsi="仿宋" w:eastAsia="仿宋" w:cs="仿宋"/>
                <w:b/>
                <w:bCs/>
                <w:color w:val="auto"/>
                <w:kern w:val="0"/>
                <w:sz w:val="21"/>
                <w:szCs w:val="21"/>
              </w:rPr>
              <w:t>保障污染治理设施长效运行。</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ind w:firstLine="420" w:firstLineChars="200"/>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结合本地实际，制定管理办法，明确设施管理主体，建立资金保障机制，创新运维管理，推进运维智能化建设，完善治理设施运维的服务体系、标准体系、保障体系和监管体系，加强管护队伍建设，保障已建成的农村生活垃圾污水处理设施正常运行。开展经常性的排查，对设施不能正常运行的，提出限期整改要求，逾期未整改到位的，应通报批评或约谈相关负责人。</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县住建局、县农业农村局、县发改局、县财政局、市生态环境局华容分局按职责分工负责</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jc w:val="center"/>
        </w:trPr>
        <w:tc>
          <w:tcPr>
            <w:tcW w:w="106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楷体" w:hAnsi="楷体" w:eastAsia="楷体" w:cs="楷体"/>
                <w:b/>
                <w:bCs w:val="0"/>
                <w:color w:val="000000"/>
                <w:sz w:val="21"/>
                <w:szCs w:val="21"/>
                <w:lang w:val="en-US" w:eastAsia="zh-CN"/>
              </w:rPr>
            </w:pPr>
            <w:r>
              <w:rPr>
                <w:rFonts w:hint="eastAsia" w:ascii="楷体" w:hAnsi="楷体" w:eastAsia="楷体" w:cs="楷体"/>
                <w:b/>
                <w:bCs w:val="0"/>
                <w:color w:val="000000"/>
                <w:sz w:val="21"/>
                <w:szCs w:val="21"/>
                <w:lang w:val="en-US" w:eastAsia="zh-CN"/>
              </w:rPr>
              <w:t>3</w:t>
            </w:r>
          </w:p>
        </w:tc>
        <w:tc>
          <w:tcPr>
            <w:tcW w:w="112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left"/>
              <w:textAlignment w:val="auto"/>
              <w:rPr>
                <w:rFonts w:hint="eastAsia" w:ascii="楷体" w:hAnsi="楷体" w:eastAsia="楷体" w:cs="楷体"/>
                <w:b/>
                <w:bCs w:val="0"/>
                <w:color w:val="000000"/>
                <w:sz w:val="21"/>
                <w:szCs w:val="21"/>
                <w:lang w:val="en-US" w:eastAsia="zh-CN"/>
              </w:rPr>
            </w:pPr>
            <w:r>
              <w:rPr>
                <w:rFonts w:hint="eastAsia" w:ascii="楷体" w:hAnsi="楷体" w:eastAsia="楷体" w:cs="楷体"/>
                <w:b/>
                <w:bCs w:val="0"/>
                <w:color w:val="000000"/>
                <w:sz w:val="21"/>
                <w:szCs w:val="21"/>
                <w:lang w:val="en-US" w:eastAsia="zh-CN"/>
              </w:rPr>
              <w:t>大力整治养殖业污染。</w:t>
            </w: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sz w:val="21"/>
                <w:szCs w:val="21"/>
              </w:rPr>
            </w:pPr>
            <w:r>
              <w:rPr>
                <w:rFonts w:hint="eastAsia" w:ascii="仿宋" w:hAnsi="仿宋" w:eastAsia="仿宋" w:cs="仿宋"/>
                <w:b/>
                <w:bCs/>
                <w:kern w:val="0"/>
                <w:sz w:val="21"/>
                <w:szCs w:val="21"/>
                <w:lang w:eastAsia="zh-CN"/>
              </w:rPr>
              <w:t>（</w:t>
            </w:r>
            <w:r>
              <w:rPr>
                <w:rFonts w:hint="eastAsia" w:ascii="仿宋" w:hAnsi="仿宋" w:eastAsia="仿宋" w:cs="仿宋"/>
                <w:b/>
                <w:bCs/>
                <w:kern w:val="0"/>
                <w:sz w:val="21"/>
                <w:szCs w:val="21"/>
                <w:lang w:val="en-US" w:eastAsia="zh-CN"/>
              </w:rPr>
              <w:t>1</w:t>
            </w:r>
            <w:r>
              <w:rPr>
                <w:rFonts w:hint="eastAsia" w:ascii="仿宋" w:hAnsi="仿宋" w:eastAsia="仿宋" w:cs="仿宋"/>
                <w:b/>
                <w:bCs/>
                <w:kern w:val="0"/>
                <w:sz w:val="21"/>
                <w:szCs w:val="21"/>
                <w:lang w:eastAsia="zh-CN"/>
              </w:rPr>
              <w:t>）</w:t>
            </w:r>
            <w:r>
              <w:rPr>
                <w:rFonts w:hint="eastAsia" w:ascii="仿宋" w:hAnsi="仿宋" w:eastAsia="仿宋" w:cs="仿宋"/>
                <w:b/>
                <w:bCs/>
                <w:kern w:val="0"/>
                <w:sz w:val="21"/>
                <w:szCs w:val="21"/>
              </w:rPr>
              <w:t>推进养殖生产清洁化和产业模式生态化。</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sz w:val="21"/>
                <w:szCs w:val="21"/>
              </w:rPr>
            </w:pPr>
            <w:r>
              <w:rPr>
                <w:rFonts w:hint="eastAsia" w:ascii="仿宋" w:hAnsi="仿宋" w:eastAsia="仿宋" w:cs="仿宋"/>
                <w:kern w:val="0"/>
                <w:sz w:val="21"/>
                <w:szCs w:val="21"/>
              </w:rPr>
              <w:t>优化调整畜禽养殖布局，推进畜禽养殖标准化示范创建升级，带动畜牧业绿色可持续发展。引导生猪生产向符合养殖规划的粮食主产区和环境容量大的地区转移。推广节水、节料等清洁养殖工艺和干清粪、微生物发酵等实用技术，实现源头减量。严格规范兽药、饲料添加剂的生产和使用，严厉打击生产企业违法违规使用兽用抗菌药物的行为。推进水产生态健康养殖，实施水产养殖池塘标准化改造。</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eastAsia="zh-CN"/>
              </w:rPr>
              <w:t>县</w:t>
            </w:r>
            <w:r>
              <w:rPr>
                <w:rFonts w:hint="eastAsia" w:ascii="仿宋" w:hAnsi="仿宋" w:eastAsia="仿宋" w:cs="仿宋"/>
                <w:b w:val="0"/>
                <w:bCs w:val="0"/>
                <w:kern w:val="0"/>
                <w:sz w:val="21"/>
                <w:szCs w:val="21"/>
              </w:rPr>
              <w:t>农业农村</w:t>
            </w:r>
            <w:r>
              <w:rPr>
                <w:rFonts w:hint="eastAsia" w:ascii="仿宋" w:hAnsi="仿宋" w:eastAsia="仿宋" w:cs="仿宋"/>
                <w:b w:val="0"/>
                <w:bCs w:val="0"/>
                <w:kern w:val="0"/>
                <w:sz w:val="21"/>
                <w:szCs w:val="21"/>
                <w:lang w:eastAsia="zh-CN"/>
              </w:rPr>
              <w:t>局</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5"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sz w:val="21"/>
                <w:szCs w:val="21"/>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2</w:t>
            </w: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rPr>
              <w:t>加强畜禽养殖废弃物资源化利用。</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1"/>
              </w:rPr>
              <w:t>加快畜禽养殖废弃物资源化利用整县推进，优化畜禽规模养殖布局，加强粪肥还田利用技术指导，优选推广种养结合等粪污处理典型模式、先进技术，建立政府引导、企业主体、市场运作的运营机制。以畜禽粪便为基本原料，探索集成一批可复制、可推广、可持续的有机肥替代化肥的生产运营模式，建立有机肥替代化肥的组织方式和政策体系，实施有机肥生产、贮运和使用财政性奖补，集成推广有机肥替代化肥的生产技术模式，构建果菜茶有机肥替代化肥长效机制，打通养殖废弃物资源化利用通道。</w:t>
            </w:r>
            <w:r>
              <w:rPr>
                <w:rFonts w:hint="eastAsia" w:ascii="仿宋" w:hAnsi="仿宋" w:eastAsia="仿宋" w:cs="仿宋"/>
                <w:color w:val="000000"/>
                <w:kern w:val="0"/>
                <w:sz w:val="21"/>
                <w:szCs w:val="21"/>
                <w:u w:val="none"/>
              </w:rPr>
              <w:t>对养殖场户不能就地利用的废弃物统一收集、集中处理，农户散养建设沼气池、厌氧发酵池等设施，鼓励第三方处理企业或专业化机构参与，建立受益者付费机制。到202</w:t>
            </w:r>
            <w:r>
              <w:rPr>
                <w:rFonts w:hint="eastAsia" w:ascii="仿宋" w:hAnsi="仿宋" w:eastAsia="仿宋" w:cs="仿宋"/>
                <w:color w:val="000000"/>
                <w:kern w:val="0"/>
                <w:sz w:val="21"/>
                <w:szCs w:val="21"/>
                <w:u w:val="none"/>
                <w:lang w:val="en-US" w:eastAsia="zh-CN"/>
              </w:rPr>
              <w:t>1</w:t>
            </w:r>
            <w:r>
              <w:rPr>
                <w:rFonts w:hint="eastAsia" w:ascii="仿宋" w:hAnsi="仿宋" w:eastAsia="仿宋" w:cs="仿宋"/>
                <w:color w:val="000000"/>
                <w:kern w:val="0"/>
                <w:sz w:val="21"/>
                <w:szCs w:val="21"/>
                <w:u w:val="none"/>
              </w:rPr>
              <w:t>年，全</w:t>
            </w:r>
            <w:r>
              <w:rPr>
                <w:rFonts w:hint="eastAsia" w:ascii="仿宋" w:hAnsi="仿宋" w:eastAsia="仿宋" w:cs="仿宋"/>
                <w:color w:val="000000"/>
                <w:kern w:val="0"/>
                <w:sz w:val="21"/>
                <w:szCs w:val="21"/>
                <w:u w:val="none"/>
                <w:lang w:eastAsia="zh-CN"/>
              </w:rPr>
              <w:t>县</w:t>
            </w:r>
            <w:r>
              <w:rPr>
                <w:rFonts w:hint="eastAsia" w:ascii="仿宋" w:hAnsi="仿宋" w:eastAsia="仿宋" w:cs="仿宋"/>
                <w:color w:val="000000"/>
                <w:kern w:val="0"/>
                <w:sz w:val="21"/>
                <w:szCs w:val="21"/>
                <w:u w:val="none"/>
              </w:rPr>
              <w:t>畜禽粪污综合利用率达到</w:t>
            </w:r>
            <w:r>
              <w:rPr>
                <w:rFonts w:hint="eastAsia" w:ascii="仿宋" w:hAnsi="仿宋" w:eastAsia="仿宋" w:cs="仿宋"/>
                <w:color w:val="000000"/>
                <w:kern w:val="0"/>
                <w:sz w:val="21"/>
                <w:szCs w:val="21"/>
                <w:u w:val="none"/>
                <w:lang w:val="en-US" w:eastAsia="zh-CN"/>
              </w:rPr>
              <w:t>80</w:t>
            </w:r>
            <w:r>
              <w:rPr>
                <w:rFonts w:hint="eastAsia" w:ascii="仿宋" w:hAnsi="仿宋" w:eastAsia="仿宋" w:cs="仿宋"/>
                <w:color w:val="000000"/>
                <w:kern w:val="0"/>
                <w:sz w:val="21"/>
                <w:szCs w:val="21"/>
                <w:u w:val="none"/>
              </w:rPr>
              <w:t>%以上。</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sz w:val="21"/>
                <w:szCs w:val="21"/>
                <w:lang w:eastAsia="zh-CN"/>
              </w:rPr>
              <w:t>县</w:t>
            </w:r>
            <w:r>
              <w:rPr>
                <w:rFonts w:hint="eastAsia" w:ascii="仿宋" w:hAnsi="仿宋" w:eastAsia="仿宋" w:cs="仿宋"/>
                <w:b w:val="0"/>
                <w:bCs w:val="0"/>
                <w:kern w:val="0"/>
                <w:sz w:val="21"/>
                <w:szCs w:val="21"/>
              </w:rPr>
              <w:t>农业农村</w:t>
            </w:r>
            <w:r>
              <w:rPr>
                <w:rFonts w:hint="eastAsia" w:ascii="仿宋" w:hAnsi="仿宋" w:eastAsia="仿宋" w:cs="仿宋"/>
                <w:b w:val="0"/>
                <w:bCs w:val="0"/>
                <w:kern w:val="0"/>
                <w:sz w:val="21"/>
                <w:szCs w:val="21"/>
                <w:lang w:eastAsia="zh-CN"/>
              </w:rPr>
              <w:t>局</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sz w:val="21"/>
                <w:szCs w:val="21"/>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3</w:t>
            </w: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rPr>
              <w:t>完善粪污处理设施。</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sz w:val="21"/>
                <w:szCs w:val="21"/>
              </w:rPr>
            </w:pPr>
            <w:r>
              <w:rPr>
                <w:rFonts w:hint="eastAsia" w:ascii="仿宋" w:hAnsi="仿宋" w:eastAsia="仿宋" w:cs="仿宋"/>
                <w:color w:val="000000"/>
                <w:kern w:val="0"/>
                <w:sz w:val="21"/>
                <w:szCs w:val="21"/>
              </w:rPr>
              <w:t>加快畜禽粪污资源化利用，着力提升畜禽粪污综合利用率和规模养殖场粪污处理设施装备配套率。</w:t>
            </w:r>
            <w:r>
              <w:rPr>
                <w:rFonts w:hint="eastAsia" w:ascii="仿宋" w:hAnsi="仿宋" w:eastAsia="仿宋" w:cs="仿宋"/>
                <w:color w:val="000000"/>
                <w:kern w:val="0"/>
                <w:sz w:val="21"/>
                <w:szCs w:val="21"/>
                <w:u w:val="none"/>
              </w:rPr>
              <w:t>到202</w:t>
            </w:r>
            <w:r>
              <w:rPr>
                <w:rFonts w:hint="eastAsia" w:ascii="仿宋" w:hAnsi="仿宋" w:eastAsia="仿宋" w:cs="仿宋"/>
                <w:color w:val="000000"/>
                <w:kern w:val="0"/>
                <w:sz w:val="21"/>
                <w:szCs w:val="21"/>
                <w:u w:val="none"/>
                <w:lang w:val="en-US" w:eastAsia="zh-CN"/>
              </w:rPr>
              <w:t>1</w:t>
            </w:r>
            <w:r>
              <w:rPr>
                <w:rFonts w:hint="eastAsia" w:ascii="仿宋" w:hAnsi="仿宋" w:eastAsia="仿宋" w:cs="仿宋"/>
                <w:color w:val="000000"/>
                <w:kern w:val="0"/>
                <w:sz w:val="21"/>
                <w:szCs w:val="21"/>
                <w:u w:val="none"/>
              </w:rPr>
              <w:t>年，所有规模养殖场粪污处理设施装备配套率达到</w:t>
            </w:r>
            <w:r>
              <w:rPr>
                <w:rFonts w:hint="eastAsia" w:ascii="仿宋" w:hAnsi="仿宋" w:eastAsia="仿宋" w:cs="仿宋"/>
                <w:color w:val="000000"/>
                <w:kern w:val="0"/>
                <w:sz w:val="21"/>
                <w:szCs w:val="21"/>
                <w:u w:val="none"/>
                <w:lang w:val="en-US" w:eastAsia="zh-CN"/>
              </w:rPr>
              <w:t>100%</w:t>
            </w:r>
            <w:r>
              <w:rPr>
                <w:rFonts w:hint="eastAsia" w:ascii="仿宋" w:hAnsi="仿宋" w:eastAsia="仿宋" w:cs="仿宋"/>
                <w:color w:val="000000"/>
                <w:kern w:val="0"/>
                <w:sz w:val="21"/>
                <w:szCs w:val="21"/>
                <w:u w:val="none"/>
              </w:rPr>
              <w:t>。</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color w:val="000000"/>
                <w:sz w:val="21"/>
                <w:szCs w:val="21"/>
                <w:lang w:eastAsia="zh-CN"/>
              </w:rPr>
              <w:t>县</w:t>
            </w:r>
            <w:r>
              <w:rPr>
                <w:rFonts w:hint="eastAsia" w:ascii="仿宋" w:hAnsi="仿宋" w:eastAsia="仿宋" w:cs="仿宋"/>
                <w:b w:val="0"/>
                <w:bCs w:val="0"/>
                <w:kern w:val="0"/>
                <w:sz w:val="21"/>
                <w:szCs w:val="21"/>
              </w:rPr>
              <w:t>农业农村</w:t>
            </w:r>
            <w:r>
              <w:rPr>
                <w:rFonts w:hint="eastAsia" w:ascii="仿宋" w:hAnsi="仿宋" w:eastAsia="仿宋" w:cs="仿宋"/>
                <w:b w:val="0"/>
                <w:bCs w:val="0"/>
                <w:kern w:val="0"/>
                <w:sz w:val="21"/>
                <w:szCs w:val="21"/>
                <w:lang w:eastAsia="zh-CN"/>
              </w:rPr>
              <w:t>局</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sz w:val="21"/>
                <w:szCs w:val="21"/>
              </w:rPr>
            </w:pPr>
          </w:p>
        </w:tc>
        <w:tc>
          <w:tcPr>
            <w:tcW w:w="1332" w:type="dxa"/>
            <w:vMerge w:val="restart"/>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sz w:val="21"/>
                <w:szCs w:val="21"/>
              </w:rPr>
            </w:pPr>
            <w:r>
              <w:rPr>
                <w:rFonts w:hint="eastAsia" w:ascii="仿宋" w:hAnsi="仿宋" w:eastAsia="仿宋" w:cs="仿宋"/>
                <w:b/>
                <w:bCs/>
                <w:color w:val="auto"/>
                <w:kern w:val="0"/>
                <w:sz w:val="21"/>
                <w:szCs w:val="21"/>
                <w:lang w:eastAsia="zh-CN"/>
              </w:rPr>
              <w:t>（</w:t>
            </w:r>
            <w:r>
              <w:rPr>
                <w:rFonts w:hint="eastAsia" w:ascii="仿宋" w:hAnsi="仿宋" w:eastAsia="仿宋" w:cs="仿宋"/>
                <w:b/>
                <w:bCs/>
                <w:color w:val="auto"/>
                <w:kern w:val="0"/>
                <w:sz w:val="21"/>
                <w:szCs w:val="21"/>
                <w:lang w:val="en-US" w:eastAsia="zh-CN"/>
              </w:rPr>
              <w:t>4</w:t>
            </w:r>
            <w:r>
              <w:rPr>
                <w:rFonts w:hint="eastAsia" w:ascii="仿宋" w:hAnsi="仿宋" w:eastAsia="仿宋" w:cs="仿宋"/>
                <w:b/>
                <w:bCs/>
                <w:color w:val="auto"/>
                <w:kern w:val="0"/>
                <w:sz w:val="21"/>
                <w:szCs w:val="21"/>
                <w:lang w:eastAsia="zh-CN"/>
              </w:rPr>
              <w:t>）</w:t>
            </w:r>
            <w:r>
              <w:rPr>
                <w:rFonts w:hint="eastAsia" w:ascii="仿宋" w:hAnsi="仿宋" w:eastAsia="仿宋" w:cs="仿宋"/>
                <w:b/>
                <w:bCs/>
                <w:color w:val="auto"/>
                <w:kern w:val="0"/>
                <w:sz w:val="21"/>
                <w:szCs w:val="21"/>
              </w:rPr>
              <w:t>严格畜禽规模养殖环境监管。</w:t>
            </w:r>
          </w:p>
        </w:tc>
        <w:tc>
          <w:tcPr>
            <w:tcW w:w="692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仿宋" w:hAnsi="仿宋" w:eastAsia="仿宋" w:cs="仿宋"/>
                <w:sz w:val="21"/>
                <w:szCs w:val="21"/>
              </w:rPr>
            </w:pPr>
            <w:r>
              <w:rPr>
                <w:rFonts w:hint="eastAsia" w:ascii="仿宋" w:hAnsi="仿宋" w:eastAsia="仿宋" w:cs="仿宋"/>
                <w:color w:val="auto"/>
                <w:kern w:val="0"/>
                <w:sz w:val="21"/>
                <w:szCs w:val="21"/>
              </w:rPr>
              <w:t>将规模以上畜禽养殖场纳入重点污染源管理，对年出栏生猪5000头（其他畜禽种类折合猪的养殖规模）以上和涉及环境敏感区的畜禽养殖场（小区）执行环评报告书制度，其他畜禽规模养殖场执行环境影响登记表制度，对设有排污口的畜禽规模养殖场实施排污许可制度。</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color w:val="auto"/>
                <w:sz w:val="21"/>
                <w:szCs w:val="21"/>
                <w:lang w:eastAsia="zh-CN"/>
              </w:rPr>
              <w:t>市生态环境局华容分局</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b/>
                <w:bCs/>
                <w:color w:val="auto"/>
                <w:sz w:val="21"/>
                <w:szCs w:val="21"/>
                <w:lang w:eastAsia="zh-CN"/>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sz w:val="21"/>
                <w:szCs w:val="21"/>
              </w:rPr>
            </w:pPr>
          </w:p>
        </w:tc>
        <w:tc>
          <w:tcPr>
            <w:tcW w:w="1332" w:type="dxa"/>
            <w:vMerge w:val="continue"/>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sz w:val="21"/>
                <w:szCs w:val="21"/>
              </w:rPr>
            </w:pPr>
          </w:p>
        </w:tc>
        <w:tc>
          <w:tcPr>
            <w:tcW w:w="692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仿宋" w:hAnsi="仿宋" w:eastAsia="仿宋" w:cs="仿宋"/>
                <w:sz w:val="21"/>
                <w:szCs w:val="21"/>
              </w:rPr>
            </w:pPr>
            <w:r>
              <w:rPr>
                <w:rFonts w:hint="eastAsia" w:ascii="仿宋" w:hAnsi="仿宋" w:eastAsia="仿宋" w:cs="仿宋"/>
                <w:color w:val="auto"/>
                <w:kern w:val="0"/>
                <w:sz w:val="21"/>
                <w:szCs w:val="21"/>
              </w:rPr>
              <w:t>将符合有关标准和要求的还田利用量作为统计污染物削减量的重要依据。推动畜禽养殖场配备视频监控设施，记录粪污处理、运输和资源化利用等情况，防止粪污偷运偷排。完善畜禽规模养殖场直联直报信息系统，构建统一管理、分级使用、共享直联的管理平台。</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color w:val="auto"/>
                <w:sz w:val="21"/>
                <w:szCs w:val="21"/>
                <w:lang w:eastAsia="zh-CN"/>
              </w:rPr>
              <w:t>县</w:t>
            </w:r>
            <w:r>
              <w:rPr>
                <w:rFonts w:hint="eastAsia" w:ascii="仿宋" w:hAnsi="仿宋" w:eastAsia="仿宋" w:cs="仿宋"/>
                <w:b w:val="0"/>
                <w:bCs w:val="0"/>
                <w:color w:val="auto"/>
                <w:kern w:val="0"/>
                <w:sz w:val="21"/>
                <w:szCs w:val="21"/>
              </w:rPr>
              <w:t>农业农村</w:t>
            </w:r>
            <w:r>
              <w:rPr>
                <w:rFonts w:hint="eastAsia" w:ascii="仿宋" w:hAnsi="仿宋" w:eastAsia="仿宋" w:cs="仿宋"/>
                <w:b w:val="0"/>
                <w:bCs w:val="0"/>
                <w:color w:val="auto"/>
                <w:kern w:val="0"/>
                <w:sz w:val="21"/>
                <w:szCs w:val="21"/>
                <w:lang w:eastAsia="zh-CN"/>
              </w:rPr>
              <w:t>局</w:t>
            </w:r>
            <w:r>
              <w:rPr>
                <w:rFonts w:hint="eastAsia" w:ascii="仿宋" w:hAnsi="仿宋" w:eastAsia="仿宋" w:cs="仿宋"/>
                <w:b w:val="0"/>
                <w:bCs w:val="0"/>
                <w:color w:val="auto"/>
                <w:kern w:val="0"/>
                <w:sz w:val="21"/>
                <w:szCs w:val="21"/>
              </w:rPr>
              <w:t>牵头，</w:t>
            </w:r>
            <w:r>
              <w:rPr>
                <w:rFonts w:hint="eastAsia" w:ascii="仿宋" w:hAnsi="仿宋" w:eastAsia="仿宋" w:cs="仿宋"/>
                <w:b w:val="0"/>
                <w:bCs w:val="0"/>
                <w:color w:val="auto"/>
                <w:sz w:val="21"/>
                <w:szCs w:val="21"/>
                <w:lang w:eastAsia="zh-CN"/>
              </w:rPr>
              <w:t>市生态环境局华容分局</w:t>
            </w:r>
            <w:r>
              <w:rPr>
                <w:rFonts w:hint="eastAsia" w:ascii="仿宋" w:hAnsi="仿宋" w:eastAsia="仿宋" w:cs="仿宋"/>
                <w:b w:val="0"/>
                <w:bCs w:val="0"/>
                <w:color w:val="auto"/>
                <w:kern w:val="0"/>
                <w:sz w:val="21"/>
                <w:szCs w:val="21"/>
              </w:rPr>
              <w:t>参与</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b/>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0" w:hRule="atLeast"/>
          <w:jc w:val="center"/>
        </w:trPr>
        <w:tc>
          <w:tcPr>
            <w:tcW w:w="1064" w:type="dxa"/>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lang w:val="en-US" w:eastAsia="zh-CN"/>
              </w:rPr>
            </w:pPr>
          </w:p>
        </w:tc>
        <w:tc>
          <w:tcPr>
            <w:tcW w:w="1124" w:type="dxa"/>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sz w:val="21"/>
                <w:szCs w:val="21"/>
              </w:rPr>
            </w:pPr>
            <w:r>
              <w:rPr>
                <w:rFonts w:hint="eastAsia" w:ascii="仿宋" w:hAnsi="仿宋" w:eastAsia="仿宋" w:cs="仿宋"/>
                <w:b/>
                <w:bCs/>
                <w:color w:val="auto"/>
                <w:kern w:val="0"/>
                <w:sz w:val="21"/>
                <w:szCs w:val="21"/>
                <w:lang w:eastAsia="zh-CN"/>
              </w:rPr>
              <w:t>（</w:t>
            </w:r>
            <w:r>
              <w:rPr>
                <w:rFonts w:hint="eastAsia" w:ascii="仿宋" w:hAnsi="仿宋" w:eastAsia="仿宋" w:cs="仿宋"/>
                <w:b/>
                <w:bCs/>
                <w:color w:val="auto"/>
                <w:kern w:val="0"/>
                <w:sz w:val="21"/>
                <w:szCs w:val="21"/>
                <w:lang w:val="en-US" w:eastAsia="zh-CN"/>
              </w:rPr>
              <w:t>5</w:t>
            </w:r>
            <w:r>
              <w:rPr>
                <w:rFonts w:hint="eastAsia" w:ascii="仿宋" w:hAnsi="仿宋" w:eastAsia="仿宋" w:cs="仿宋"/>
                <w:b/>
                <w:bCs/>
                <w:color w:val="auto"/>
                <w:kern w:val="0"/>
                <w:sz w:val="21"/>
                <w:szCs w:val="21"/>
                <w:lang w:eastAsia="zh-CN"/>
              </w:rPr>
              <w:t>）</w:t>
            </w:r>
            <w:r>
              <w:rPr>
                <w:rFonts w:hint="eastAsia" w:ascii="仿宋" w:hAnsi="仿宋" w:eastAsia="仿宋" w:cs="仿宋"/>
                <w:b/>
                <w:bCs/>
                <w:color w:val="auto"/>
                <w:kern w:val="0"/>
                <w:sz w:val="21"/>
                <w:szCs w:val="21"/>
              </w:rPr>
              <w:t>加强水产养殖污染防治和水生生态保护。</w:t>
            </w:r>
          </w:p>
        </w:tc>
        <w:tc>
          <w:tcPr>
            <w:tcW w:w="692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仿宋" w:hAnsi="仿宋" w:eastAsia="仿宋" w:cs="仿宋"/>
                <w:sz w:val="21"/>
                <w:szCs w:val="21"/>
              </w:rPr>
            </w:pPr>
            <w:r>
              <w:rPr>
                <w:rFonts w:hint="eastAsia" w:ascii="仿宋" w:hAnsi="仿宋" w:eastAsia="仿宋" w:cs="仿宋"/>
                <w:color w:val="000000"/>
                <w:kern w:val="0"/>
                <w:sz w:val="21"/>
                <w:szCs w:val="21"/>
              </w:rPr>
              <w:t>全面禁止天然水域投肥养殖，整治清退不符合养殖规划的网箱养殖</w:t>
            </w:r>
            <w:r>
              <w:rPr>
                <w:rFonts w:hint="eastAsia" w:ascii="仿宋" w:hAnsi="仿宋" w:eastAsia="仿宋" w:cs="仿宋"/>
                <w:color w:val="000000"/>
                <w:kern w:val="0"/>
                <w:sz w:val="21"/>
                <w:szCs w:val="21"/>
                <w:lang w:eastAsia="zh-CN"/>
              </w:rPr>
              <w:t>，防止反弹</w:t>
            </w:r>
            <w:r>
              <w:rPr>
                <w:rFonts w:hint="eastAsia" w:ascii="仿宋" w:hAnsi="仿宋" w:eastAsia="仿宋" w:cs="仿宋"/>
                <w:color w:val="000000"/>
                <w:kern w:val="0"/>
                <w:sz w:val="21"/>
                <w:szCs w:val="21"/>
              </w:rPr>
              <w:t>。加强水产养殖污染治理，推广水产健康养殖技术，大力发展稻渔综合种养和鱼菜共生，发展不投饵滤食性、草食性鱼类增养殖，实现以渔控草、以渔抑藻、以渔净水。加大水域生态环境保护和水生生物资源养护力度，加强渔业资源增殖放流，严肃查处各类破坏渔业资源违法行为。对通过江豚自然保护区的船舶要求交通等相关部门实行限速、限行、限泊。禁止对珍贵、濒危水生野生动物可能造成伤害的垂钓、猎捕行为，切实保护好江豚等水生野生动物资源，保护水产种质资源及生物多样性。</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color w:val="000000"/>
                <w:sz w:val="21"/>
                <w:szCs w:val="21"/>
                <w:lang w:eastAsia="zh-CN"/>
              </w:rPr>
              <w:t>县</w:t>
            </w:r>
            <w:r>
              <w:rPr>
                <w:rFonts w:hint="eastAsia" w:ascii="仿宋" w:hAnsi="仿宋" w:eastAsia="仿宋" w:cs="仿宋"/>
                <w:b w:val="0"/>
                <w:bCs w:val="0"/>
                <w:color w:val="000000"/>
                <w:kern w:val="0"/>
                <w:sz w:val="21"/>
                <w:szCs w:val="21"/>
              </w:rPr>
              <w:t>农业农村</w:t>
            </w:r>
            <w:r>
              <w:rPr>
                <w:rFonts w:hint="eastAsia" w:ascii="仿宋" w:hAnsi="仿宋" w:eastAsia="仿宋" w:cs="仿宋"/>
                <w:b w:val="0"/>
                <w:bCs w:val="0"/>
                <w:color w:val="000000"/>
                <w:kern w:val="0"/>
                <w:sz w:val="21"/>
                <w:szCs w:val="21"/>
                <w:lang w:eastAsia="zh-CN"/>
              </w:rPr>
              <w:t>局</w:t>
            </w:r>
            <w:r>
              <w:rPr>
                <w:rFonts w:hint="eastAsia" w:ascii="仿宋" w:hAnsi="仿宋" w:eastAsia="仿宋" w:cs="仿宋"/>
                <w:b w:val="0"/>
                <w:bCs w:val="0"/>
                <w:color w:val="000000"/>
                <w:kern w:val="0"/>
                <w:sz w:val="21"/>
                <w:szCs w:val="21"/>
              </w:rPr>
              <w:t>牵头，</w:t>
            </w:r>
            <w:r>
              <w:rPr>
                <w:rFonts w:hint="eastAsia" w:ascii="仿宋" w:hAnsi="仿宋" w:eastAsia="仿宋" w:cs="仿宋"/>
                <w:b w:val="0"/>
                <w:bCs w:val="0"/>
                <w:color w:val="000000"/>
                <w:sz w:val="21"/>
                <w:szCs w:val="21"/>
                <w:lang w:eastAsia="zh-CN"/>
              </w:rPr>
              <w:t>市生态环境局华容分局</w:t>
            </w:r>
            <w:r>
              <w:rPr>
                <w:rFonts w:hint="eastAsia" w:ascii="仿宋" w:hAnsi="仿宋" w:eastAsia="仿宋" w:cs="仿宋"/>
                <w:b w:val="0"/>
                <w:bCs w:val="0"/>
                <w:color w:val="000000"/>
                <w:kern w:val="0"/>
                <w:sz w:val="21"/>
                <w:szCs w:val="21"/>
                <w:lang w:eastAsia="zh-CN"/>
              </w:rPr>
              <w:t>、县交通运输局、</w:t>
            </w:r>
            <w:r>
              <w:rPr>
                <w:rFonts w:hint="eastAsia" w:ascii="仿宋" w:hAnsi="仿宋" w:eastAsia="仿宋" w:cs="仿宋"/>
                <w:b w:val="0"/>
                <w:bCs w:val="0"/>
                <w:color w:val="000000"/>
                <w:sz w:val="21"/>
                <w:szCs w:val="21"/>
                <w:lang w:eastAsia="zh-CN"/>
              </w:rPr>
              <w:t>县</w:t>
            </w:r>
            <w:r>
              <w:rPr>
                <w:rFonts w:hint="eastAsia" w:ascii="仿宋" w:hAnsi="仿宋" w:eastAsia="仿宋" w:cs="仿宋"/>
                <w:b w:val="0"/>
                <w:bCs w:val="0"/>
                <w:color w:val="000000"/>
                <w:kern w:val="0"/>
                <w:sz w:val="21"/>
                <w:szCs w:val="21"/>
              </w:rPr>
              <w:t>自然资源</w:t>
            </w:r>
            <w:r>
              <w:rPr>
                <w:rFonts w:hint="eastAsia" w:ascii="仿宋" w:hAnsi="仿宋" w:eastAsia="仿宋" w:cs="仿宋"/>
                <w:b w:val="0"/>
                <w:bCs w:val="0"/>
                <w:color w:val="000000"/>
                <w:kern w:val="0"/>
                <w:sz w:val="21"/>
                <w:szCs w:val="21"/>
                <w:lang w:eastAsia="zh-CN"/>
              </w:rPr>
              <w:t>局</w:t>
            </w:r>
            <w:r>
              <w:rPr>
                <w:rFonts w:hint="eastAsia" w:ascii="仿宋" w:hAnsi="仿宋" w:eastAsia="仿宋" w:cs="仿宋"/>
                <w:b w:val="0"/>
                <w:bCs w:val="0"/>
                <w:color w:val="000000"/>
                <w:kern w:val="0"/>
                <w:sz w:val="21"/>
                <w:szCs w:val="21"/>
              </w:rPr>
              <w:t>、</w:t>
            </w:r>
            <w:r>
              <w:rPr>
                <w:rFonts w:hint="eastAsia" w:ascii="仿宋" w:hAnsi="仿宋" w:eastAsia="仿宋" w:cs="仿宋"/>
                <w:b w:val="0"/>
                <w:bCs w:val="0"/>
                <w:color w:val="000000"/>
                <w:sz w:val="21"/>
                <w:szCs w:val="21"/>
                <w:lang w:eastAsia="zh-CN"/>
              </w:rPr>
              <w:t>县</w:t>
            </w:r>
            <w:r>
              <w:rPr>
                <w:rFonts w:hint="eastAsia" w:ascii="仿宋" w:hAnsi="仿宋" w:eastAsia="仿宋" w:cs="仿宋"/>
                <w:b w:val="0"/>
                <w:bCs w:val="0"/>
                <w:color w:val="000000"/>
                <w:kern w:val="0"/>
                <w:sz w:val="21"/>
                <w:szCs w:val="21"/>
              </w:rPr>
              <w:t>水利</w:t>
            </w:r>
            <w:r>
              <w:rPr>
                <w:rFonts w:hint="eastAsia" w:ascii="仿宋" w:hAnsi="仿宋" w:eastAsia="仿宋" w:cs="仿宋"/>
                <w:b w:val="0"/>
                <w:bCs w:val="0"/>
                <w:color w:val="000000"/>
                <w:kern w:val="0"/>
                <w:sz w:val="21"/>
                <w:szCs w:val="21"/>
                <w:lang w:eastAsia="zh-CN"/>
              </w:rPr>
              <w:t>局、</w:t>
            </w:r>
            <w:r>
              <w:rPr>
                <w:rFonts w:hint="eastAsia" w:ascii="仿宋" w:hAnsi="仿宋" w:eastAsia="仿宋" w:cs="仿宋"/>
                <w:color w:val="000000"/>
                <w:kern w:val="0"/>
                <w:sz w:val="21"/>
                <w:szCs w:val="21"/>
              </w:rPr>
              <w:t>江豚</w:t>
            </w:r>
            <w:r>
              <w:rPr>
                <w:rFonts w:hint="eastAsia" w:ascii="仿宋" w:hAnsi="仿宋" w:eastAsia="仿宋" w:cs="仿宋"/>
                <w:color w:val="000000"/>
                <w:kern w:val="0"/>
                <w:sz w:val="21"/>
                <w:szCs w:val="21"/>
                <w:lang w:eastAsia="zh-CN"/>
              </w:rPr>
              <w:t>保护中心</w:t>
            </w:r>
            <w:r>
              <w:rPr>
                <w:rFonts w:hint="eastAsia" w:ascii="仿宋" w:hAnsi="仿宋" w:eastAsia="仿宋" w:cs="仿宋"/>
                <w:b w:val="0"/>
                <w:bCs w:val="0"/>
                <w:color w:val="000000"/>
                <w:kern w:val="0"/>
                <w:sz w:val="21"/>
                <w:szCs w:val="21"/>
              </w:rPr>
              <w:t>参与</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13" w:hRule="atLeast"/>
          <w:jc w:val="center"/>
        </w:trPr>
        <w:tc>
          <w:tcPr>
            <w:tcW w:w="106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楷体" w:hAnsi="楷体" w:eastAsia="楷体" w:cs="楷体"/>
                <w:b/>
                <w:bCs w:val="0"/>
                <w:color w:val="000000"/>
                <w:sz w:val="21"/>
                <w:szCs w:val="21"/>
                <w:lang w:val="en-US" w:eastAsia="zh-CN"/>
              </w:rPr>
            </w:pPr>
            <w:r>
              <w:rPr>
                <w:rFonts w:hint="eastAsia" w:ascii="楷体" w:hAnsi="楷体" w:eastAsia="楷体" w:cs="楷体"/>
                <w:b/>
                <w:bCs w:val="0"/>
                <w:color w:val="000000"/>
                <w:sz w:val="21"/>
                <w:szCs w:val="21"/>
                <w:lang w:val="en-US" w:eastAsia="zh-CN"/>
              </w:rPr>
              <w:t>4</w:t>
            </w:r>
          </w:p>
        </w:tc>
        <w:tc>
          <w:tcPr>
            <w:tcW w:w="1124" w:type="dxa"/>
            <w:vMerge w:val="restart"/>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楷体" w:hAnsi="楷体" w:eastAsia="楷体" w:cs="楷体"/>
                <w:b/>
                <w:bCs w:val="0"/>
                <w:color w:val="000000"/>
                <w:sz w:val="21"/>
                <w:szCs w:val="21"/>
                <w:lang w:val="en-US" w:eastAsia="zh-CN"/>
              </w:rPr>
            </w:pPr>
            <w:r>
              <w:rPr>
                <w:rFonts w:hint="eastAsia" w:ascii="楷体" w:hAnsi="楷体" w:eastAsia="楷体" w:cs="楷体"/>
                <w:b/>
                <w:bCs w:val="0"/>
                <w:color w:val="000000"/>
                <w:sz w:val="21"/>
                <w:szCs w:val="21"/>
                <w:lang w:val="en-US" w:eastAsia="zh-CN"/>
              </w:rPr>
              <w:t>有效防治种植业污染。</w:t>
            </w: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color w:val="auto"/>
                <w:kern w:val="0"/>
                <w:sz w:val="21"/>
                <w:szCs w:val="21"/>
              </w:rPr>
            </w:pPr>
            <w:r>
              <w:rPr>
                <w:rFonts w:hint="eastAsia" w:ascii="仿宋" w:hAnsi="仿宋" w:eastAsia="仿宋" w:cs="仿宋"/>
                <w:b/>
                <w:bCs/>
                <w:color w:val="000000"/>
                <w:sz w:val="21"/>
                <w:szCs w:val="21"/>
                <w:lang w:eastAsia="zh-CN"/>
              </w:rPr>
              <w:t>（</w:t>
            </w:r>
            <w:r>
              <w:rPr>
                <w:rFonts w:hint="eastAsia" w:ascii="仿宋" w:hAnsi="仿宋" w:eastAsia="仿宋" w:cs="仿宋"/>
                <w:b/>
                <w:bCs/>
                <w:color w:val="000000"/>
                <w:sz w:val="21"/>
                <w:szCs w:val="21"/>
                <w:lang w:val="en-US" w:eastAsia="zh-CN"/>
              </w:rPr>
              <w:t>1</w:t>
            </w:r>
            <w:r>
              <w:rPr>
                <w:rFonts w:hint="eastAsia" w:ascii="仿宋" w:hAnsi="仿宋" w:eastAsia="仿宋" w:cs="仿宋"/>
                <w:b/>
                <w:bCs/>
                <w:color w:val="000000"/>
                <w:sz w:val="21"/>
                <w:szCs w:val="21"/>
                <w:lang w:eastAsia="zh-CN"/>
              </w:rPr>
              <w:t>）</w:t>
            </w:r>
            <w:r>
              <w:rPr>
                <w:rFonts w:hint="eastAsia" w:ascii="仿宋" w:hAnsi="仿宋" w:eastAsia="仿宋" w:cs="仿宋"/>
                <w:b/>
                <w:bCs/>
                <w:color w:val="000000"/>
                <w:sz w:val="21"/>
                <w:szCs w:val="21"/>
              </w:rPr>
              <w:t>持续推进化肥减量增效。</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因地制宜确定主要农作物化肥推荐施肥量，加强农企合作和产需对接，扩大配方肥应用规模。稳步扩大稻田紫云英绿肥种植规模，示范推广果茶园绿肥种植，城郊区冬闲田种植肥用油菜，恢复绿肥生产。大力推广秸秆粉碎还田、快速腐熟还田、覆盖还田、过腹还田等技术，农作物秸秆就地还田，替代调减化肥用量。示范推广滴灌施肥、喷灌施肥等高效节水灌溉技术，进一步推进水肥一体化应用，加强水肥同步管理，提高肥料和水资源利用效率。改化肥撒施、表施为化肥深施，大力推广机械深施肥技术。</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color w:val="000000"/>
                <w:sz w:val="21"/>
                <w:szCs w:val="21"/>
                <w:lang w:eastAsia="zh-CN"/>
              </w:rPr>
              <w:t>县</w:t>
            </w:r>
            <w:r>
              <w:rPr>
                <w:rFonts w:hint="eastAsia" w:ascii="仿宋" w:hAnsi="仿宋" w:eastAsia="仿宋" w:cs="仿宋"/>
                <w:b w:val="0"/>
                <w:bCs w:val="0"/>
                <w:color w:val="000000"/>
                <w:sz w:val="21"/>
                <w:szCs w:val="21"/>
              </w:rPr>
              <w:t>农业农村</w:t>
            </w:r>
            <w:r>
              <w:rPr>
                <w:rFonts w:hint="eastAsia" w:ascii="仿宋" w:hAnsi="仿宋" w:eastAsia="仿宋" w:cs="仿宋"/>
                <w:b w:val="0"/>
                <w:bCs w:val="0"/>
                <w:color w:val="000000"/>
                <w:sz w:val="21"/>
                <w:szCs w:val="21"/>
                <w:lang w:eastAsia="zh-CN"/>
              </w:rPr>
              <w:t>局</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lang w:val="en-US" w:eastAsia="zh-CN"/>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color w:val="000000"/>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lang w:eastAsia="zh-CN"/>
              </w:rPr>
              <w:t>（</w:t>
            </w:r>
            <w:r>
              <w:rPr>
                <w:rFonts w:hint="eastAsia" w:ascii="仿宋" w:hAnsi="仿宋" w:eastAsia="仿宋" w:cs="仿宋"/>
                <w:b/>
                <w:bCs/>
                <w:color w:val="000000"/>
                <w:sz w:val="21"/>
                <w:szCs w:val="21"/>
                <w:lang w:val="en-US" w:eastAsia="zh-CN"/>
              </w:rPr>
              <w:t>2</w:t>
            </w:r>
            <w:r>
              <w:rPr>
                <w:rFonts w:hint="eastAsia" w:ascii="仿宋" w:hAnsi="仿宋" w:eastAsia="仿宋" w:cs="仿宋"/>
                <w:b/>
                <w:bCs/>
                <w:color w:val="000000"/>
                <w:sz w:val="21"/>
                <w:szCs w:val="21"/>
                <w:lang w:eastAsia="zh-CN"/>
              </w:rPr>
              <w:t>）</w:t>
            </w:r>
            <w:r>
              <w:rPr>
                <w:rFonts w:hint="eastAsia" w:ascii="仿宋" w:hAnsi="仿宋" w:eastAsia="仿宋" w:cs="仿宋"/>
                <w:b/>
                <w:bCs/>
                <w:color w:val="000000"/>
                <w:sz w:val="21"/>
                <w:szCs w:val="21"/>
              </w:rPr>
              <w:t>持续推进病虫专业化统防统治和绿色防控。</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color w:val="000000"/>
                <w:kern w:val="0"/>
                <w:sz w:val="21"/>
                <w:szCs w:val="21"/>
                <w:lang w:val="en-US" w:eastAsia="zh-CN"/>
              </w:rPr>
            </w:pPr>
            <w:r>
              <w:rPr>
                <w:rFonts w:hint="eastAsia" w:ascii="仿宋" w:hAnsi="仿宋" w:eastAsia="仿宋" w:cs="仿宋"/>
                <w:color w:val="000000"/>
                <w:sz w:val="21"/>
                <w:szCs w:val="21"/>
              </w:rPr>
              <w:t>强化病虫监测预警，实现数字化监测、网络化传输、可视化预报，提高监测预警的时效性和准确性。加快实施专业化统防统治和绿色防控，</w:t>
            </w:r>
            <w:r>
              <w:rPr>
                <w:rFonts w:hint="eastAsia" w:ascii="仿宋" w:hAnsi="仿宋" w:eastAsia="仿宋" w:cs="仿宋"/>
                <w:color w:val="000000"/>
                <w:sz w:val="21"/>
                <w:szCs w:val="21"/>
                <w:lang w:eastAsia="zh-CN"/>
              </w:rPr>
              <w:t>新建和升级专业化统防统治标准化区域服务站，切实发挥好区域服务站功能，推进统防统治覆盖面积。推广绿色防控技术，带动全县绿色防控技术辐射应用</w:t>
            </w:r>
            <w:r>
              <w:rPr>
                <w:rFonts w:hint="eastAsia" w:ascii="仿宋" w:hAnsi="仿宋" w:eastAsia="仿宋" w:cs="仿宋"/>
                <w:color w:val="000000"/>
                <w:sz w:val="21"/>
                <w:szCs w:val="21"/>
              </w:rPr>
              <w:t>，</w:t>
            </w:r>
            <w:r>
              <w:rPr>
                <w:rFonts w:hint="eastAsia" w:ascii="仿宋" w:hAnsi="仿宋" w:eastAsia="仿宋" w:cs="仿宋"/>
                <w:color w:val="000000"/>
                <w:sz w:val="21"/>
                <w:szCs w:val="21"/>
                <w:u w:val="none"/>
              </w:rPr>
              <w:t>重</w:t>
            </w:r>
            <w:r>
              <w:rPr>
                <w:rFonts w:hint="eastAsia" w:ascii="仿宋" w:hAnsi="仿宋" w:eastAsia="仿宋" w:cs="仿宋"/>
                <w:color w:val="000000"/>
                <w:sz w:val="21"/>
                <w:szCs w:val="21"/>
              </w:rPr>
              <w:t>点建设绿色防控</w:t>
            </w:r>
            <w:r>
              <w:rPr>
                <w:rFonts w:hint="eastAsia" w:ascii="仿宋" w:hAnsi="仿宋" w:eastAsia="仿宋" w:cs="仿宋"/>
                <w:color w:val="000000"/>
                <w:sz w:val="21"/>
                <w:szCs w:val="21"/>
                <w:lang w:eastAsia="zh-CN"/>
              </w:rPr>
              <w:t>示范片</w:t>
            </w:r>
            <w:r>
              <w:rPr>
                <w:rFonts w:hint="eastAsia" w:ascii="仿宋" w:hAnsi="仿宋" w:eastAsia="仿宋" w:cs="仿宋"/>
                <w:color w:val="000000"/>
                <w:sz w:val="21"/>
                <w:szCs w:val="21"/>
              </w:rPr>
              <w:t>。推进施药器械更新换代，快速提高服务组织的服务能力和水平。</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b w:val="0"/>
                <w:bCs w:val="0"/>
                <w:sz w:val="21"/>
                <w:szCs w:val="21"/>
              </w:rPr>
            </w:pPr>
            <w:r>
              <w:rPr>
                <w:rFonts w:hint="eastAsia" w:ascii="仿宋" w:hAnsi="仿宋" w:eastAsia="仿宋" w:cs="仿宋"/>
                <w:b w:val="0"/>
                <w:bCs w:val="0"/>
                <w:color w:val="000000"/>
                <w:sz w:val="21"/>
                <w:szCs w:val="21"/>
                <w:lang w:eastAsia="zh-CN"/>
              </w:rPr>
              <w:t>县</w:t>
            </w:r>
            <w:r>
              <w:rPr>
                <w:rFonts w:hint="eastAsia" w:ascii="仿宋" w:hAnsi="仿宋" w:eastAsia="仿宋" w:cs="仿宋"/>
                <w:b w:val="0"/>
                <w:bCs w:val="0"/>
                <w:color w:val="000000"/>
                <w:sz w:val="21"/>
                <w:szCs w:val="21"/>
              </w:rPr>
              <w:t>农业农村</w:t>
            </w:r>
            <w:r>
              <w:rPr>
                <w:rFonts w:hint="eastAsia" w:ascii="仿宋" w:hAnsi="仿宋" w:eastAsia="仿宋" w:cs="仿宋"/>
                <w:b w:val="0"/>
                <w:bCs w:val="0"/>
                <w:color w:val="000000"/>
                <w:sz w:val="21"/>
                <w:szCs w:val="21"/>
                <w:lang w:eastAsia="zh-CN"/>
              </w:rPr>
              <w:t>局</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1"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lang w:val="en-US" w:eastAsia="zh-CN"/>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color w:val="000000"/>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color w:val="000000"/>
                <w:sz w:val="21"/>
                <w:szCs w:val="21"/>
              </w:rPr>
            </w:pPr>
            <w:r>
              <w:rPr>
                <w:rFonts w:hint="eastAsia" w:ascii="仿宋" w:hAnsi="仿宋" w:eastAsia="仿宋" w:cs="仿宋"/>
                <w:b/>
                <w:bCs/>
                <w:color w:val="000000"/>
                <w:sz w:val="21"/>
                <w:szCs w:val="21"/>
                <w:lang w:eastAsia="zh-CN"/>
              </w:rPr>
              <w:t>（</w:t>
            </w:r>
            <w:r>
              <w:rPr>
                <w:rFonts w:hint="eastAsia" w:ascii="仿宋" w:hAnsi="仿宋" w:eastAsia="仿宋" w:cs="仿宋"/>
                <w:b/>
                <w:bCs/>
                <w:color w:val="000000"/>
                <w:sz w:val="21"/>
                <w:szCs w:val="21"/>
                <w:lang w:val="en-US" w:eastAsia="zh-CN"/>
              </w:rPr>
              <w:t>3</w:t>
            </w:r>
            <w:r>
              <w:rPr>
                <w:rFonts w:hint="eastAsia" w:ascii="仿宋" w:hAnsi="仿宋" w:eastAsia="仿宋" w:cs="仿宋"/>
                <w:b/>
                <w:bCs/>
                <w:color w:val="000000"/>
                <w:sz w:val="21"/>
                <w:szCs w:val="21"/>
                <w:lang w:eastAsia="zh-CN"/>
              </w:rPr>
              <w:t>）</w:t>
            </w:r>
            <w:r>
              <w:rPr>
                <w:rFonts w:hint="eastAsia" w:ascii="仿宋" w:hAnsi="仿宋" w:eastAsia="仿宋" w:cs="仿宋"/>
                <w:b/>
                <w:bCs/>
                <w:color w:val="000000"/>
                <w:sz w:val="21"/>
                <w:szCs w:val="21"/>
              </w:rPr>
              <w:t>加强秸秆禁烧和资源化利用。</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积极推广饲料化、原料化、肥料化、燃料化综合利用模式，逐步形成具有特色的秸秆综合利用产业化发展模式。加快秸秆综合利用重点县项目建设，按照省厅批复的重点县项目建设方案、时间节点高质量高标准完成项目建设内容，确保项目建成后达到预期效果。完善秸秆收储运网点建设，逐步建立乡镇收储中心、村收储点的秸秆收储运网络。</w:t>
            </w:r>
            <w:r>
              <w:rPr>
                <w:rFonts w:hint="eastAsia" w:ascii="仿宋" w:hAnsi="仿宋" w:eastAsia="仿宋" w:cs="仿宋"/>
                <w:color w:val="000000"/>
                <w:sz w:val="21"/>
                <w:szCs w:val="21"/>
                <w:lang w:val="en-US" w:eastAsia="zh-CN"/>
              </w:rPr>
              <w:t>严禁秸秆焚烧，</w:t>
            </w:r>
            <w:r>
              <w:rPr>
                <w:rFonts w:hint="eastAsia" w:ascii="仿宋" w:hAnsi="仿宋" w:eastAsia="仿宋" w:cs="仿宋"/>
                <w:color w:val="000000"/>
                <w:sz w:val="21"/>
                <w:szCs w:val="21"/>
                <w:lang w:eastAsia="zh-CN"/>
              </w:rPr>
              <w:t>全面推行秸秆禁烧网格化监管模式，实现秸秆禁烧监管全覆盖。</w:t>
            </w:r>
            <w:r>
              <w:rPr>
                <w:rFonts w:hint="eastAsia" w:ascii="仿宋" w:hAnsi="仿宋" w:eastAsia="仿宋" w:cs="仿宋"/>
                <w:color w:val="000000"/>
                <w:sz w:val="21"/>
                <w:szCs w:val="21"/>
                <w:lang w:val="en-US" w:eastAsia="zh-CN"/>
              </w:rPr>
              <w:t>加强秸秆禁烧现场检查执法，建立考核机制，严格奖惩措施，构建秸秆综合利用和禁烧工作长效机制</w:t>
            </w:r>
            <w:r>
              <w:rPr>
                <w:rFonts w:hint="eastAsia" w:ascii="仿宋" w:hAnsi="仿宋" w:eastAsia="仿宋" w:cs="仿宋"/>
                <w:color w:val="000000"/>
                <w:sz w:val="21"/>
                <w:szCs w:val="21"/>
                <w:lang w:eastAsia="zh-CN"/>
              </w:rPr>
              <w:t>。到202</w:t>
            </w: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lang w:eastAsia="zh-CN"/>
              </w:rPr>
              <w:t>年，秸秆综合利用率</w:t>
            </w:r>
            <w:r>
              <w:rPr>
                <w:rFonts w:hint="eastAsia" w:ascii="仿宋" w:hAnsi="仿宋" w:eastAsia="仿宋" w:cs="仿宋"/>
                <w:color w:val="000000"/>
                <w:sz w:val="21"/>
                <w:szCs w:val="21"/>
                <w:lang w:val="en-US" w:eastAsia="zh-CN"/>
              </w:rPr>
              <w:t>巩固在89</w:t>
            </w:r>
            <w:r>
              <w:rPr>
                <w:rFonts w:hint="eastAsia" w:ascii="仿宋" w:hAnsi="仿宋" w:eastAsia="仿宋" w:cs="仿宋"/>
                <w:color w:val="000000"/>
                <w:sz w:val="21"/>
                <w:szCs w:val="21"/>
                <w:lang w:eastAsia="zh-CN"/>
              </w:rPr>
              <w:t>%以上。</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县</w:t>
            </w:r>
            <w:r>
              <w:rPr>
                <w:rFonts w:hint="eastAsia" w:ascii="仿宋" w:hAnsi="仿宋" w:eastAsia="仿宋" w:cs="仿宋"/>
                <w:color w:val="000000"/>
                <w:sz w:val="21"/>
                <w:szCs w:val="21"/>
              </w:rPr>
              <w:t>农业农村</w:t>
            </w:r>
            <w:r>
              <w:rPr>
                <w:rFonts w:hint="eastAsia" w:ascii="仿宋" w:hAnsi="仿宋" w:eastAsia="仿宋" w:cs="仿宋"/>
                <w:color w:val="000000"/>
                <w:sz w:val="21"/>
                <w:szCs w:val="21"/>
                <w:lang w:eastAsia="zh-CN"/>
              </w:rPr>
              <w:t>局</w:t>
            </w:r>
            <w:r>
              <w:rPr>
                <w:rFonts w:hint="eastAsia" w:ascii="仿宋" w:hAnsi="仿宋" w:eastAsia="仿宋" w:cs="仿宋"/>
                <w:color w:val="000000"/>
                <w:sz w:val="21"/>
                <w:szCs w:val="21"/>
              </w:rPr>
              <w:t>、</w:t>
            </w:r>
            <w:r>
              <w:rPr>
                <w:rFonts w:hint="eastAsia" w:ascii="仿宋" w:hAnsi="仿宋" w:eastAsia="仿宋" w:cs="仿宋"/>
                <w:color w:val="000000"/>
                <w:sz w:val="21"/>
                <w:szCs w:val="21"/>
                <w:lang w:eastAsia="zh-CN"/>
              </w:rPr>
              <w:t>市生态环境局华容分局</w:t>
            </w:r>
            <w:r>
              <w:rPr>
                <w:rFonts w:hint="eastAsia" w:ascii="仿宋" w:hAnsi="仿宋" w:eastAsia="仿宋" w:cs="仿宋"/>
                <w:color w:val="000000"/>
                <w:sz w:val="21"/>
                <w:szCs w:val="21"/>
              </w:rPr>
              <w:t>、</w:t>
            </w:r>
            <w:r>
              <w:rPr>
                <w:rFonts w:hint="eastAsia" w:ascii="仿宋" w:hAnsi="仿宋" w:eastAsia="仿宋" w:cs="仿宋"/>
                <w:color w:val="000000"/>
                <w:sz w:val="21"/>
                <w:szCs w:val="21"/>
                <w:lang w:eastAsia="zh-CN"/>
              </w:rPr>
              <w:t>县</w:t>
            </w:r>
            <w:r>
              <w:rPr>
                <w:rFonts w:hint="eastAsia" w:ascii="仿宋" w:hAnsi="仿宋" w:eastAsia="仿宋" w:cs="仿宋"/>
                <w:color w:val="000000"/>
                <w:sz w:val="21"/>
                <w:szCs w:val="21"/>
              </w:rPr>
              <w:t>发改</w:t>
            </w:r>
            <w:r>
              <w:rPr>
                <w:rFonts w:hint="eastAsia" w:ascii="仿宋" w:hAnsi="仿宋" w:eastAsia="仿宋" w:cs="仿宋"/>
                <w:color w:val="000000"/>
                <w:sz w:val="21"/>
                <w:szCs w:val="21"/>
                <w:lang w:eastAsia="zh-CN"/>
              </w:rPr>
              <w:t>局</w:t>
            </w:r>
            <w:r>
              <w:rPr>
                <w:rFonts w:hint="eastAsia" w:ascii="仿宋" w:hAnsi="仿宋" w:eastAsia="仿宋" w:cs="仿宋"/>
                <w:color w:val="000000"/>
                <w:sz w:val="21"/>
                <w:szCs w:val="21"/>
              </w:rPr>
              <w:t>、</w:t>
            </w:r>
            <w:r>
              <w:rPr>
                <w:rFonts w:hint="eastAsia" w:ascii="仿宋" w:hAnsi="仿宋" w:eastAsia="仿宋" w:cs="仿宋"/>
                <w:color w:val="000000"/>
                <w:sz w:val="21"/>
                <w:szCs w:val="21"/>
                <w:lang w:eastAsia="zh-CN"/>
              </w:rPr>
              <w:t>县</w:t>
            </w:r>
            <w:r>
              <w:rPr>
                <w:rFonts w:hint="eastAsia" w:ascii="仿宋" w:hAnsi="仿宋" w:eastAsia="仿宋" w:cs="仿宋"/>
                <w:color w:val="000000"/>
                <w:sz w:val="21"/>
                <w:szCs w:val="21"/>
              </w:rPr>
              <w:t>财政</w:t>
            </w:r>
            <w:r>
              <w:rPr>
                <w:rFonts w:hint="eastAsia" w:ascii="仿宋" w:hAnsi="仿宋" w:eastAsia="仿宋" w:cs="仿宋"/>
                <w:color w:val="000000"/>
                <w:sz w:val="21"/>
                <w:szCs w:val="21"/>
                <w:lang w:eastAsia="zh-CN"/>
              </w:rPr>
              <w:t>局</w:t>
            </w:r>
            <w:r>
              <w:rPr>
                <w:rFonts w:hint="eastAsia" w:ascii="仿宋" w:hAnsi="仿宋" w:eastAsia="仿宋" w:cs="仿宋"/>
                <w:color w:val="000000"/>
                <w:sz w:val="21"/>
                <w:szCs w:val="21"/>
              </w:rPr>
              <w:t>按职责分工负责</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6" w:hRule="atLeast"/>
          <w:jc w:val="center"/>
        </w:trPr>
        <w:tc>
          <w:tcPr>
            <w:tcW w:w="106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lang w:val="en-US" w:eastAsia="zh-CN"/>
              </w:rPr>
            </w:pPr>
          </w:p>
        </w:tc>
        <w:tc>
          <w:tcPr>
            <w:tcW w:w="112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color w:val="000000"/>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color w:val="000000"/>
                <w:sz w:val="21"/>
                <w:szCs w:val="21"/>
              </w:rPr>
            </w:pPr>
            <w:r>
              <w:rPr>
                <w:rFonts w:hint="eastAsia" w:ascii="仿宋" w:hAnsi="仿宋" w:eastAsia="仿宋" w:cs="仿宋"/>
                <w:b/>
                <w:bCs/>
                <w:color w:val="000000"/>
                <w:sz w:val="21"/>
                <w:szCs w:val="21"/>
                <w:lang w:eastAsia="zh-CN"/>
              </w:rPr>
              <w:t>（</w:t>
            </w:r>
            <w:r>
              <w:rPr>
                <w:rFonts w:hint="eastAsia" w:ascii="仿宋" w:hAnsi="仿宋" w:eastAsia="仿宋" w:cs="仿宋"/>
                <w:b/>
                <w:bCs/>
                <w:color w:val="000000"/>
                <w:sz w:val="21"/>
                <w:szCs w:val="21"/>
                <w:lang w:val="en-US" w:eastAsia="zh-CN"/>
              </w:rPr>
              <w:t>4</w:t>
            </w:r>
            <w:r>
              <w:rPr>
                <w:rFonts w:hint="eastAsia" w:ascii="仿宋" w:hAnsi="仿宋" w:eastAsia="仿宋" w:cs="仿宋"/>
                <w:b/>
                <w:bCs/>
                <w:color w:val="000000"/>
                <w:sz w:val="21"/>
                <w:szCs w:val="21"/>
                <w:lang w:eastAsia="zh-CN"/>
              </w:rPr>
              <w:t>）</w:t>
            </w:r>
            <w:r>
              <w:rPr>
                <w:rFonts w:hint="eastAsia" w:ascii="仿宋" w:hAnsi="仿宋" w:eastAsia="仿宋" w:cs="仿宋"/>
                <w:b/>
                <w:bCs/>
                <w:color w:val="000000"/>
                <w:sz w:val="21"/>
                <w:szCs w:val="21"/>
              </w:rPr>
              <w:t>加强农业投入品废弃物资源化利用。</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color w:val="000000"/>
                <w:sz w:val="21"/>
                <w:szCs w:val="21"/>
              </w:rPr>
            </w:pPr>
            <w:r>
              <w:rPr>
                <w:rFonts w:hint="eastAsia" w:ascii="仿宋" w:hAnsi="仿宋" w:eastAsia="仿宋" w:cs="仿宋"/>
                <w:color w:val="000000"/>
                <w:kern w:val="0"/>
                <w:sz w:val="21"/>
                <w:szCs w:val="21"/>
              </w:rPr>
              <w:t>以乡镇或村组为单元，通过政府购买服务，探索兼职回收、委托回收、主体回收等多元化统一回收方式，做好农药包装废弃物归集和无害化集中处置</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u w:val="none"/>
              </w:rPr>
              <w:t>开展农药包装废弃物治理试点，探</w:t>
            </w:r>
            <w:r>
              <w:rPr>
                <w:rFonts w:hint="eastAsia" w:ascii="仿宋" w:hAnsi="仿宋" w:eastAsia="仿宋" w:cs="仿宋"/>
                <w:color w:val="000000"/>
                <w:kern w:val="0"/>
                <w:sz w:val="21"/>
                <w:szCs w:val="21"/>
              </w:rPr>
              <w:t>索建立农药废弃包装物回收处置机制。开展</w:t>
            </w:r>
            <w:r>
              <w:rPr>
                <w:rFonts w:hint="eastAsia" w:ascii="仿宋" w:hAnsi="仿宋" w:eastAsia="仿宋" w:cs="仿宋"/>
                <w:color w:val="000000"/>
                <w:kern w:val="0"/>
                <w:sz w:val="21"/>
                <w:szCs w:val="21"/>
                <w:lang w:val="en-US" w:eastAsia="zh-CN"/>
              </w:rPr>
              <w:t>废旧农膜</w:t>
            </w:r>
            <w:r>
              <w:rPr>
                <w:rFonts w:hint="eastAsia" w:ascii="仿宋" w:hAnsi="仿宋" w:eastAsia="仿宋" w:cs="仿宋"/>
                <w:color w:val="000000"/>
                <w:kern w:val="0"/>
                <w:sz w:val="21"/>
                <w:szCs w:val="21"/>
              </w:rPr>
              <w:t>回收网点建设，将农用地膜使用和回收进行全过程监控</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探索农业废弃物回收利用模式，逐步建立农药包装农膜等农业废弃物回收和资源化利用体系</w:t>
            </w: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rPr>
              <w:t>加快推进一膜多用、行间覆盖等技术和加厚地膜、新型可降解农膜推广应用，提高农用地膜回收利用率。2021年</w:t>
            </w:r>
            <w:r>
              <w:rPr>
                <w:rFonts w:hint="eastAsia" w:ascii="仿宋" w:hAnsi="仿宋" w:eastAsia="仿宋" w:cs="仿宋"/>
                <w:color w:val="000000"/>
                <w:kern w:val="0"/>
                <w:sz w:val="21"/>
                <w:szCs w:val="21"/>
                <w:lang w:val="en-US" w:eastAsia="zh-CN"/>
              </w:rPr>
              <w:t>全县</w:t>
            </w:r>
            <w:r>
              <w:rPr>
                <w:rFonts w:hint="eastAsia" w:ascii="仿宋" w:hAnsi="仿宋" w:eastAsia="仿宋" w:cs="仿宋"/>
                <w:color w:val="000000"/>
                <w:kern w:val="0"/>
                <w:sz w:val="21"/>
                <w:szCs w:val="21"/>
              </w:rPr>
              <w:t>农膜回收</w:t>
            </w:r>
            <w:r>
              <w:rPr>
                <w:rFonts w:hint="eastAsia" w:ascii="仿宋" w:hAnsi="仿宋" w:eastAsia="仿宋" w:cs="仿宋"/>
                <w:color w:val="000000"/>
                <w:kern w:val="0"/>
                <w:sz w:val="21"/>
                <w:szCs w:val="21"/>
                <w:lang w:val="en-US" w:eastAsia="zh-CN"/>
              </w:rPr>
              <w:t>率达到81%以上</w:t>
            </w:r>
            <w:r>
              <w:rPr>
                <w:rFonts w:hint="eastAsia" w:ascii="仿宋" w:hAnsi="仿宋" w:eastAsia="仿宋" w:cs="仿宋"/>
                <w:color w:val="000000"/>
                <w:kern w:val="0"/>
                <w:sz w:val="21"/>
                <w:szCs w:val="21"/>
              </w:rPr>
              <w:t>。</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color w:val="000000"/>
                <w:kern w:val="0"/>
                <w:sz w:val="21"/>
                <w:szCs w:val="21"/>
                <w:lang w:val="en-US" w:eastAsia="zh-CN"/>
              </w:rPr>
              <w:t>县</w:t>
            </w:r>
            <w:r>
              <w:rPr>
                <w:rFonts w:hint="eastAsia" w:ascii="仿宋" w:hAnsi="仿宋" w:eastAsia="仿宋" w:cs="仿宋"/>
                <w:b w:val="0"/>
                <w:bCs w:val="0"/>
                <w:color w:val="000000"/>
                <w:kern w:val="0"/>
                <w:sz w:val="21"/>
                <w:szCs w:val="21"/>
              </w:rPr>
              <w:t>农业农村</w:t>
            </w:r>
            <w:r>
              <w:rPr>
                <w:rFonts w:hint="eastAsia" w:ascii="仿宋" w:hAnsi="仿宋" w:eastAsia="仿宋" w:cs="仿宋"/>
                <w:b w:val="0"/>
                <w:bCs w:val="0"/>
                <w:color w:val="000000"/>
                <w:kern w:val="0"/>
                <w:sz w:val="21"/>
                <w:szCs w:val="21"/>
                <w:lang w:eastAsia="zh-CN"/>
              </w:rPr>
              <w:t>局</w:t>
            </w:r>
            <w:r>
              <w:rPr>
                <w:rFonts w:hint="eastAsia" w:ascii="仿宋" w:hAnsi="仿宋" w:eastAsia="仿宋" w:cs="仿宋"/>
                <w:b w:val="0"/>
                <w:bCs w:val="0"/>
                <w:color w:val="000000"/>
                <w:kern w:val="0"/>
                <w:sz w:val="21"/>
                <w:szCs w:val="21"/>
              </w:rPr>
              <w:t>、</w:t>
            </w:r>
            <w:r>
              <w:rPr>
                <w:rFonts w:hint="eastAsia" w:ascii="仿宋" w:hAnsi="仿宋" w:eastAsia="仿宋" w:cs="仿宋"/>
                <w:b w:val="0"/>
                <w:bCs w:val="0"/>
                <w:color w:val="000000"/>
                <w:sz w:val="21"/>
                <w:szCs w:val="21"/>
                <w:lang w:eastAsia="zh-CN"/>
              </w:rPr>
              <w:t>县</w:t>
            </w:r>
            <w:r>
              <w:rPr>
                <w:rFonts w:hint="eastAsia" w:ascii="仿宋" w:hAnsi="仿宋" w:eastAsia="仿宋" w:cs="仿宋"/>
                <w:b w:val="0"/>
                <w:bCs w:val="0"/>
                <w:color w:val="000000"/>
                <w:kern w:val="0"/>
                <w:sz w:val="21"/>
                <w:szCs w:val="21"/>
              </w:rPr>
              <w:t>发改</w:t>
            </w:r>
            <w:r>
              <w:rPr>
                <w:rFonts w:hint="eastAsia" w:ascii="仿宋" w:hAnsi="仿宋" w:eastAsia="仿宋" w:cs="仿宋"/>
                <w:b w:val="0"/>
                <w:bCs w:val="0"/>
                <w:color w:val="000000"/>
                <w:kern w:val="0"/>
                <w:sz w:val="21"/>
                <w:szCs w:val="21"/>
                <w:lang w:eastAsia="zh-CN"/>
              </w:rPr>
              <w:t>局</w:t>
            </w:r>
            <w:r>
              <w:rPr>
                <w:rFonts w:hint="eastAsia" w:ascii="仿宋" w:hAnsi="仿宋" w:eastAsia="仿宋" w:cs="仿宋"/>
                <w:b w:val="0"/>
                <w:bCs w:val="0"/>
                <w:color w:val="000000"/>
                <w:kern w:val="0"/>
                <w:sz w:val="21"/>
                <w:szCs w:val="21"/>
              </w:rPr>
              <w:t>牵头，</w:t>
            </w:r>
            <w:r>
              <w:rPr>
                <w:rFonts w:hint="eastAsia" w:ascii="仿宋" w:hAnsi="仿宋" w:eastAsia="仿宋" w:cs="仿宋"/>
                <w:b w:val="0"/>
                <w:bCs w:val="0"/>
                <w:color w:val="000000"/>
                <w:sz w:val="21"/>
                <w:szCs w:val="21"/>
                <w:lang w:eastAsia="zh-CN"/>
              </w:rPr>
              <w:t>市生态环境局华容分局</w:t>
            </w:r>
            <w:r>
              <w:rPr>
                <w:rFonts w:hint="eastAsia" w:ascii="仿宋" w:hAnsi="仿宋" w:eastAsia="仿宋" w:cs="仿宋"/>
                <w:b w:val="0"/>
                <w:bCs w:val="0"/>
                <w:color w:val="000000"/>
                <w:kern w:val="0"/>
                <w:sz w:val="21"/>
                <w:szCs w:val="21"/>
              </w:rPr>
              <w:t>参与</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lang w:val="en-US" w:eastAsia="zh-CN"/>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color w:val="000000"/>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color w:val="000000"/>
                <w:sz w:val="21"/>
                <w:szCs w:val="21"/>
              </w:rPr>
            </w:pPr>
            <w:r>
              <w:rPr>
                <w:rFonts w:hint="eastAsia" w:ascii="仿宋" w:hAnsi="仿宋" w:eastAsia="仿宋" w:cs="仿宋"/>
                <w:b/>
                <w:bCs/>
                <w:color w:val="auto"/>
                <w:kern w:val="0"/>
                <w:sz w:val="21"/>
                <w:szCs w:val="21"/>
                <w:lang w:eastAsia="zh-CN"/>
              </w:rPr>
              <w:t>（</w:t>
            </w:r>
            <w:r>
              <w:rPr>
                <w:rFonts w:hint="eastAsia" w:ascii="仿宋" w:hAnsi="仿宋" w:eastAsia="仿宋" w:cs="仿宋"/>
                <w:b/>
                <w:bCs/>
                <w:color w:val="auto"/>
                <w:kern w:val="0"/>
                <w:sz w:val="21"/>
                <w:szCs w:val="21"/>
                <w:lang w:val="en-US" w:eastAsia="zh-CN"/>
              </w:rPr>
              <w:t>5</w:t>
            </w:r>
            <w:r>
              <w:rPr>
                <w:rFonts w:hint="eastAsia" w:ascii="仿宋" w:hAnsi="仿宋" w:eastAsia="仿宋" w:cs="仿宋"/>
                <w:b/>
                <w:bCs/>
                <w:color w:val="auto"/>
                <w:kern w:val="0"/>
                <w:sz w:val="21"/>
                <w:szCs w:val="21"/>
                <w:lang w:eastAsia="zh-CN"/>
              </w:rPr>
              <w:t>）</w:t>
            </w:r>
            <w:r>
              <w:rPr>
                <w:rFonts w:hint="eastAsia" w:ascii="仿宋" w:hAnsi="仿宋" w:eastAsia="仿宋" w:cs="仿宋"/>
                <w:b/>
                <w:bCs/>
                <w:color w:val="auto"/>
                <w:kern w:val="0"/>
                <w:sz w:val="21"/>
                <w:szCs w:val="21"/>
              </w:rPr>
              <w:t>大力推进种植产业模式生态化。</w:t>
            </w:r>
          </w:p>
        </w:tc>
        <w:tc>
          <w:tcPr>
            <w:tcW w:w="692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仿宋" w:hAnsi="仿宋" w:eastAsia="仿宋" w:cs="仿宋"/>
                <w:color w:val="000000"/>
                <w:kern w:val="0"/>
                <w:sz w:val="21"/>
                <w:szCs w:val="21"/>
              </w:rPr>
            </w:pPr>
            <w:r>
              <w:rPr>
                <w:rFonts w:hint="eastAsia" w:ascii="仿宋" w:hAnsi="仿宋" w:eastAsia="仿宋" w:cs="仿宋"/>
                <w:color w:val="auto"/>
                <w:kern w:val="0"/>
                <w:sz w:val="21"/>
                <w:szCs w:val="21"/>
              </w:rPr>
              <w:t>大力发展节水减排农业，基本建成与水土资源条件和现代农业发展要求相适应的节水灌溉体系。严格执行水资源开发利用控制红线、用水效率控制红线和水功能区限制纳污红线，农业灌溉用水达到农田灌溉水质标准。全面整修农村山塘、水坝、水渠。因地制宜推广高效节水技术</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重点推广水稻“控灌中蓄”节水技术；在易发生水土流失地区，合理安排耕作和栽培制度，提高天然降水利用率。分产业推广节水技术。水稻、</w:t>
            </w:r>
            <w:r>
              <w:rPr>
                <w:rFonts w:hint="eastAsia" w:ascii="仿宋" w:hAnsi="仿宋" w:eastAsia="仿宋" w:cs="仿宋"/>
                <w:color w:val="000000"/>
                <w:kern w:val="0"/>
                <w:sz w:val="21"/>
                <w:szCs w:val="21"/>
              </w:rPr>
              <w:t>油菜等作物普及推广“控灌中蓄”节水灌溉技术，示范推广高产耐旱型水稻品种；经济作物配套完善节水补灌设备。</w:t>
            </w:r>
            <w:r>
              <w:rPr>
                <w:rFonts w:hint="eastAsia" w:ascii="仿宋" w:hAnsi="仿宋" w:eastAsia="仿宋" w:cs="仿宋"/>
                <w:color w:val="000000"/>
                <w:kern w:val="0"/>
                <w:sz w:val="21"/>
                <w:szCs w:val="21"/>
                <w:u w:val="none"/>
              </w:rPr>
              <w:t>形成主要农作物节水栽培技术体系，农田灌溉水有效利用系数</w:t>
            </w:r>
            <w:r>
              <w:rPr>
                <w:rFonts w:hint="eastAsia" w:ascii="仿宋" w:hAnsi="仿宋" w:eastAsia="仿宋" w:cs="仿宋"/>
                <w:color w:val="000000"/>
                <w:kern w:val="0"/>
                <w:sz w:val="21"/>
                <w:szCs w:val="21"/>
                <w:u w:val="none"/>
                <w:lang w:eastAsia="zh-CN"/>
              </w:rPr>
              <w:t>比</w:t>
            </w:r>
            <w:r>
              <w:rPr>
                <w:rFonts w:hint="eastAsia" w:ascii="仿宋" w:hAnsi="仿宋" w:eastAsia="仿宋" w:cs="仿宋"/>
                <w:color w:val="000000"/>
                <w:kern w:val="0"/>
                <w:sz w:val="21"/>
                <w:szCs w:val="21"/>
                <w:u w:val="none"/>
              </w:rPr>
              <w:t>2020年进一步提高。</w:t>
            </w:r>
            <w:r>
              <w:rPr>
                <w:rFonts w:hint="eastAsia" w:ascii="仿宋" w:hAnsi="仿宋" w:eastAsia="仿宋" w:cs="仿宋"/>
                <w:color w:val="000000"/>
                <w:kern w:val="0"/>
                <w:sz w:val="21"/>
                <w:szCs w:val="21"/>
              </w:rPr>
              <w:t>有效减少农田退</w:t>
            </w:r>
            <w:r>
              <w:rPr>
                <w:rFonts w:hint="eastAsia" w:ascii="仿宋" w:hAnsi="仿宋" w:eastAsia="仿宋" w:cs="仿宋"/>
                <w:color w:val="auto"/>
                <w:kern w:val="0"/>
                <w:sz w:val="21"/>
                <w:szCs w:val="21"/>
              </w:rPr>
              <w:t>水对水体的污染，开展种植产业模式生态化试点，推进农业可持续发展示范区创建，大力发展绿色、有机农产品。推进一二三产业融合发展，发挥生态资源优势，发展休闲农业和乡村旅游。</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color w:val="auto"/>
                <w:sz w:val="21"/>
                <w:szCs w:val="21"/>
                <w:lang w:eastAsia="zh-CN"/>
              </w:rPr>
              <w:t>县</w:t>
            </w:r>
            <w:r>
              <w:rPr>
                <w:rFonts w:hint="eastAsia" w:ascii="仿宋" w:hAnsi="仿宋" w:eastAsia="仿宋" w:cs="仿宋"/>
                <w:b w:val="0"/>
                <w:bCs w:val="0"/>
                <w:color w:val="auto"/>
                <w:kern w:val="0"/>
                <w:sz w:val="21"/>
                <w:szCs w:val="21"/>
              </w:rPr>
              <w:t>农业农村</w:t>
            </w:r>
            <w:r>
              <w:rPr>
                <w:rFonts w:hint="eastAsia" w:ascii="仿宋" w:hAnsi="仿宋" w:eastAsia="仿宋" w:cs="仿宋"/>
                <w:b w:val="0"/>
                <w:bCs w:val="0"/>
                <w:color w:val="auto"/>
                <w:kern w:val="0"/>
                <w:sz w:val="21"/>
                <w:szCs w:val="21"/>
                <w:lang w:eastAsia="zh-CN"/>
              </w:rPr>
              <w:t>局</w:t>
            </w:r>
            <w:r>
              <w:rPr>
                <w:rFonts w:hint="eastAsia" w:ascii="仿宋" w:hAnsi="仿宋" w:eastAsia="仿宋" w:cs="仿宋"/>
                <w:b w:val="0"/>
                <w:bCs w:val="0"/>
                <w:color w:val="auto"/>
                <w:kern w:val="0"/>
                <w:sz w:val="21"/>
                <w:szCs w:val="21"/>
              </w:rPr>
              <w:t>、</w:t>
            </w:r>
            <w:r>
              <w:rPr>
                <w:rFonts w:hint="eastAsia" w:ascii="仿宋" w:hAnsi="仿宋" w:eastAsia="仿宋" w:cs="仿宋"/>
                <w:b w:val="0"/>
                <w:bCs w:val="0"/>
                <w:color w:val="auto"/>
                <w:sz w:val="21"/>
                <w:szCs w:val="21"/>
                <w:lang w:eastAsia="zh-CN"/>
              </w:rPr>
              <w:t>县</w:t>
            </w:r>
            <w:r>
              <w:rPr>
                <w:rFonts w:hint="eastAsia" w:ascii="仿宋" w:hAnsi="仿宋" w:eastAsia="仿宋" w:cs="仿宋"/>
                <w:b w:val="0"/>
                <w:bCs w:val="0"/>
                <w:color w:val="auto"/>
                <w:kern w:val="0"/>
                <w:sz w:val="21"/>
                <w:szCs w:val="21"/>
              </w:rPr>
              <w:t>水利</w:t>
            </w:r>
            <w:r>
              <w:rPr>
                <w:rFonts w:hint="eastAsia" w:ascii="仿宋" w:hAnsi="仿宋" w:eastAsia="仿宋" w:cs="仿宋"/>
                <w:b w:val="0"/>
                <w:bCs w:val="0"/>
                <w:color w:val="auto"/>
                <w:kern w:val="0"/>
                <w:sz w:val="21"/>
                <w:szCs w:val="21"/>
                <w:lang w:eastAsia="zh-CN"/>
              </w:rPr>
              <w:t>局</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lang w:val="en-US" w:eastAsia="zh-CN"/>
              </w:rPr>
            </w:pPr>
          </w:p>
        </w:tc>
        <w:tc>
          <w:tcPr>
            <w:tcW w:w="112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color w:val="000000"/>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color w:val="auto"/>
                <w:kern w:val="0"/>
                <w:sz w:val="21"/>
                <w:szCs w:val="21"/>
              </w:rPr>
            </w:pP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lang w:val="en-US" w:eastAsia="zh-CN"/>
              </w:rPr>
              <w:t>6</w:t>
            </w:r>
            <w:r>
              <w:rPr>
                <w:rFonts w:hint="eastAsia" w:ascii="仿宋" w:hAnsi="仿宋" w:eastAsia="仿宋" w:cs="仿宋"/>
                <w:b/>
                <w:bCs/>
                <w:color w:val="000000"/>
                <w:kern w:val="0"/>
                <w:sz w:val="21"/>
                <w:szCs w:val="21"/>
                <w:lang w:eastAsia="zh-CN"/>
              </w:rPr>
              <w:t>）</w:t>
            </w:r>
            <w:r>
              <w:rPr>
                <w:rFonts w:hint="eastAsia" w:ascii="仿宋" w:hAnsi="仿宋" w:eastAsia="仿宋" w:cs="仿宋"/>
                <w:b/>
                <w:bCs/>
                <w:color w:val="000000"/>
                <w:kern w:val="0"/>
                <w:sz w:val="21"/>
                <w:szCs w:val="21"/>
              </w:rPr>
              <w:t>实施耕地分类管理。</w:t>
            </w:r>
          </w:p>
        </w:tc>
        <w:tc>
          <w:tcPr>
            <w:tcW w:w="692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进一步摸清底子</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以省</w:t>
            </w:r>
            <w:r>
              <w:rPr>
                <w:rFonts w:hint="eastAsia" w:ascii="仿宋" w:hAnsi="仿宋" w:eastAsia="仿宋" w:cs="仿宋"/>
                <w:color w:val="auto"/>
                <w:kern w:val="0"/>
                <w:sz w:val="21"/>
                <w:szCs w:val="21"/>
                <w:lang w:eastAsia="zh-CN"/>
              </w:rPr>
              <w:t>里</w:t>
            </w:r>
            <w:r>
              <w:rPr>
                <w:rFonts w:hint="eastAsia" w:ascii="仿宋" w:hAnsi="仿宋" w:eastAsia="仿宋" w:cs="仿宋"/>
                <w:color w:val="auto"/>
                <w:kern w:val="0"/>
                <w:sz w:val="21"/>
                <w:szCs w:val="21"/>
              </w:rPr>
              <w:t>耕地重金属加密调查的最新矢量数据为基础，建立到丘</w:t>
            </w:r>
            <w:r>
              <w:rPr>
                <w:rFonts w:hint="eastAsia" w:ascii="仿宋" w:hAnsi="仿宋" w:eastAsia="仿宋" w:cs="仿宋"/>
                <w:color w:val="auto"/>
                <w:kern w:val="0"/>
                <w:sz w:val="21"/>
                <w:szCs w:val="21"/>
                <w:lang w:eastAsia="zh-CN"/>
              </w:rPr>
              <w:t>块</w:t>
            </w:r>
            <w:r>
              <w:rPr>
                <w:rFonts w:hint="eastAsia" w:ascii="仿宋" w:hAnsi="仿宋" w:eastAsia="仿宋" w:cs="仿宋"/>
                <w:color w:val="auto"/>
                <w:kern w:val="0"/>
                <w:sz w:val="21"/>
                <w:szCs w:val="21"/>
              </w:rPr>
              <w:t>、到农户的受污染耕地安全利用数据台账。巩固严格管控区的种植结构调整成果</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继续加强监管，建立长效管控制度，防止水稻种植反弹。落实中轻度污染耕地的治理措施</w:t>
            </w:r>
            <w:r>
              <w:rPr>
                <w:rFonts w:hint="eastAsia" w:ascii="仿宋" w:hAnsi="仿宋" w:eastAsia="仿宋" w:cs="仿宋"/>
                <w:color w:val="auto"/>
                <w:kern w:val="0"/>
                <w:sz w:val="21"/>
                <w:szCs w:val="21"/>
                <w:lang w:eastAsia="zh-CN"/>
              </w:rPr>
              <w:t>，</w:t>
            </w:r>
            <w:r>
              <w:rPr>
                <w:rFonts w:hint="eastAsia" w:ascii="仿宋" w:hAnsi="仿宋" w:eastAsia="仿宋" w:cs="仿宋"/>
                <w:color w:val="auto"/>
                <w:kern w:val="0"/>
                <w:sz w:val="21"/>
                <w:szCs w:val="21"/>
              </w:rPr>
              <w:t>大力推广低镉品种水稻种植，开展“淹水法”为主的安全利用农艺措施，保证治理效果，提升农产品合格率。建立土壤污染治理与修复全过程监管机制，开展修复产品登记，严格修复方案审查，加强修复过程监督和检查。到202</w:t>
            </w:r>
            <w:r>
              <w:rPr>
                <w:rFonts w:hint="eastAsia" w:ascii="仿宋" w:hAnsi="仿宋" w:eastAsia="仿宋" w:cs="仿宋"/>
                <w:color w:val="auto"/>
                <w:kern w:val="0"/>
                <w:sz w:val="21"/>
                <w:szCs w:val="21"/>
                <w:lang w:val="en-US" w:eastAsia="zh-CN"/>
              </w:rPr>
              <w:t>1</w:t>
            </w:r>
            <w:r>
              <w:rPr>
                <w:rFonts w:hint="eastAsia" w:ascii="仿宋" w:hAnsi="仿宋" w:eastAsia="仿宋" w:cs="仿宋"/>
                <w:color w:val="auto"/>
                <w:kern w:val="0"/>
                <w:sz w:val="21"/>
                <w:szCs w:val="21"/>
              </w:rPr>
              <w:t>年，全</w:t>
            </w:r>
            <w:r>
              <w:rPr>
                <w:rFonts w:hint="eastAsia" w:ascii="仿宋" w:hAnsi="仿宋" w:eastAsia="仿宋" w:cs="仿宋"/>
                <w:color w:val="auto"/>
                <w:kern w:val="0"/>
                <w:sz w:val="21"/>
                <w:szCs w:val="21"/>
                <w:lang w:eastAsia="zh-CN"/>
              </w:rPr>
              <w:t>县</w:t>
            </w:r>
            <w:r>
              <w:rPr>
                <w:rFonts w:hint="eastAsia" w:ascii="仿宋" w:hAnsi="仿宋" w:eastAsia="仿宋" w:cs="仿宋"/>
                <w:color w:val="auto"/>
                <w:kern w:val="0"/>
                <w:sz w:val="21"/>
                <w:szCs w:val="21"/>
              </w:rPr>
              <w:t>受污染耕地安全利用率达到91%左右。</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kern w:val="0"/>
                <w:sz w:val="21"/>
                <w:szCs w:val="21"/>
              </w:rPr>
            </w:pPr>
            <w:r>
              <w:rPr>
                <w:rFonts w:hint="eastAsia" w:ascii="仿宋" w:hAnsi="仿宋" w:eastAsia="仿宋" w:cs="仿宋"/>
                <w:b w:val="0"/>
                <w:bCs w:val="0"/>
                <w:sz w:val="21"/>
                <w:szCs w:val="21"/>
                <w:lang w:eastAsia="zh-CN"/>
              </w:rPr>
              <w:t>县</w:t>
            </w:r>
            <w:r>
              <w:rPr>
                <w:rFonts w:hint="eastAsia" w:ascii="仿宋" w:hAnsi="仿宋" w:eastAsia="仿宋" w:cs="仿宋"/>
                <w:b w:val="0"/>
                <w:bCs w:val="0"/>
                <w:kern w:val="0"/>
                <w:sz w:val="21"/>
                <w:szCs w:val="21"/>
              </w:rPr>
              <w:t>农业农村</w:t>
            </w:r>
            <w:r>
              <w:rPr>
                <w:rFonts w:hint="eastAsia" w:ascii="仿宋" w:hAnsi="仿宋" w:eastAsia="仿宋" w:cs="仿宋"/>
                <w:b w:val="0"/>
                <w:bCs w:val="0"/>
                <w:kern w:val="0"/>
                <w:sz w:val="21"/>
                <w:szCs w:val="21"/>
                <w:lang w:eastAsia="zh-CN"/>
              </w:rPr>
              <w:t>局</w:t>
            </w:r>
            <w:r>
              <w:rPr>
                <w:rFonts w:hint="eastAsia" w:ascii="仿宋" w:hAnsi="仿宋" w:eastAsia="仿宋" w:cs="仿宋"/>
                <w:b w:val="0"/>
                <w:bCs w:val="0"/>
                <w:kern w:val="0"/>
                <w:sz w:val="21"/>
                <w:szCs w:val="21"/>
              </w:rPr>
              <w:t>牵头，</w:t>
            </w:r>
            <w:r>
              <w:rPr>
                <w:rFonts w:hint="eastAsia" w:ascii="仿宋" w:hAnsi="仿宋" w:eastAsia="仿宋" w:cs="仿宋"/>
                <w:b w:val="0"/>
                <w:bCs w:val="0"/>
                <w:sz w:val="21"/>
                <w:szCs w:val="21"/>
                <w:lang w:eastAsia="zh-CN"/>
              </w:rPr>
              <w:t>市</w:t>
            </w:r>
            <w:r>
              <w:rPr>
                <w:rFonts w:hint="eastAsia" w:ascii="仿宋" w:hAnsi="仿宋" w:eastAsia="仿宋" w:cs="仿宋"/>
                <w:b w:val="0"/>
                <w:bCs w:val="0"/>
                <w:kern w:val="0"/>
                <w:sz w:val="21"/>
                <w:szCs w:val="21"/>
              </w:rPr>
              <w:t>生</w:t>
            </w:r>
          </w:p>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kern w:val="0"/>
                <w:sz w:val="21"/>
                <w:szCs w:val="21"/>
              </w:rPr>
              <w:t>态环境</w:t>
            </w:r>
            <w:r>
              <w:rPr>
                <w:rFonts w:hint="eastAsia" w:ascii="仿宋" w:hAnsi="仿宋" w:eastAsia="仿宋" w:cs="仿宋"/>
                <w:b w:val="0"/>
                <w:bCs w:val="0"/>
                <w:kern w:val="0"/>
                <w:sz w:val="21"/>
                <w:szCs w:val="21"/>
                <w:lang w:eastAsia="zh-CN"/>
              </w:rPr>
              <w:t>局华容分局</w:t>
            </w:r>
            <w:r>
              <w:rPr>
                <w:rFonts w:hint="eastAsia" w:ascii="仿宋" w:hAnsi="仿宋" w:eastAsia="仿宋" w:cs="仿宋"/>
                <w:b w:val="0"/>
                <w:bCs w:val="0"/>
                <w:kern w:val="0"/>
                <w:sz w:val="21"/>
                <w:szCs w:val="21"/>
              </w:rPr>
              <w:t>、</w:t>
            </w:r>
            <w:r>
              <w:rPr>
                <w:rFonts w:hint="eastAsia" w:ascii="仿宋" w:hAnsi="仿宋" w:eastAsia="仿宋" w:cs="仿宋"/>
                <w:b w:val="0"/>
                <w:bCs w:val="0"/>
                <w:sz w:val="21"/>
                <w:szCs w:val="21"/>
                <w:lang w:eastAsia="zh-CN"/>
              </w:rPr>
              <w:t>县</w:t>
            </w:r>
            <w:r>
              <w:rPr>
                <w:rFonts w:hint="eastAsia" w:ascii="仿宋" w:hAnsi="仿宋" w:eastAsia="仿宋" w:cs="仿宋"/>
                <w:b w:val="0"/>
                <w:bCs w:val="0"/>
                <w:kern w:val="0"/>
                <w:sz w:val="21"/>
                <w:szCs w:val="21"/>
              </w:rPr>
              <w:t>自然资源</w:t>
            </w:r>
            <w:r>
              <w:rPr>
                <w:rFonts w:hint="eastAsia" w:ascii="仿宋" w:hAnsi="仿宋" w:eastAsia="仿宋" w:cs="仿宋"/>
                <w:b w:val="0"/>
                <w:bCs w:val="0"/>
                <w:kern w:val="0"/>
                <w:sz w:val="21"/>
                <w:szCs w:val="21"/>
                <w:lang w:eastAsia="zh-CN"/>
              </w:rPr>
              <w:t>局</w:t>
            </w:r>
            <w:r>
              <w:rPr>
                <w:rFonts w:hint="eastAsia" w:ascii="仿宋" w:hAnsi="仿宋" w:eastAsia="仿宋" w:cs="仿宋"/>
                <w:b w:val="0"/>
                <w:bCs w:val="0"/>
                <w:kern w:val="0"/>
                <w:sz w:val="21"/>
                <w:szCs w:val="21"/>
              </w:rPr>
              <w:t>参与</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3"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lang w:val="en-US" w:eastAsia="zh-CN"/>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color w:val="000000"/>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color w:val="000000"/>
                <w:kern w:val="0"/>
                <w:sz w:val="21"/>
                <w:szCs w:val="21"/>
              </w:rPr>
            </w:pP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7</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开展涉镉等重金属重点行业企业排查整治。</w:t>
            </w:r>
          </w:p>
        </w:tc>
        <w:tc>
          <w:tcPr>
            <w:tcW w:w="6923" w:type="dxa"/>
            <w:vAlign w:val="center"/>
          </w:tcPr>
          <w:p>
            <w:pPr>
              <w:keepNext w:val="0"/>
              <w:keepLines w:val="0"/>
              <w:pageBreakBefore w:val="0"/>
              <w:widowControl w:val="0"/>
              <w:kinsoku/>
              <w:wordWrap/>
              <w:overflowPunct/>
              <w:topLinePunct w:val="0"/>
              <w:autoSpaceDE/>
              <w:autoSpaceDN/>
              <w:bidi w:val="0"/>
              <w:adjustRightInd/>
              <w:snapToGrid/>
              <w:spacing w:after="0" w:line="300" w:lineRule="exact"/>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以耕地重金属污染问题突出区域和铅、锌、铜等有色金属采选及冶炼区域为重点，聚焦涉镉等重金属重点行业企业，开展排查整治行动，切断污染物进入农田的途径。根据重点行业企业用地调查制定的涉镉等重金属行业企业排查清单，完成对涉镉等重金属污染源排查工作，并制定整治清单。按照“一源一档”原则，“边查边治，以治为主”，对列入整治清单中污染源逐一制定管控、治理方案并组织实施。对难以有效切断重金属污染途径，且土壤重金属污染严重、农产品重金属超标问题突出的耕地，要划入严格管控类，实施严格管控措施，降低农产品镉等重金属超标风险。</w:t>
            </w:r>
            <w:r>
              <w:rPr>
                <w:rFonts w:hint="eastAsia" w:ascii="仿宋" w:hAnsi="仿宋" w:eastAsia="仿宋" w:cs="仿宋"/>
                <w:color w:val="auto"/>
                <w:kern w:val="0"/>
                <w:sz w:val="21"/>
                <w:szCs w:val="21"/>
                <w:lang w:val="en-US" w:eastAsia="zh-CN"/>
              </w:rPr>
              <w:t>2021年开展2轮涉镉等重金属重点行业企业排查整治</w:t>
            </w:r>
            <w:r>
              <w:rPr>
                <w:rFonts w:hint="eastAsia" w:ascii="仿宋" w:hAnsi="仿宋" w:eastAsia="仿宋" w:cs="仿宋"/>
                <w:color w:val="000000"/>
                <w:sz w:val="21"/>
                <w:szCs w:val="21"/>
                <w:lang w:val="en-US" w:eastAsia="zh-CN"/>
              </w:rPr>
              <w:t>。</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kern w:val="0"/>
                <w:sz w:val="21"/>
                <w:szCs w:val="21"/>
                <w:lang w:eastAsia="zh-CN"/>
              </w:rPr>
            </w:pPr>
          </w:p>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color w:val="000000"/>
                <w:sz w:val="21"/>
                <w:szCs w:val="21"/>
                <w:lang w:eastAsia="zh-CN"/>
              </w:rPr>
              <w:t>县</w:t>
            </w:r>
            <w:r>
              <w:rPr>
                <w:rFonts w:hint="eastAsia" w:ascii="仿宋" w:hAnsi="仿宋" w:eastAsia="仿宋" w:cs="仿宋"/>
                <w:b w:val="0"/>
                <w:bCs w:val="0"/>
                <w:color w:val="000000"/>
                <w:sz w:val="21"/>
                <w:szCs w:val="21"/>
              </w:rPr>
              <w:t>农业农村</w:t>
            </w:r>
            <w:r>
              <w:rPr>
                <w:rFonts w:hint="eastAsia" w:ascii="仿宋" w:hAnsi="仿宋" w:eastAsia="仿宋" w:cs="仿宋"/>
                <w:b w:val="0"/>
                <w:bCs w:val="0"/>
                <w:color w:val="000000"/>
                <w:sz w:val="21"/>
                <w:szCs w:val="21"/>
                <w:lang w:eastAsia="zh-CN"/>
              </w:rPr>
              <w:t>局</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9" w:hRule="atLeast"/>
          <w:jc w:val="center"/>
        </w:trPr>
        <w:tc>
          <w:tcPr>
            <w:tcW w:w="106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default" w:ascii="楷体" w:hAnsi="楷体" w:eastAsia="楷体" w:cs="楷体"/>
                <w:b/>
                <w:bCs w:val="0"/>
                <w:color w:val="000000"/>
                <w:sz w:val="21"/>
                <w:szCs w:val="21"/>
                <w:lang w:val="en-US" w:eastAsia="zh-CN"/>
              </w:rPr>
            </w:pPr>
            <w:r>
              <w:rPr>
                <w:rFonts w:hint="eastAsia" w:ascii="楷体" w:hAnsi="楷体" w:eastAsia="楷体" w:cs="楷体"/>
                <w:b/>
                <w:bCs w:val="0"/>
                <w:color w:val="000000"/>
                <w:sz w:val="21"/>
                <w:szCs w:val="21"/>
                <w:lang w:val="en-US" w:eastAsia="zh-CN"/>
              </w:rPr>
              <w:t>5</w:t>
            </w:r>
          </w:p>
        </w:tc>
        <w:tc>
          <w:tcPr>
            <w:tcW w:w="112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textAlignment w:val="auto"/>
              <w:rPr>
                <w:rFonts w:hint="eastAsia" w:ascii="楷体" w:hAnsi="楷体" w:eastAsia="楷体" w:cs="楷体"/>
                <w:b/>
                <w:bCs w:val="0"/>
                <w:color w:val="000000"/>
                <w:sz w:val="21"/>
                <w:szCs w:val="21"/>
                <w:lang w:val="en-US" w:eastAsia="zh-CN"/>
              </w:rPr>
            </w:pPr>
            <w:r>
              <w:rPr>
                <w:rFonts w:hint="eastAsia" w:ascii="楷体" w:hAnsi="楷体" w:eastAsia="楷体" w:cs="楷体"/>
                <w:b/>
                <w:bCs w:val="0"/>
                <w:color w:val="000000"/>
                <w:sz w:val="21"/>
                <w:szCs w:val="21"/>
                <w:lang w:val="en-US" w:eastAsia="zh-CN"/>
              </w:rPr>
              <w:t>加强农业农村环境监管能力建设。</w:t>
            </w:r>
          </w:p>
          <w:p>
            <w:pPr>
              <w:keepNext w:val="0"/>
              <w:keepLines w:val="0"/>
              <w:pageBreakBefore w:val="0"/>
              <w:widowControl w:val="0"/>
              <w:kinsoku/>
              <w:wordWrap/>
              <w:overflowPunct/>
              <w:topLinePunct w:val="0"/>
              <w:autoSpaceDE/>
              <w:autoSpaceDN/>
              <w:bidi w:val="0"/>
              <w:spacing w:after="0" w:line="320" w:lineRule="exact"/>
              <w:ind w:firstLine="211" w:firstLineChars="100"/>
              <w:textAlignment w:val="auto"/>
              <w:rPr>
                <w:rFonts w:hint="eastAsia" w:ascii="楷体" w:hAnsi="楷体" w:eastAsia="楷体" w:cs="楷体"/>
                <w:b/>
                <w:bCs w:val="0"/>
                <w:color w:val="000000"/>
                <w:sz w:val="21"/>
                <w:szCs w:val="21"/>
                <w:lang w:val="en-US" w:eastAsia="zh-CN"/>
              </w:rPr>
            </w:pPr>
          </w:p>
        </w:tc>
        <w:tc>
          <w:tcPr>
            <w:tcW w:w="1332" w:type="dxa"/>
            <w:vAlign w:val="center"/>
          </w:tcPr>
          <w:p>
            <w:pPr>
              <w:rPr>
                <w:rFonts w:hint="eastAsia" w:ascii="仿宋" w:hAnsi="仿宋" w:eastAsia="仿宋" w:cs="仿宋"/>
                <w:sz w:val="21"/>
                <w:szCs w:val="21"/>
              </w:rPr>
            </w:pP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1</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严守生态保护红线。</w:t>
            </w:r>
          </w:p>
        </w:tc>
        <w:tc>
          <w:tcPr>
            <w:tcW w:w="6923" w:type="dxa"/>
            <w:vAlign w:val="center"/>
          </w:tcPr>
          <w:p>
            <w:pPr>
              <w:rPr>
                <w:rFonts w:hint="eastAsia" w:ascii="仿宋" w:hAnsi="仿宋" w:eastAsia="仿宋" w:cs="仿宋"/>
                <w:sz w:val="21"/>
                <w:szCs w:val="21"/>
              </w:rPr>
            </w:pPr>
            <w:r>
              <w:rPr>
                <w:rFonts w:hint="eastAsia" w:ascii="仿宋" w:hAnsi="仿宋" w:eastAsia="仿宋" w:cs="仿宋"/>
                <w:sz w:val="21"/>
                <w:szCs w:val="21"/>
              </w:rPr>
              <w:t>明确和落实生态保护红线管控要求，针对农业资源与生态环境突出问题，建立农业产业准入负面清单，因地制宜制定禁止和限制发展产业目录，明确种植业、养殖业发展方向和开发强度，强化准入管理和底线约束。生态保护红线内禁止城镇化和工业化活动，生态保护红线内现存的耕地不得擅自扩大规模。在长江和洞庭湖及重要河口的敏感区域内，严禁以任何形式围垦河湖、违法占用河湖水域，严格管控沿河环湖农业面源污染。</w:t>
            </w:r>
          </w:p>
        </w:tc>
        <w:tc>
          <w:tcPr>
            <w:tcW w:w="1650" w:type="dxa"/>
            <w:vAlign w:val="center"/>
          </w:tcPr>
          <w:p>
            <w:pPr>
              <w:rPr>
                <w:rFonts w:hint="eastAsia" w:ascii="仿宋" w:hAnsi="仿宋" w:eastAsia="仿宋" w:cs="仿宋"/>
                <w:sz w:val="21"/>
                <w:szCs w:val="21"/>
                <w:lang w:eastAsia="zh-CN"/>
              </w:rPr>
            </w:pPr>
            <w:r>
              <w:rPr>
                <w:rFonts w:hint="eastAsia" w:ascii="仿宋" w:hAnsi="仿宋" w:eastAsia="仿宋" w:cs="仿宋"/>
                <w:sz w:val="21"/>
                <w:szCs w:val="21"/>
                <w:lang w:eastAsia="zh-CN"/>
              </w:rPr>
              <w:t>县</w:t>
            </w:r>
            <w:r>
              <w:rPr>
                <w:rFonts w:hint="eastAsia" w:ascii="仿宋" w:hAnsi="仿宋" w:eastAsia="仿宋" w:cs="仿宋"/>
                <w:sz w:val="21"/>
                <w:szCs w:val="21"/>
              </w:rPr>
              <w:t>农业农村</w:t>
            </w:r>
            <w:r>
              <w:rPr>
                <w:rFonts w:hint="eastAsia" w:ascii="仿宋" w:hAnsi="仿宋" w:eastAsia="仿宋" w:cs="仿宋"/>
                <w:sz w:val="21"/>
                <w:szCs w:val="21"/>
                <w:lang w:eastAsia="zh-CN"/>
              </w:rPr>
              <w:t>局牵头</w:t>
            </w:r>
            <w:r>
              <w:rPr>
                <w:rFonts w:hint="eastAsia" w:ascii="仿宋" w:hAnsi="仿宋" w:eastAsia="仿宋" w:cs="仿宋"/>
                <w:sz w:val="21"/>
                <w:szCs w:val="21"/>
                <w:lang w:val="en-US" w:eastAsia="zh-CN"/>
              </w:rPr>
              <w:t>,</w:t>
            </w:r>
            <w:r>
              <w:rPr>
                <w:rFonts w:hint="eastAsia" w:ascii="仿宋" w:hAnsi="仿宋" w:eastAsia="仿宋" w:cs="仿宋"/>
                <w:sz w:val="21"/>
                <w:szCs w:val="21"/>
                <w:lang w:eastAsia="zh-CN"/>
              </w:rPr>
              <w:t>县</w:t>
            </w:r>
            <w:r>
              <w:rPr>
                <w:rFonts w:hint="eastAsia" w:ascii="仿宋" w:hAnsi="仿宋" w:eastAsia="仿宋" w:cs="仿宋"/>
                <w:sz w:val="21"/>
                <w:szCs w:val="21"/>
              </w:rPr>
              <w:t>自然资源</w:t>
            </w:r>
            <w:r>
              <w:rPr>
                <w:rFonts w:hint="eastAsia" w:ascii="仿宋" w:hAnsi="仿宋" w:eastAsia="仿宋" w:cs="仿宋"/>
                <w:sz w:val="21"/>
                <w:szCs w:val="21"/>
                <w:lang w:eastAsia="zh-CN"/>
              </w:rPr>
              <w:t>局</w:t>
            </w:r>
            <w:r>
              <w:rPr>
                <w:rFonts w:hint="eastAsia" w:ascii="仿宋" w:hAnsi="仿宋" w:eastAsia="仿宋" w:cs="仿宋"/>
                <w:sz w:val="21"/>
                <w:szCs w:val="21"/>
              </w:rPr>
              <w:t>、</w:t>
            </w:r>
            <w:r>
              <w:rPr>
                <w:rFonts w:hint="eastAsia" w:ascii="仿宋" w:hAnsi="仿宋" w:eastAsia="仿宋" w:cs="仿宋"/>
                <w:sz w:val="21"/>
                <w:szCs w:val="21"/>
                <w:lang w:eastAsia="zh-CN"/>
              </w:rPr>
              <w:t>县</w:t>
            </w:r>
            <w:r>
              <w:rPr>
                <w:rFonts w:hint="eastAsia" w:ascii="仿宋" w:hAnsi="仿宋" w:eastAsia="仿宋" w:cs="仿宋"/>
                <w:sz w:val="21"/>
                <w:szCs w:val="21"/>
              </w:rPr>
              <w:t>水利</w:t>
            </w:r>
            <w:r>
              <w:rPr>
                <w:rFonts w:hint="eastAsia" w:ascii="仿宋" w:hAnsi="仿宋" w:eastAsia="仿宋" w:cs="仿宋"/>
                <w:sz w:val="21"/>
                <w:szCs w:val="21"/>
                <w:lang w:eastAsia="zh-CN"/>
              </w:rPr>
              <w:t>局</w:t>
            </w:r>
            <w:r>
              <w:rPr>
                <w:rFonts w:hint="eastAsia" w:ascii="仿宋" w:hAnsi="仿宋" w:eastAsia="仿宋" w:cs="仿宋"/>
                <w:sz w:val="21"/>
                <w:szCs w:val="21"/>
              </w:rPr>
              <w:t>、</w:t>
            </w:r>
            <w:r>
              <w:rPr>
                <w:rFonts w:hint="eastAsia" w:ascii="仿宋" w:hAnsi="仿宋" w:eastAsia="仿宋" w:cs="仿宋"/>
                <w:sz w:val="21"/>
                <w:szCs w:val="21"/>
                <w:lang w:eastAsia="zh-CN"/>
              </w:rPr>
              <w:t>市生态环境局华容分局参与</w:t>
            </w:r>
          </w:p>
        </w:tc>
        <w:tc>
          <w:tcPr>
            <w:tcW w:w="1672" w:type="dxa"/>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jc w:val="center"/>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5"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lang w:val="en-US" w:eastAsia="zh-CN"/>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color w:val="000000"/>
                <w:sz w:val="21"/>
                <w:szCs w:val="21"/>
              </w:rPr>
            </w:pPr>
          </w:p>
        </w:tc>
        <w:tc>
          <w:tcPr>
            <w:tcW w:w="1332"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2</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加强生态环境监管执法。</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创新监管手段，加强卫星遥感、无人机(船)等先进监控手段应用，运用大数据、“互联网+”等先进信息技术，依托乡村治安网格化管理平台，鼓励公众和公益组织监督举报，及时发现农业农村环境问题。结合第二次全国污染源普查和相关部门已开展的污染源调查统计工作，建立农业农村生态环境管理信息平台。强化执法监督，将日处理能力20吨及以上的农村生活污水处理设施、畜禽规模养殖场、矿山和农业面源污染纳入重点抽查范围，严厉打击非法倾倒生活垃圾、固体废弃物等行为。加强执法保障，建立重心下移、力量下沉、保障下倾的农业农村生态环境监管执法工作机制。各乡镇要明确人员从事农村环境保护工作，确保责有人负、事有人干。</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color w:val="auto"/>
                <w:sz w:val="21"/>
                <w:szCs w:val="21"/>
                <w:lang w:eastAsia="zh-CN"/>
              </w:rPr>
              <w:t>市生态环境局华容分局</w:t>
            </w:r>
            <w:r>
              <w:rPr>
                <w:rFonts w:hint="eastAsia" w:ascii="仿宋" w:hAnsi="仿宋" w:eastAsia="仿宋" w:cs="仿宋"/>
                <w:b w:val="0"/>
                <w:bCs w:val="0"/>
                <w:color w:val="auto"/>
                <w:sz w:val="21"/>
                <w:szCs w:val="21"/>
              </w:rPr>
              <w:t>牵头，</w:t>
            </w:r>
            <w:r>
              <w:rPr>
                <w:rFonts w:hint="eastAsia" w:ascii="仿宋" w:hAnsi="仿宋" w:eastAsia="仿宋" w:cs="仿宋"/>
                <w:b w:val="0"/>
                <w:bCs w:val="0"/>
                <w:color w:val="auto"/>
                <w:sz w:val="21"/>
                <w:szCs w:val="21"/>
                <w:lang w:eastAsia="zh-CN"/>
              </w:rPr>
              <w:t>县</w:t>
            </w:r>
            <w:r>
              <w:rPr>
                <w:rFonts w:hint="eastAsia" w:ascii="仿宋" w:hAnsi="仿宋" w:eastAsia="仿宋" w:cs="仿宋"/>
                <w:b w:val="0"/>
                <w:bCs w:val="0"/>
                <w:color w:val="auto"/>
                <w:sz w:val="21"/>
                <w:szCs w:val="21"/>
              </w:rPr>
              <w:t>农业农村</w:t>
            </w:r>
            <w:r>
              <w:rPr>
                <w:rFonts w:hint="eastAsia" w:ascii="仿宋" w:hAnsi="仿宋" w:eastAsia="仿宋" w:cs="仿宋"/>
                <w:b w:val="0"/>
                <w:bCs w:val="0"/>
                <w:color w:val="auto"/>
                <w:sz w:val="21"/>
                <w:szCs w:val="21"/>
                <w:lang w:eastAsia="zh-CN"/>
              </w:rPr>
              <w:t>局</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县</w:t>
            </w:r>
            <w:r>
              <w:rPr>
                <w:rFonts w:hint="eastAsia" w:ascii="仿宋" w:hAnsi="仿宋" w:eastAsia="仿宋" w:cs="仿宋"/>
                <w:b w:val="0"/>
                <w:bCs w:val="0"/>
                <w:color w:val="auto"/>
                <w:sz w:val="21"/>
                <w:szCs w:val="21"/>
              </w:rPr>
              <w:t>财政</w:t>
            </w:r>
            <w:r>
              <w:rPr>
                <w:rFonts w:hint="eastAsia" w:ascii="仿宋" w:hAnsi="仿宋" w:eastAsia="仿宋" w:cs="仿宋"/>
                <w:b w:val="0"/>
                <w:bCs w:val="0"/>
                <w:color w:val="auto"/>
                <w:sz w:val="21"/>
                <w:szCs w:val="21"/>
                <w:lang w:eastAsia="zh-CN"/>
              </w:rPr>
              <w:t>局</w:t>
            </w:r>
            <w:r>
              <w:rPr>
                <w:rFonts w:hint="eastAsia" w:ascii="仿宋" w:hAnsi="仿宋" w:eastAsia="仿宋" w:cs="仿宋"/>
                <w:b w:val="0"/>
                <w:bCs w:val="0"/>
                <w:color w:val="auto"/>
                <w:sz w:val="21"/>
                <w:szCs w:val="21"/>
              </w:rPr>
              <w:t>、</w:t>
            </w:r>
            <w:r>
              <w:rPr>
                <w:rFonts w:hint="eastAsia" w:ascii="仿宋" w:hAnsi="仿宋" w:eastAsia="仿宋" w:cs="仿宋"/>
                <w:b w:val="0"/>
                <w:bCs w:val="0"/>
                <w:color w:val="auto"/>
                <w:sz w:val="21"/>
                <w:szCs w:val="21"/>
                <w:lang w:eastAsia="zh-CN"/>
              </w:rPr>
              <w:t>县</w:t>
            </w:r>
            <w:r>
              <w:rPr>
                <w:rFonts w:hint="eastAsia" w:ascii="仿宋" w:hAnsi="仿宋" w:eastAsia="仿宋" w:cs="仿宋"/>
                <w:b w:val="0"/>
                <w:bCs w:val="0"/>
                <w:color w:val="auto"/>
                <w:sz w:val="21"/>
                <w:szCs w:val="21"/>
              </w:rPr>
              <w:t>自然资源</w:t>
            </w:r>
            <w:r>
              <w:rPr>
                <w:rFonts w:hint="eastAsia" w:ascii="仿宋" w:hAnsi="仿宋" w:eastAsia="仿宋" w:cs="仿宋"/>
                <w:b w:val="0"/>
                <w:bCs w:val="0"/>
                <w:color w:val="auto"/>
                <w:sz w:val="21"/>
                <w:szCs w:val="21"/>
                <w:lang w:eastAsia="zh-CN"/>
              </w:rPr>
              <w:t>局</w:t>
            </w:r>
            <w:r>
              <w:rPr>
                <w:rFonts w:hint="eastAsia" w:ascii="仿宋" w:hAnsi="仿宋" w:eastAsia="仿宋" w:cs="仿宋"/>
                <w:b w:val="0"/>
                <w:bCs w:val="0"/>
                <w:color w:val="auto"/>
                <w:sz w:val="21"/>
                <w:szCs w:val="21"/>
              </w:rPr>
              <w:t>参与</w:t>
            </w:r>
          </w:p>
        </w:tc>
        <w:tc>
          <w:tcPr>
            <w:tcW w:w="1672" w:type="dxa"/>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06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1" w:firstLineChars="100"/>
              <w:jc w:val="center"/>
              <w:textAlignment w:val="auto"/>
              <w:rPr>
                <w:rFonts w:hint="eastAsia" w:ascii="仿宋" w:hAnsi="仿宋" w:eastAsia="仿宋" w:cs="仿宋"/>
                <w:b/>
                <w:color w:val="000000"/>
                <w:sz w:val="21"/>
                <w:szCs w:val="21"/>
                <w:lang w:val="en-US" w:eastAsia="zh-CN"/>
              </w:rPr>
            </w:pPr>
          </w:p>
        </w:tc>
        <w:tc>
          <w:tcPr>
            <w:tcW w:w="1124" w:type="dxa"/>
            <w:vMerge w:val="restart"/>
            <w:vAlign w:val="center"/>
          </w:tcPr>
          <w:p>
            <w:pPr>
              <w:keepNext w:val="0"/>
              <w:keepLines w:val="0"/>
              <w:pageBreakBefore w:val="0"/>
              <w:widowControl w:val="0"/>
              <w:kinsoku/>
              <w:wordWrap/>
              <w:overflowPunct/>
              <w:topLinePunct w:val="0"/>
              <w:autoSpaceDE/>
              <w:autoSpaceDN/>
              <w:bidi w:val="0"/>
              <w:spacing w:after="0" w:line="320" w:lineRule="exact"/>
              <w:ind w:firstLine="210" w:firstLineChars="100"/>
              <w:jc w:val="center"/>
              <w:textAlignment w:val="auto"/>
              <w:rPr>
                <w:rFonts w:hint="eastAsia" w:ascii="仿宋" w:hAnsi="仿宋" w:eastAsia="仿宋" w:cs="仿宋"/>
                <w:color w:val="000000"/>
                <w:sz w:val="21"/>
                <w:szCs w:val="21"/>
              </w:rPr>
            </w:pPr>
          </w:p>
        </w:tc>
        <w:tc>
          <w:tcPr>
            <w:tcW w:w="1332" w:type="dxa"/>
            <w:vMerge w:val="restart"/>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lang w:val="en-US" w:eastAsia="zh-CN"/>
              </w:rPr>
              <w:t>3</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加强农业农村生态环境监测体系建设。</w:t>
            </w: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结合现有环境监测网络和农村环境质量试点监测工作，加强对农村集中式饮用水水源、日处理能力20吨及以上的农村生活污水处理设施出水和畜禽规模养殖场排污口的水质监测，建立农村环境监测信息发布制度。</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sz w:val="21"/>
                <w:szCs w:val="21"/>
              </w:rPr>
            </w:pPr>
            <w:r>
              <w:rPr>
                <w:rFonts w:hint="eastAsia" w:ascii="仿宋" w:hAnsi="仿宋" w:eastAsia="仿宋" w:cs="仿宋"/>
                <w:b w:val="0"/>
                <w:bCs w:val="0"/>
                <w:color w:val="auto"/>
                <w:sz w:val="21"/>
                <w:szCs w:val="21"/>
                <w:lang w:eastAsia="zh-CN"/>
              </w:rPr>
              <w:t>市生态环境局华容分局</w:t>
            </w:r>
            <w:r>
              <w:rPr>
                <w:rFonts w:hint="eastAsia" w:ascii="仿宋" w:hAnsi="仿宋" w:eastAsia="仿宋" w:cs="仿宋"/>
                <w:b w:val="0"/>
                <w:bCs w:val="0"/>
                <w:color w:val="auto"/>
                <w:sz w:val="21"/>
                <w:szCs w:val="21"/>
              </w:rPr>
              <w:t>牵头，</w:t>
            </w:r>
            <w:r>
              <w:rPr>
                <w:rFonts w:hint="eastAsia" w:ascii="仿宋" w:hAnsi="仿宋" w:eastAsia="仿宋" w:cs="仿宋"/>
                <w:b w:val="0"/>
                <w:bCs w:val="0"/>
                <w:color w:val="auto"/>
                <w:sz w:val="21"/>
                <w:szCs w:val="21"/>
                <w:lang w:eastAsia="zh-CN"/>
              </w:rPr>
              <w:t>县</w:t>
            </w:r>
            <w:r>
              <w:rPr>
                <w:rFonts w:hint="eastAsia" w:ascii="仿宋" w:hAnsi="仿宋" w:eastAsia="仿宋" w:cs="仿宋"/>
                <w:b w:val="0"/>
                <w:bCs w:val="0"/>
                <w:color w:val="auto"/>
                <w:sz w:val="21"/>
                <w:szCs w:val="21"/>
              </w:rPr>
              <w:t>卫健</w:t>
            </w:r>
            <w:r>
              <w:rPr>
                <w:rFonts w:hint="eastAsia" w:ascii="仿宋" w:hAnsi="仿宋" w:eastAsia="仿宋" w:cs="仿宋"/>
                <w:b w:val="0"/>
                <w:bCs w:val="0"/>
                <w:color w:val="auto"/>
                <w:sz w:val="21"/>
                <w:szCs w:val="21"/>
                <w:lang w:eastAsia="zh-CN"/>
              </w:rPr>
              <w:t>局</w:t>
            </w:r>
            <w:r>
              <w:rPr>
                <w:rFonts w:hint="eastAsia" w:ascii="仿宋" w:hAnsi="仿宋" w:eastAsia="仿宋" w:cs="仿宋"/>
                <w:b w:val="0"/>
                <w:bCs w:val="0"/>
                <w:color w:val="auto"/>
                <w:sz w:val="21"/>
                <w:szCs w:val="21"/>
              </w:rPr>
              <w:t>参与</w:t>
            </w:r>
          </w:p>
        </w:tc>
        <w:tc>
          <w:tcPr>
            <w:tcW w:w="1672" w:type="dxa"/>
            <w:vMerge w:val="restart"/>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2021年</w:t>
            </w:r>
          </w:p>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b/>
                <w:bCs/>
                <w:color w:val="auto"/>
                <w:sz w:val="21"/>
                <w:szCs w:val="21"/>
                <w:lang w:eastAsia="zh-CN"/>
              </w:rPr>
            </w:pPr>
            <w:r>
              <w:rPr>
                <w:rFonts w:hint="eastAsia" w:ascii="仿宋" w:hAnsi="仿宋" w:eastAsia="仿宋" w:cs="仿宋"/>
                <w:sz w:val="21"/>
                <w:szCs w:val="21"/>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jc w:val="center"/>
        </w:trPr>
        <w:tc>
          <w:tcPr>
            <w:tcW w:w="106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41" w:firstLineChars="100"/>
              <w:jc w:val="center"/>
              <w:textAlignment w:val="auto"/>
              <w:rPr>
                <w:rFonts w:hint="eastAsia" w:ascii="仿宋" w:hAnsi="仿宋" w:eastAsia="仿宋" w:cs="仿宋"/>
                <w:b/>
                <w:color w:val="000000"/>
                <w:sz w:val="24"/>
                <w:szCs w:val="24"/>
                <w:lang w:val="en-US" w:eastAsia="zh-CN"/>
              </w:rPr>
            </w:pPr>
          </w:p>
        </w:tc>
        <w:tc>
          <w:tcPr>
            <w:tcW w:w="1124" w:type="dxa"/>
            <w:vMerge w:val="continue"/>
            <w:vAlign w:val="center"/>
          </w:tcPr>
          <w:p>
            <w:pPr>
              <w:keepNext w:val="0"/>
              <w:keepLines w:val="0"/>
              <w:pageBreakBefore w:val="0"/>
              <w:widowControl w:val="0"/>
              <w:kinsoku/>
              <w:wordWrap/>
              <w:overflowPunct/>
              <w:topLinePunct w:val="0"/>
              <w:autoSpaceDE/>
              <w:autoSpaceDN/>
              <w:bidi w:val="0"/>
              <w:spacing w:after="0" w:line="320" w:lineRule="exact"/>
              <w:ind w:firstLine="240" w:firstLineChars="100"/>
              <w:jc w:val="center"/>
              <w:textAlignment w:val="auto"/>
              <w:rPr>
                <w:rFonts w:hint="eastAsia" w:ascii="仿宋" w:hAnsi="仿宋" w:eastAsia="仿宋" w:cs="仿宋"/>
                <w:color w:val="000000"/>
                <w:sz w:val="24"/>
                <w:szCs w:val="24"/>
              </w:rPr>
            </w:pPr>
          </w:p>
        </w:tc>
        <w:tc>
          <w:tcPr>
            <w:tcW w:w="1332" w:type="dxa"/>
            <w:vMerge w:val="continue"/>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bCs/>
                <w:color w:val="auto"/>
                <w:sz w:val="24"/>
                <w:szCs w:val="24"/>
              </w:rPr>
            </w:pPr>
          </w:p>
        </w:tc>
        <w:tc>
          <w:tcPr>
            <w:tcW w:w="6923" w:type="dxa"/>
            <w:vAlign w:val="center"/>
          </w:tcPr>
          <w:p>
            <w:pPr>
              <w:keepNext w:val="0"/>
              <w:keepLines w:val="0"/>
              <w:pageBreakBefore w:val="0"/>
              <w:widowControl w:val="0"/>
              <w:kinsoku/>
              <w:wordWrap/>
              <w:overflowPunct/>
              <w:topLinePunct w:val="0"/>
              <w:autoSpaceDE/>
              <w:autoSpaceDN/>
              <w:bidi w:val="0"/>
              <w:spacing w:after="0" w:line="3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加强和完善畜禽规模养殖场直联直报信息系统信息填报，统计规模以上养殖场生产、设施改造和资源化利用情况，实行动态精准管理；加强肥料、农药登记管理，建立健全肥料、农药使用调查和监测评价体系。</w:t>
            </w:r>
          </w:p>
        </w:tc>
        <w:tc>
          <w:tcPr>
            <w:tcW w:w="1650" w:type="dxa"/>
            <w:vAlign w:val="center"/>
          </w:tcPr>
          <w:p>
            <w:pPr>
              <w:keepNext w:val="0"/>
              <w:keepLines w:val="0"/>
              <w:pageBreakBefore w:val="0"/>
              <w:widowControl w:val="0"/>
              <w:kinsoku/>
              <w:wordWrap/>
              <w:overflowPunct/>
              <w:topLinePunct w:val="0"/>
              <w:autoSpaceDE/>
              <w:autoSpaceDN/>
              <w:bidi w:val="0"/>
              <w:spacing w:after="0" w:line="320" w:lineRule="exact"/>
              <w:jc w:val="both"/>
              <w:textAlignment w:val="auto"/>
              <w:rPr>
                <w:rFonts w:hint="eastAsia" w:ascii="仿宋" w:hAnsi="仿宋" w:eastAsia="仿宋" w:cs="仿宋"/>
                <w:b w:val="0"/>
                <w:bCs w:val="0"/>
                <w:sz w:val="24"/>
                <w:szCs w:val="24"/>
              </w:rPr>
            </w:pPr>
            <w:r>
              <w:rPr>
                <w:rFonts w:hint="eastAsia" w:ascii="仿宋" w:hAnsi="仿宋" w:eastAsia="仿宋" w:cs="仿宋"/>
                <w:b w:val="0"/>
                <w:bCs w:val="0"/>
                <w:color w:val="auto"/>
                <w:sz w:val="24"/>
                <w:szCs w:val="24"/>
                <w:lang w:eastAsia="zh-CN"/>
              </w:rPr>
              <w:t>县</w:t>
            </w:r>
            <w:r>
              <w:rPr>
                <w:rFonts w:hint="eastAsia" w:ascii="仿宋" w:hAnsi="仿宋" w:eastAsia="仿宋" w:cs="仿宋"/>
                <w:b w:val="0"/>
                <w:bCs w:val="0"/>
                <w:color w:val="auto"/>
                <w:sz w:val="24"/>
                <w:szCs w:val="24"/>
              </w:rPr>
              <w:t>农业农村</w:t>
            </w:r>
            <w:r>
              <w:rPr>
                <w:rFonts w:hint="eastAsia" w:ascii="仿宋" w:hAnsi="仿宋" w:eastAsia="仿宋" w:cs="仿宋"/>
                <w:b w:val="0"/>
                <w:bCs w:val="0"/>
                <w:color w:val="auto"/>
                <w:sz w:val="24"/>
                <w:szCs w:val="24"/>
                <w:lang w:eastAsia="zh-CN"/>
              </w:rPr>
              <w:t>局</w:t>
            </w:r>
            <w:r>
              <w:rPr>
                <w:rFonts w:hint="eastAsia" w:ascii="仿宋" w:hAnsi="仿宋" w:eastAsia="仿宋" w:cs="仿宋"/>
                <w:b w:val="0"/>
                <w:bCs w:val="0"/>
                <w:color w:val="auto"/>
                <w:sz w:val="24"/>
                <w:szCs w:val="24"/>
              </w:rPr>
              <w:t>牵头，</w:t>
            </w:r>
            <w:r>
              <w:rPr>
                <w:rFonts w:hint="eastAsia" w:ascii="仿宋" w:hAnsi="仿宋" w:eastAsia="仿宋" w:cs="仿宋"/>
                <w:b w:val="0"/>
                <w:bCs w:val="0"/>
                <w:color w:val="auto"/>
                <w:sz w:val="24"/>
                <w:szCs w:val="24"/>
                <w:lang w:eastAsia="zh-CN"/>
              </w:rPr>
              <w:t>市生态环境局华容分局</w:t>
            </w:r>
            <w:r>
              <w:rPr>
                <w:rFonts w:hint="eastAsia" w:ascii="仿宋" w:hAnsi="仿宋" w:eastAsia="仿宋" w:cs="仿宋"/>
                <w:b w:val="0"/>
                <w:bCs w:val="0"/>
                <w:color w:val="auto"/>
                <w:sz w:val="24"/>
                <w:szCs w:val="24"/>
              </w:rPr>
              <w:t>参与</w:t>
            </w:r>
          </w:p>
        </w:tc>
        <w:tc>
          <w:tcPr>
            <w:tcW w:w="1672" w:type="dxa"/>
            <w:vMerge w:val="continue"/>
            <w:vAlign w:val="center"/>
          </w:tcPr>
          <w:p>
            <w:pPr>
              <w:keepNext w:val="0"/>
              <w:keepLines w:val="0"/>
              <w:pageBreakBefore w:val="0"/>
              <w:widowControl w:val="0"/>
              <w:kinsoku/>
              <w:wordWrap/>
              <w:overflowPunct/>
              <w:topLinePunct w:val="0"/>
              <w:autoSpaceDE/>
              <w:autoSpaceDN/>
              <w:bidi w:val="0"/>
              <w:spacing w:after="0" w:line="320" w:lineRule="exact"/>
              <w:jc w:val="center"/>
              <w:textAlignment w:val="auto"/>
              <w:rPr>
                <w:rFonts w:hint="eastAsia" w:ascii="仿宋" w:hAnsi="仿宋" w:eastAsia="仿宋" w:cs="仿宋"/>
                <w:b/>
                <w:bCs/>
                <w:color w:val="auto"/>
                <w:sz w:val="24"/>
                <w:szCs w:val="24"/>
                <w:lang w:eastAsia="zh-CN"/>
              </w:rPr>
            </w:pPr>
          </w:p>
        </w:tc>
      </w:tr>
    </w:tbl>
    <w:p>
      <w:pPr>
        <w:pStyle w:val="37"/>
        <w:spacing w:line="548" w:lineRule="exact"/>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表5.1</w:t>
      </w:r>
      <w:r>
        <w:rPr>
          <w:rFonts w:hint="eastAsia" w:ascii="仿宋_GB2312" w:hAnsi="仿宋" w:eastAsia="仿宋_GB2312"/>
          <w:sz w:val="32"/>
          <w:szCs w:val="32"/>
          <w:lang w:val="en-US" w:eastAsia="zh-CN"/>
        </w:rPr>
        <w:t xml:space="preserve">          </w:t>
      </w:r>
    </w:p>
    <w:p>
      <w:pPr>
        <w:pStyle w:val="37"/>
        <w:spacing w:line="548" w:lineRule="exact"/>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2020年前上级交办未销号突出环境问题整改责任分解表</w:t>
      </w:r>
    </w:p>
    <w:tbl>
      <w:tblPr>
        <w:tblStyle w:val="17"/>
        <w:tblW w:w="14265"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5540"/>
        <w:gridCol w:w="3430"/>
        <w:gridCol w:w="830"/>
        <w:gridCol w:w="1682"/>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998" w:type="dxa"/>
            <w:vAlign w:val="center"/>
          </w:tcPr>
          <w:p>
            <w:pPr>
              <w:widowControl/>
              <w:spacing w:line="310" w:lineRule="exact"/>
              <w:jc w:val="center"/>
              <w:textAlignment w:val="center"/>
              <w:rPr>
                <w:rFonts w:hint="default"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问题</w:t>
            </w:r>
            <w:r>
              <w:rPr>
                <w:rFonts w:hint="eastAsia" w:ascii="黑体" w:hAnsi="宋体" w:eastAsia="黑体" w:cs="黑体"/>
                <w:color w:val="000000"/>
                <w:kern w:val="0"/>
                <w:sz w:val="21"/>
                <w:szCs w:val="21"/>
                <w:lang w:val="en-US" w:eastAsia="zh-CN"/>
              </w:rPr>
              <w:br w:type="textWrapping"/>
            </w:r>
            <w:r>
              <w:rPr>
                <w:rFonts w:hint="eastAsia" w:ascii="黑体" w:hAnsi="宋体" w:eastAsia="黑体" w:cs="黑体"/>
                <w:color w:val="000000"/>
                <w:kern w:val="0"/>
                <w:sz w:val="21"/>
                <w:szCs w:val="21"/>
                <w:lang w:val="en-US" w:eastAsia="zh-CN"/>
              </w:rPr>
              <w:t>来源</w:t>
            </w:r>
          </w:p>
        </w:tc>
        <w:tc>
          <w:tcPr>
            <w:tcW w:w="5540" w:type="dxa"/>
            <w:vAlign w:val="center"/>
          </w:tcPr>
          <w:p>
            <w:pPr>
              <w:widowControl/>
              <w:spacing w:line="310" w:lineRule="exact"/>
              <w:jc w:val="center"/>
              <w:textAlignment w:val="center"/>
              <w:rPr>
                <w:rFonts w:hint="default"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具体问题</w:t>
            </w:r>
          </w:p>
        </w:tc>
        <w:tc>
          <w:tcPr>
            <w:tcW w:w="3430" w:type="dxa"/>
            <w:vAlign w:val="center"/>
          </w:tcPr>
          <w:p>
            <w:pPr>
              <w:widowControl/>
              <w:spacing w:line="310" w:lineRule="exact"/>
              <w:jc w:val="center"/>
              <w:textAlignment w:val="center"/>
              <w:rPr>
                <w:rFonts w:hint="default"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整改措施</w:t>
            </w:r>
          </w:p>
        </w:tc>
        <w:tc>
          <w:tcPr>
            <w:tcW w:w="830" w:type="dxa"/>
            <w:vAlign w:val="center"/>
          </w:tcPr>
          <w:p>
            <w:pPr>
              <w:widowControl/>
              <w:spacing w:line="310" w:lineRule="exact"/>
              <w:jc w:val="center"/>
              <w:textAlignment w:val="center"/>
              <w:rPr>
                <w:rFonts w:hint="eastAsia"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完成</w:t>
            </w:r>
          </w:p>
          <w:p>
            <w:pPr>
              <w:widowControl/>
              <w:spacing w:line="310" w:lineRule="exact"/>
              <w:jc w:val="center"/>
              <w:textAlignment w:val="center"/>
              <w:rPr>
                <w:rFonts w:hint="default"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时限</w:t>
            </w:r>
          </w:p>
        </w:tc>
        <w:tc>
          <w:tcPr>
            <w:tcW w:w="1682" w:type="dxa"/>
            <w:vAlign w:val="center"/>
          </w:tcPr>
          <w:p>
            <w:pPr>
              <w:widowControl/>
              <w:spacing w:line="310" w:lineRule="exact"/>
              <w:jc w:val="center"/>
              <w:textAlignment w:val="center"/>
              <w:rPr>
                <w:rFonts w:hint="default"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责任单位</w:t>
            </w:r>
          </w:p>
        </w:tc>
        <w:tc>
          <w:tcPr>
            <w:tcW w:w="1785" w:type="dxa"/>
            <w:vAlign w:val="center"/>
          </w:tcPr>
          <w:p>
            <w:pPr>
              <w:widowControl/>
              <w:spacing w:line="310" w:lineRule="exact"/>
              <w:jc w:val="center"/>
              <w:textAlignment w:val="center"/>
              <w:rPr>
                <w:rFonts w:hint="default" w:ascii="黑体" w:hAnsi="宋体" w:eastAsia="黑体" w:cs="黑体"/>
                <w:color w:val="000000"/>
                <w:kern w:val="0"/>
                <w:sz w:val="21"/>
                <w:szCs w:val="21"/>
                <w:lang w:val="en-US" w:eastAsia="zh-CN"/>
              </w:rPr>
            </w:pPr>
            <w:r>
              <w:rPr>
                <w:rFonts w:hint="eastAsia" w:ascii="黑体" w:hAnsi="黑体" w:eastAsia="黑体" w:cs="黑体"/>
                <w:bCs/>
                <w:color w:val="000000"/>
                <w:kern w:val="0"/>
                <w:sz w:val="21"/>
                <w:szCs w:val="21"/>
              </w:rPr>
              <w:t>督办</w:t>
            </w:r>
            <w:r>
              <w:rPr>
                <w:rFonts w:hint="eastAsia" w:ascii="黑体" w:hAnsi="黑体" w:eastAsia="黑体" w:cs="黑体"/>
                <w:bCs/>
                <w:color w:val="000000"/>
                <w:kern w:val="0"/>
                <w:sz w:val="21"/>
                <w:szCs w:val="21"/>
                <w:lang w:eastAsia="zh-CN"/>
              </w:rPr>
              <w:t>县</w:t>
            </w:r>
            <w:r>
              <w:rPr>
                <w:rFonts w:hint="eastAsia" w:ascii="黑体" w:hAnsi="黑体" w:eastAsia="黑体" w:cs="黑体"/>
                <w:bCs/>
                <w:color w:val="000000"/>
                <w:kern w:val="0"/>
                <w:sz w:val="21"/>
                <w:szCs w:val="21"/>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trPr>
        <w:tc>
          <w:tcPr>
            <w:tcW w:w="998"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i w:val="0"/>
                <w:iCs w:val="0"/>
                <w:color w:val="000000"/>
                <w:kern w:val="0"/>
                <w:sz w:val="21"/>
                <w:szCs w:val="21"/>
                <w:u w:val="none"/>
                <w:lang w:val="en-US" w:eastAsia="zh-CN" w:bidi="ar"/>
              </w:rPr>
              <w:t>省生态环境保护督察反馈问题</w:t>
            </w:r>
          </w:p>
        </w:tc>
        <w:tc>
          <w:tcPr>
            <w:tcW w:w="554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内湖污染问题依旧突出。各内湖水质呈现富营养化甚至演变为黑臭水体。城区外湖泊多数外包进行水产养殖，水质恶化严重，大部分湖泊为Ⅳ类水质，部分甚至为Ⅴ类或劣Ⅴ类水质。</w:t>
            </w:r>
          </w:p>
        </w:tc>
        <w:tc>
          <w:tcPr>
            <w:tcW w:w="34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2021年12月31日前完成华容县东湖消除劣V类水质目标。</w:t>
            </w:r>
          </w:p>
        </w:tc>
        <w:tc>
          <w:tcPr>
            <w:tcW w:w="830"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2021年12月31日</w:t>
            </w:r>
          </w:p>
        </w:tc>
        <w:tc>
          <w:tcPr>
            <w:tcW w:w="1682"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center"/>
              <w:rPr>
                <w:rFonts w:hint="eastAsia"/>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400" w:lineRule="exact"/>
              <w:jc w:val="both"/>
              <w:textAlignment w:val="center"/>
              <w:rPr>
                <w:rFonts w:hint="eastAsia"/>
                <w:sz w:val="21"/>
                <w:szCs w:val="21"/>
                <w:lang w:val="en-US" w:eastAsia="zh-CN"/>
              </w:rPr>
            </w:pPr>
            <w:r>
              <w:rPr>
                <w:rFonts w:hint="eastAsia"/>
                <w:sz w:val="21"/>
                <w:szCs w:val="21"/>
                <w:lang w:val="en-US" w:eastAsia="zh-CN"/>
              </w:rPr>
              <w:t>县农业农村局</w:t>
            </w:r>
          </w:p>
          <w:p>
            <w:pPr>
              <w:pStyle w:val="2"/>
              <w:ind w:left="0" w:leftChars="0" w:firstLine="210" w:firstLineChars="100"/>
              <w:rPr>
                <w:rFonts w:hint="eastAsia"/>
                <w:sz w:val="21"/>
                <w:szCs w:val="21"/>
                <w:lang w:val="en-US" w:eastAsia="zh-CN"/>
              </w:rPr>
            </w:pPr>
            <w:r>
              <w:rPr>
                <w:rFonts w:hint="eastAsia"/>
                <w:sz w:val="21"/>
                <w:szCs w:val="21"/>
                <w:lang w:val="en-US" w:eastAsia="zh-CN"/>
              </w:rPr>
              <w:t>相关乡镇</w:t>
            </w:r>
          </w:p>
        </w:tc>
        <w:tc>
          <w:tcPr>
            <w:tcW w:w="1785" w:type="dxa"/>
            <w:vAlign w:val="center"/>
          </w:tcPr>
          <w:p>
            <w:pPr>
              <w:pStyle w:val="37"/>
              <w:keepNext w:val="0"/>
              <w:keepLines w:val="0"/>
              <w:pageBreakBefore w:val="0"/>
              <w:kinsoku/>
              <w:wordWrap/>
              <w:overflowPunct/>
              <w:topLinePunct w:val="0"/>
              <w:autoSpaceDE/>
              <w:autoSpaceDN/>
              <w:bidi w:val="0"/>
              <w:adjustRightInd w:val="0"/>
              <w:snapToGrid w:val="0"/>
              <w:spacing w:line="40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kern w:val="0"/>
                <w:sz w:val="21"/>
                <w:szCs w:val="21"/>
                <w:lang w:val="en-US" w:eastAsia="zh-CN" w:bidi="ar-SA"/>
              </w:rPr>
              <w:t>黄建明</w:t>
            </w:r>
          </w:p>
          <w:p>
            <w:pPr>
              <w:pStyle w:val="37"/>
              <w:keepNext w:val="0"/>
              <w:keepLines w:val="0"/>
              <w:pageBreakBefore w:val="0"/>
              <w:kinsoku/>
              <w:wordWrap/>
              <w:overflowPunct/>
              <w:topLinePunct w:val="0"/>
              <w:autoSpaceDE/>
              <w:autoSpaceDN/>
              <w:bidi w:val="0"/>
              <w:adjustRightInd w:val="0"/>
              <w:snapToGrid w:val="0"/>
              <w:spacing w:line="400" w:lineRule="exact"/>
              <w:jc w:val="center"/>
              <w:rPr>
                <w:rFonts w:hint="eastAsia" w:ascii="仿宋_GB2312" w:hAnsi="仿宋_GB2312" w:eastAsia="仿宋_GB2312" w:cs="仿宋_GB2312"/>
                <w:color w:val="000000"/>
                <w:kern w:val="0"/>
                <w:sz w:val="21"/>
                <w:szCs w:val="21"/>
                <w:lang w:val="en-US" w:eastAsia="zh-CN" w:bidi="ar-SA"/>
              </w:rPr>
            </w:pPr>
          </w:p>
        </w:tc>
      </w:tr>
    </w:tbl>
    <w:p>
      <w:pPr>
        <w:pStyle w:val="37"/>
        <w:spacing w:line="548" w:lineRule="exact"/>
        <w:rPr>
          <w:rFonts w:hint="eastAsia" w:ascii="仿宋_GB2312" w:hAnsi="仿宋" w:eastAsia="仿宋_GB2312"/>
          <w:sz w:val="32"/>
          <w:szCs w:val="32"/>
          <w:lang w:val="en-US" w:eastAsia="zh-CN"/>
        </w:rPr>
      </w:pPr>
    </w:p>
    <w:p>
      <w:pPr>
        <w:pStyle w:val="37"/>
        <w:spacing w:line="548" w:lineRule="exac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附表5.2</w:t>
      </w:r>
    </w:p>
    <w:p>
      <w:pPr>
        <w:pStyle w:val="37"/>
        <w:spacing w:line="548" w:lineRule="exact"/>
        <w:jc w:val="center"/>
        <w:rPr>
          <w:rFonts w:hint="eastAsia" w:ascii="宋体" w:hAnsi="宋体" w:eastAsia="宋体" w:cs="宋体"/>
          <w:b/>
          <w:bCs/>
          <w:kern w:val="2"/>
          <w:sz w:val="36"/>
          <w:szCs w:val="36"/>
          <w:lang w:val="en-US" w:eastAsia="zh-CN" w:bidi="ar-SA"/>
        </w:rPr>
      </w:pPr>
      <w:r>
        <w:rPr>
          <w:rFonts w:hint="eastAsia" w:ascii="方正小标宋简体" w:hAnsi="方正小标宋简体" w:eastAsia="方正小标宋简体" w:cs="方正小标宋简体"/>
          <w:b w:val="0"/>
          <w:bCs w:val="0"/>
          <w:sz w:val="40"/>
          <w:szCs w:val="40"/>
          <w:lang w:val="en-US" w:eastAsia="zh-CN"/>
        </w:rPr>
        <w:t>第二轮中央环保督察转办信访举报件办理责任分解表</w:t>
      </w:r>
    </w:p>
    <w:tbl>
      <w:tblPr>
        <w:tblStyle w:val="17"/>
        <w:tblW w:w="14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8"/>
        <w:gridCol w:w="3427"/>
        <w:gridCol w:w="255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8" w:type="dxa"/>
            <w:vAlign w:val="top"/>
          </w:tcPr>
          <w:p>
            <w:pPr>
              <w:pStyle w:val="37"/>
              <w:spacing w:line="548" w:lineRule="exact"/>
              <w:jc w:val="center"/>
              <w:rPr>
                <w:rFonts w:hint="default" w:ascii="黑体" w:hAnsi="宋体" w:eastAsia="黑体" w:cs="黑体"/>
                <w:color w:val="000000"/>
                <w:kern w:val="0"/>
                <w:sz w:val="21"/>
                <w:szCs w:val="21"/>
                <w:lang w:val="en-US" w:eastAsia="zh-CN" w:bidi="ar-SA"/>
              </w:rPr>
            </w:pPr>
            <w:r>
              <w:rPr>
                <w:rFonts w:hint="eastAsia" w:ascii="黑体" w:hAnsi="宋体" w:eastAsia="黑体" w:cs="黑体"/>
                <w:color w:val="000000"/>
                <w:kern w:val="0"/>
                <w:sz w:val="21"/>
                <w:szCs w:val="21"/>
                <w:lang w:val="en-US" w:eastAsia="zh-CN" w:bidi="ar-SA"/>
              </w:rPr>
              <w:t>整改内容</w:t>
            </w:r>
          </w:p>
        </w:tc>
        <w:tc>
          <w:tcPr>
            <w:tcW w:w="3427" w:type="dxa"/>
            <w:vAlign w:val="top"/>
          </w:tcPr>
          <w:p>
            <w:pPr>
              <w:pStyle w:val="37"/>
              <w:spacing w:line="548" w:lineRule="exact"/>
              <w:jc w:val="center"/>
              <w:rPr>
                <w:rFonts w:hint="default" w:ascii="黑体" w:hAnsi="宋体" w:eastAsia="黑体" w:cs="黑体"/>
                <w:color w:val="000000"/>
                <w:kern w:val="0"/>
                <w:sz w:val="21"/>
                <w:szCs w:val="21"/>
                <w:lang w:val="en-US" w:eastAsia="zh-CN" w:bidi="ar-SA"/>
              </w:rPr>
            </w:pPr>
            <w:r>
              <w:rPr>
                <w:rFonts w:hint="eastAsia" w:ascii="黑体" w:hAnsi="宋体" w:eastAsia="黑体" w:cs="黑体"/>
                <w:color w:val="000000"/>
                <w:kern w:val="0"/>
                <w:sz w:val="21"/>
                <w:szCs w:val="21"/>
                <w:lang w:val="en-US" w:eastAsia="zh-CN" w:bidi="ar-SA"/>
              </w:rPr>
              <w:t>整改目标</w:t>
            </w:r>
          </w:p>
        </w:tc>
        <w:tc>
          <w:tcPr>
            <w:tcW w:w="2550" w:type="dxa"/>
            <w:vAlign w:val="top"/>
          </w:tcPr>
          <w:p>
            <w:pPr>
              <w:pStyle w:val="37"/>
              <w:spacing w:line="548" w:lineRule="exact"/>
              <w:jc w:val="center"/>
              <w:rPr>
                <w:rFonts w:hint="default" w:ascii="黑体" w:hAnsi="宋体" w:eastAsia="黑体" w:cs="黑体"/>
                <w:color w:val="000000"/>
                <w:kern w:val="0"/>
                <w:sz w:val="21"/>
                <w:szCs w:val="21"/>
                <w:lang w:val="en-US" w:eastAsia="zh-CN" w:bidi="ar-SA"/>
              </w:rPr>
            </w:pPr>
            <w:r>
              <w:rPr>
                <w:rFonts w:hint="eastAsia" w:ascii="黑体" w:hAnsi="宋体" w:eastAsia="黑体" w:cs="黑体"/>
                <w:color w:val="000000"/>
                <w:kern w:val="0"/>
                <w:sz w:val="21"/>
                <w:szCs w:val="21"/>
                <w:lang w:val="en-US" w:eastAsia="zh-CN" w:bidi="ar-SA"/>
              </w:rPr>
              <w:t>责任单位</w:t>
            </w:r>
          </w:p>
        </w:tc>
        <w:tc>
          <w:tcPr>
            <w:tcW w:w="1605" w:type="dxa"/>
            <w:vAlign w:val="top"/>
          </w:tcPr>
          <w:p>
            <w:pPr>
              <w:pStyle w:val="37"/>
              <w:spacing w:line="548" w:lineRule="exact"/>
              <w:jc w:val="center"/>
              <w:rPr>
                <w:rFonts w:hint="default" w:ascii="黑体" w:hAnsi="宋体" w:eastAsia="黑体" w:cs="黑体"/>
                <w:color w:val="000000"/>
                <w:kern w:val="0"/>
                <w:sz w:val="21"/>
                <w:szCs w:val="21"/>
                <w:lang w:val="en-US" w:eastAsia="zh-CN" w:bidi="ar-SA"/>
              </w:rPr>
            </w:pPr>
            <w:r>
              <w:rPr>
                <w:rFonts w:hint="eastAsia" w:ascii="黑体" w:hAnsi="宋体" w:eastAsia="黑体" w:cs="黑体"/>
                <w:color w:val="000000"/>
                <w:kern w:val="0"/>
                <w:sz w:val="21"/>
                <w:szCs w:val="21"/>
                <w:lang w:val="en-US" w:eastAsia="zh-CN" w:bidi="ar-SA"/>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trPr>
        <w:tc>
          <w:tcPr>
            <w:tcW w:w="6668" w:type="dxa"/>
            <w:vAlign w:val="center"/>
          </w:tcPr>
          <w:p>
            <w:pPr>
              <w:pStyle w:val="3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小标宋简体" w:hAnsi="方正小标宋简体" w:eastAsia="方正小标宋简体" w:cs="方正小标宋简体"/>
                <w:kern w:val="2"/>
                <w:sz w:val="21"/>
                <w:szCs w:val="21"/>
                <w:vertAlign w:val="baseli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岳阳共接到中央第六环保督察组交办信访举报件32批次242件，华容县25件，重点件3.5件。</w:t>
            </w:r>
          </w:p>
        </w:tc>
        <w:tc>
          <w:tcPr>
            <w:tcW w:w="3427" w:type="dxa"/>
            <w:vAlign w:val="center"/>
          </w:tcPr>
          <w:p>
            <w:pPr>
              <w:pStyle w:val="37"/>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达到举报问题调查清楚、违法问题得到查处，违法行为得到纠正、责任追究落实到位、案件信息得到公开五条标准，按程序办结。</w:t>
            </w:r>
          </w:p>
        </w:tc>
        <w:tc>
          <w:tcPr>
            <w:tcW w:w="2550" w:type="dxa"/>
            <w:vAlign w:val="center"/>
          </w:tcPr>
          <w:p>
            <w:pPr>
              <w:pStyle w:val="37"/>
              <w:spacing w:line="548" w:lineRule="exact"/>
              <w:jc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市生态环境局华容分局</w:t>
            </w:r>
          </w:p>
          <w:p>
            <w:pPr>
              <w:pStyle w:val="37"/>
              <w:spacing w:line="548" w:lineRule="exact"/>
              <w:jc w:val="center"/>
              <w:rPr>
                <w:rFonts w:hint="default"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各相关单位</w:t>
            </w:r>
          </w:p>
        </w:tc>
        <w:tc>
          <w:tcPr>
            <w:tcW w:w="1605" w:type="dxa"/>
            <w:vAlign w:val="center"/>
          </w:tcPr>
          <w:p>
            <w:pPr>
              <w:pStyle w:val="37"/>
              <w:spacing w:line="548" w:lineRule="exact"/>
              <w:jc w:val="center"/>
              <w:rPr>
                <w:rFonts w:hint="default" w:ascii="方正小标宋简体" w:hAnsi="方正小标宋简体" w:eastAsia="方正小标宋简体" w:cs="方正小标宋简体"/>
                <w:kern w:val="2"/>
                <w:sz w:val="21"/>
                <w:szCs w:val="21"/>
                <w:vertAlign w:val="baseline"/>
                <w:lang w:val="en-US" w:eastAsia="zh-CN" w:bidi="ar-SA"/>
              </w:rPr>
            </w:pPr>
          </w:p>
        </w:tc>
      </w:tr>
    </w:tbl>
    <w:p>
      <w:pPr>
        <w:spacing w:after="312" w:afterLines="100" w:line="600" w:lineRule="exact"/>
        <w:jc w:val="both"/>
        <w:rPr>
          <w:rFonts w:hint="eastAsia" w:ascii="仿宋_GB2312" w:hAnsi="仿宋_GB2312" w:eastAsia="仿宋_GB2312" w:cs="仿宋_GB2312"/>
          <w:sz w:val="32"/>
          <w:szCs w:val="32"/>
          <w:lang w:val="en-US" w:eastAsia="zh-CN"/>
        </w:rPr>
      </w:pPr>
      <w:bookmarkStart w:id="0" w:name="_Hlk61621408"/>
      <w:r>
        <w:rPr>
          <w:rFonts w:hint="eastAsia" w:ascii="仿宋_GB2312" w:hAnsi="仿宋_GB2312" w:eastAsia="仿宋_GB2312" w:cs="仿宋_GB2312"/>
          <w:sz w:val="32"/>
          <w:szCs w:val="32"/>
          <w:lang w:val="en-US" w:eastAsia="zh-CN"/>
        </w:rPr>
        <w:t xml:space="preserve">附件5.3  </w:t>
      </w:r>
    </w:p>
    <w:p>
      <w:pPr>
        <w:spacing w:after="312" w:afterLines="100" w:line="600" w:lineRule="exact"/>
        <w:jc w:val="both"/>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44"/>
          <w:szCs w:val="44"/>
          <w:lang w:val="en-US" w:eastAsia="zh-CN"/>
        </w:rPr>
        <w:t xml:space="preserve">  </w:t>
      </w:r>
      <w:r>
        <w:rPr>
          <w:rFonts w:hint="eastAsia" w:ascii="宋体" w:hAnsi="宋体" w:eastAsia="宋体" w:cs="宋体"/>
          <w:b/>
          <w:bCs/>
          <w:sz w:val="44"/>
          <w:szCs w:val="44"/>
          <w:lang w:val="en-US" w:eastAsia="zh-CN"/>
        </w:rPr>
        <w:t xml:space="preserve">       </w:t>
      </w:r>
      <w:r>
        <w:rPr>
          <w:rFonts w:hint="eastAsia" w:ascii="方正小标宋简体" w:hAnsi="方正小标宋简体" w:eastAsia="方正小标宋简体" w:cs="方正小标宋简体"/>
          <w:b w:val="0"/>
          <w:bCs w:val="0"/>
          <w:kern w:val="2"/>
          <w:sz w:val="40"/>
          <w:szCs w:val="40"/>
          <w:lang w:val="en-US" w:eastAsia="zh-CN" w:bidi="ar-SA"/>
        </w:rPr>
        <w:t>华容县化肥减量数据虚假失真问题整改责任分解表</w:t>
      </w:r>
    </w:p>
    <w:tbl>
      <w:tblPr>
        <w:tblStyle w:val="16"/>
        <w:tblW w:w="1423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707"/>
        <w:gridCol w:w="2231"/>
        <w:gridCol w:w="1649"/>
        <w:gridCol w:w="4790"/>
        <w:gridCol w:w="969"/>
        <w:gridCol w:w="158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blHeader/>
        </w:trPr>
        <w:tc>
          <w:tcPr>
            <w:tcW w:w="684"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序号</w:t>
            </w:r>
          </w:p>
        </w:tc>
        <w:tc>
          <w:tcPr>
            <w:tcW w:w="707"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问题</w:t>
            </w:r>
            <w:r>
              <w:rPr>
                <w:rFonts w:hint="eastAsia" w:ascii="黑体" w:hAnsi="黑体" w:eastAsia="黑体" w:cs="宋体"/>
                <w:b w:val="0"/>
                <w:bCs w:val="0"/>
                <w:color w:val="000000"/>
                <w:kern w:val="0"/>
                <w:sz w:val="21"/>
                <w:szCs w:val="21"/>
              </w:rPr>
              <w:br w:type="textWrapping"/>
            </w:r>
            <w:r>
              <w:rPr>
                <w:rFonts w:hint="eastAsia" w:ascii="黑体" w:hAnsi="黑体" w:eastAsia="黑体" w:cs="宋体"/>
                <w:b w:val="0"/>
                <w:bCs w:val="0"/>
                <w:color w:val="000000"/>
                <w:kern w:val="0"/>
                <w:sz w:val="21"/>
                <w:szCs w:val="21"/>
              </w:rPr>
              <w:t>类型</w:t>
            </w:r>
          </w:p>
        </w:tc>
        <w:tc>
          <w:tcPr>
            <w:tcW w:w="2231"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问题内容</w:t>
            </w:r>
          </w:p>
        </w:tc>
        <w:tc>
          <w:tcPr>
            <w:tcW w:w="1649"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整改目标</w:t>
            </w:r>
          </w:p>
        </w:tc>
        <w:tc>
          <w:tcPr>
            <w:tcW w:w="4790"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整改措施</w:t>
            </w:r>
          </w:p>
        </w:tc>
        <w:tc>
          <w:tcPr>
            <w:tcW w:w="969"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整改完</w:t>
            </w:r>
            <w:r>
              <w:rPr>
                <w:rFonts w:hint="eastAsia" w:ascii="黑体" w:hAnsi="黑体" w:eastAsia="黑体" w:cs="宋体"/>
                <w:b w:val="0"/>
                <w:bCs w:val="0"/>
                <w:color w:val="000000"/>
                <w:kern w:val="0"/>
                <w:sz w:val="21"/>
                <w:szCs w:val="21"/>
              </w:rPr>
              <w:br w:type="textWrapping"/>
            </w:r>
            <w:r>
              <w:rPr>
                <w:rFonts w:hint="eastAsia" w:ascii="黑体" w:hAnsi="黑体" w:eastAsia="黑体" w:cs="宋体"/>
                <w:b w:val="0"/>
                <w:bCs w:val="0"/>
                <w:color w:val="000000"/>
                <w:kern w:val="0"/>
                <w:sz w:val="21"/>
                <w:szCs w:val="21"/>
              </w:rPr>
              <w:t>成时限</w:t>
            </w:r>
          </w:p>
        </w:tc>
        <w:tc>
          <w:tcPr>
            <w:tcW w:w="1585"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牵头单位</w:t>
            </w:r>
          </w:p>
        </w:tc>
        <w:tc>
          <w:tcPr>
            <w:tcW w:w="1620" w:type="dxa"/>
            <w:vAlign w:val="center"/>
          </w:tcPr>
          <w:p>
            <w:pPr>
              <w:widowControl/>
              <w:jc w:val="center"/>
              <w:rPr>
                <w:rFonts w:ascii="黑体" w:hAnsi="黑体" w:eastAsia="黑体" w:cs="宋体"/>
                <w:b w:val="0"/>
                <w:bCs w:val="0"/>
                <w:color w:val="000000"/>
                <w:kern w:val="0"/>
                <w:sz w:val="21"/>
                <w:szCs w:val="21"/>
              </w:rPr>
            </w:pPr>
            <w:r>
              <w:rPr>
                <w:rFonts w:hint="eastAsia" w:ascii="黑体" w:hAnsi="黑体" w:eastAsia="黑体" w:cs="宋体"/>
                <w:b w:val="0"/>
                <w:bCs w:val="0"/>
                <w:color w:val="000000"/>
                <w:kern w:val="0"/>
                <w:sz w:val="21"/>
                <w:szCs w:val="21"/>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4" w:type="dxa"/>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w:t>
            </w:r>
          </w:p>
        </w:tc>
        <w:tc>
          <w:tcPr>
            <w:tcW w:w="707" w:type="dxa"/>
            <w:vAlign w:val="center"/>
          </w:tcPr>
          <w:p>
            <w:pPr>
              <w:widowControl/>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思想认识不到位</w:t>
            </w:r>
          </w:p>
        </w:tc>
        <w:tc>
          <w:tcPr>
            <w:tcW w:w="2231"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党委、政府思想认识不到位，没有深刻理解化肥减量与农业高质量发展的关系，没有深刻认识化肥减量对农业面源污染治理的重要意义，解决洞庭湖区农业面源污染的内生动力不强。落实农业农村污染治理攻坚战不力，化肥减量工作不严不实、敷衍了事、浮于表面。</w:t>
            </w:r>
          </w:p>
        </w:tc>
        <w:tc>
          <w:tcPr>
            <w:tcW w:w="1649"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1.成立整改工作领导专班；</w:t>
            </w:r>
            <w:r>
              <w:rPr>
                <w:rFonts w:hint="eastAsia" w:ascii="仿宋_GB2312" w:hAnsi="宋体" w:eastAsia="仿宋_GB2312" w:cs="宋体"/>
                <w:color w:val="000000"/>
                <w:kern w:val="0"/>
                <w:sz w:val="21"/>
                <w:szCs w:val="21"/>
              </w:rPr>
              <w:br w:type="textWrapping"/>
            </w:r>
            <w:r>
              <w:rPr>
                <w:rFonts w:hint="eastAsia" w:ascii="仿宋_GB2312" w:hAnsi="宋体" w:eastAsia="仿宋_GB2312" w:cs="宋体"/>
                <w:color w:val="000000"/>
                <w:kern w:val="0"/>
                <w:sz w:val="21"/>
                <w:szCs w:val="21"/>
              </w:rPr>
              <w:t>2.制定整改工作方案；</w:t>
            </w:r>
            <w:r>
              <w:rPr>
                <w:rFonts w:hint="eastAsia" w:ascii="仿宋_GB2312" w:hAnsi="宋体" w:eastAsia="仿宋_GB2312" w:cs="宋体"/>
                <w:color w:val="000000"/>
                <w:kern w:val="0"/>
                <w:sz w:val="21"/>
                <w:szCs w:val="21"/>
              </w:rPr>
              <w:br w:type="textWrapping"/>
            </w:r>
            <w:r>
              <w:rPr>
                <w:rFonts w:hint="eastAsia" w:ascii="仿宋_GB2312" w:hAnsi="宋体" w:eastAsia="仿宋_GB2312" w:cs="宋体"/>
                <w:color w:val="000000"/>
                <w:kern w:val="0"/>
                <w:sz w:val="21"/>
                <w:szCs w:val="21"/>
              </w:rPr>
              <w:t>3.设立财政专项资金；</w:t>
            </w:r>
            <w:r>
              <w:rPr>
                <w:rFonts w:hint="eastAsia" w:ascii="仿宋_GB2312" w:hAnsi="宋体" w:eastAsia="仿宋_GB2312" w:cs="宋体"/>
                <w:color w:val="000000"/>
                <w:kern w:val="0"/>
                <w:sz w:val="21"/>
                <w:szCs w:val="21"/>
              </w:rPr>
              <w:br w:type="textWrapping"/>
            </w:r>
            <w:r>
              <w:rPr>
                <w:rFonts w:hint="eastAsia" w:ascii="仿宋_GB2312" w:hAnsi="宋体" w:eastAsia="仿宋_GB2312" w:cs="宋体"/>
                <w:color w:val="000000"/>
                <w:kern w:val="0"/>
                <w:sz w:val="21"/>
                <w:szCs w:val="21"/>
              </w:rPr>
              <w:t>4.建立定期调度机制。</w:t>
            </w:r>
          </w:p>
        </w:tc>
        <w:tc>
          <w:tcPr>
            <w:tcW w:w="4790" w:type="dxa"/>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1.成立</w:t>
            </w:r>
            <w:r>
              <w:rPr>
                <w:rFonts w:hint="eastAsia" w:ascii="仿宋_GB2312" w:hAnsi="宋体" w:eastAsia="仿宋_GB2312" w:cs="宋体"/>
                <w:color w:val="000000"/>
                <w:kern w:val="0"/>
                <w:sz w:val="21"/>
                <w:szCs w:val="21"/>
                <w:lang w:eastAsia="zh-CN"/>
              </w:rPr>
              <w:t>华容县</w:t>
            </w:r>
            <w:r>
              <w:rPr>
                <w:rFonts w:hint="eastAsia" w:ascii="仿宋_GB2312" w:hAnsi="宋体" w:eastAsia="仿宋_GB2312" w:cs="宋体"/>
                <w:color w:val="000000"/>
                <w:kern w:val="0"/>
                <w:sz w:val="21"/>
                <w:szCs w:val="21"/>
              </w:rPr>
              <w:t>化肥减量突出问题整改工作领导小组，制定化肥减量工作措施，明确整改责任单位、责任人和整改时限，实行拉条挂账，对单销号；2.设立化肥减量增效技术推广专项资金，对测土配方施肥、绿肥生产、机械深施肥、秸秆还田、水肥一体化等节肥增效措施的推广进行专项扶持；3.建立中央环保督查问题整改清单，明确整改目标、措施、时限、责任人等台帐，落实专人专班，加强跟踪调度，每月20日前将整改情况上报市化肥减量突出问题整改工作领导小组办公室。</w:t>
            </w:r>
          </w:p>
        </w:tc>
        <w:tc>
          <w:tcPr>
            <w:tcW w:w="969" w:type="dxa"/>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9月底</w:t>
            </w:r>
          </w:p>
        </w:tc>
        <w:tc>
          <w:tcPr>
            <w:tcW w:w="1585" w:type="dxa"/>
            <w:vAlign w:val="center"/>
          </w:tcPr>
          <w:p>
            <w:pPr>
              <w:widowControl/>
              <w:jc w:val="both"/>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华容县</w:t>
            </w:r>
            <w:r>
              <w:rPr>
                <w:rFonts w:hint="eastAsia" w:ascii="仿宋_GB2312" w:hAnsi="宋体" w:eastAsia="仿宋_GB2312" w:cs="宋体"/>
                <w:color w:val="000000"/>
                <w:kern w:val="0"/>
                <w:sz w:val="21"/>
                <w:szCs w:val="21"/>
              </w:rPr>
              <w:t>化肥减量突出问题整改工作领导小组办公室</w:t>
            </w:r>
          </w:p>
        </w:tc>
        <w:tc>
          <w:tcPr>
            <w:tcW w:w="1620" w:type="dxa"/>
            <w:vAlign w:val="center"/>
          </w:tcPr>
          <w:p>
            <w:pPr>
              <w:widowControl/>
              <w:jc w:val="both"/>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财政局、</w:t>
            </w: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统计局、</w:t>
            </w: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atLeast"/>
        </w:trPr>
        <w:tc>
          <w:tcPr>
            <w:tcW w:w="684" w:type="dxa"/>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2</w:t>
            </w:r>
          </w:p>
        </w:tc>
        <w:tc>
          <w:tcPr>
            <w:tcW w:w="707" w:type="dxa"/>
            <w:vAlign w:val="center"/>
          </w:tcPr>
          <w:p>
            <w:pPr>
              <w:widowControl/>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工作部署敷衍了事</w:t>
            </w:r>
          </w:p>
        </w:tc>
        <w:tc>
          <w:tcPr>
            <w:tcW w:w="2231" w:type="dxa"/>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没有按照2019年2月印发的《湖南省农业农村污染治理攻坚战实施方案》，及时制定出台具体实施方案或细则。布置化肥减量年度工作时，也一再降低要求。</w:t>
            </w:r>
          </w:p>
        </w:tc>
        <w:tc>
          <w:tcPr>
            <w:tcW w:w="1649" w:type="dxa"/>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1.制定方案；2.确定化肥减量目标；3.建立基本农田水质监测体系；4.强化考核评价。</w:t>
            </w:r>
          </w:p>
        </w:tc>
        <w:tc>
          <w:tcPr>
            <w:tcW w:w="4790" w:type="dxa"/>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1.制定《</w:t>
            </w:r>
            <w:r>
              <w:rPr>
                <w:rFonts w:hint="eastAsia" w:ascii="仿宋_GB2312" w:hAnsi="宋体" w:eastAsia="仿宋_GB2312" w:cs="宋体"/>
                <w:color w:val="000000"/>
                <w:kern w:val="0"/>
                <w:sz w:val="21"/>
                <w:szCs w:val="21"/>
                <w:lang w:eastAsia="zh-CN"/>
              </w:rPr>
              <w:t>华容县</w:t>
            </w:r>
            <w:r>
              <w:rPr>
                <w:rFonts w:hint="eastAsia" w:ascii="仿宋_GB2312" w:hAnsi="宋体" w:eastAsia="仿宋_GB2312" w:cs="宋体"/>
                <w:color w:val="000000"/>
                <w:kern w:val="0"/>
                <w:sz w:val="21"/>
                <w:szCs w:val="21"/>
              </w:rPr>
              <w:t>2021年农业农村污染防治攻坚战实施方案》；2.县农业农村部门出台“十四五”化肥减量增效工作方案；</w:t>
            </w:r>
            <w:r>
              <w:rPr>
                <w:rFonts w:hint="eastAsia" w:ascii="仿宋_GB2312" w:hAnsi="宋体" w:cs="宋体"/>
                <w:color w:val="000000"/>
                <w:kern w:val="0"/>
                <w:sz w:val="21"/>
                <w:szCs w:val="21"/>
                <w:lang w:val="en-US" w:eastAsia="zh-CN"/>
              </w:rPr>
              <w:t>3</w:t>
            </w:r>
            <w:r>
              <w:rPr>
                <w:rFonts w:hint="eastAsia" w:ascii="仿宋_GB2312" w:hAnsi="宋体" w:eastAsia="仿宋_GB2312" w:cs="宋体"/>
                <w:color w:val="000000"/>
                <w:kern w:val="0"/>
                <w:sz w:val="21"/>
                <w:szCs w:val="21"/>
              </w:rPr>
              <w:t>.把化肥减量增效工作纳入2021年粮食生产目标管理绩效考核、乡村振兴战略实绩考核和落实粮食安全省长责任制考核中。</w:t>
            </w:r>
          </w:p>
        </w:tc>
        <w:tc>
          <w:tcPr>
            <w:tcW w:w="969" w:type="dxa"/>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6月底</w:t>
            </w:r>
          </w:p>
        </w:tc>
        <w:tc>
          <w:tcPr>
            <w:tcW w:w="1585" w:type="dxa"/>
            <w:vAlign w:val="center"/>
          </w:tcPr>
          <w:p>
            <w:pPr>
              <w:widowControl/>
              <w:jc w:val="both"/>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农业农村局</w:t>
            </w:r>
          </w:p>
        </w:tc>
        <w:tc>
          <w:tcPr>
            <w:tcW w:w="1620" w:type="dxa"/>
            <w:vAlign w:val="center"/>
          </w:tcPr>
          <w:p>
            <w:pPr>
              <w:widowControl/>
              <w:jc w:val="both"/>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委督查室</w:t>
            </w:r>
            <w:r>
              <w:rPr>
                <w:rFonts w:hint="eastAsia" w:ascii="仿宋_GB2312" w:hAnsi="宋体" w:eastAsia="仿宋_GB2312" w:cs="宋体"/>
                <w:color w:val="000000"/>
                <w:kern w:val="0"/>
                <w:sz w:val="21"/>
                <w:szCs w:val="21"/>
                <w:lang w:eastAsia="zh-CN"/>
              </w:rPr>
              <w:t>、县政府督查室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4" w:type="dxa"/>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3</w:t>
            </w:r>
          </w:p>
        </w:tc>
        <w:tc>
          <w:tcPr>
            <w:tcW w:w="707" w:type="dxa"/>
            <w:vMerge w:val="restart"/>
            <w:vAlign w:val="center"/>
          </w:tcPr>
          <w:p>
            <w:pPr>
              <w:widowControl/>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工作推进不严不实</w:t>
            </w:r>
          </w:p>
        </w:tc>
        <w:tc>
          <w:tcPr>
            <w:tcW w:w="2231" w:type="dxa"/>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测土配方施肥“偷工减料”。本该先测土，再配方，再施肥，而农业农村部门普遍默认市场流通的复合肥即为配方肥，鲜有开展按需配方工作。</w:t>
            </w:r>
          </w:p>
        </w:tc>
        <w:tc>
          <w:tcPr>
            <w:tcW w:w="1649" w:type="dxa"/>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1.完成土样抽样检测；</w:t>
            </w:r>
            <w:r>
              <w:rPr>
                <w:rFonts w:hint="eastAsia" w:ascii="仿宋_GB2312" w:hAnsi="宋体" w:eastAsia="仿宋_GB2312" w:cs="宋体"/>
                <w:color w:val="000000"/>
                <w:kern w:val="0"/>
                <w:sz w:val="21"/>
                <w:szCs w:val="21"/>
              </w:rPr>
              <w:br w:type="textWrapping"/>
            </w:r>
            <w:r>
              <w:rPr>
                <w:rFonts w:hint="eastAsia" w:ascii="仿宋_GB2312" w:hAnsi="宋体" w:eastAsia="仿宋_GB2312" w:cs="宋体"/>
                <w:color w:val="000000"/>
                <w:kern w:val="0"/>
                <w:sz w:val="21"/>
                <w:szCs w:val="21"/>
              </w:rPr>
              <w:t>2.指导科学施肥；3.建立调查调度评估机制。</w:t>
            </w:r>
          </w:p>
        </w:tc>
        <w:tc>
          <w:tcPr>
            <w:tcW w:w="4790" w:type="dxa"/>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按照《测土配方施肥技术规程》，严格落实先测土、后配方、再施肥的要求。每1500亩耕地提取1个土壤样方，2021年完成土样抽样检测；2.每年根据上年的土壤化验、田间肥效试验、农户施肥情况调查等数据，进行研究分析，分区域、分作物调整施肥配方，优化施肥方案，及时发布主要农作物科学施肥指导意见与施肥配方；3.深化农企合作，引导肥料生产企业按方生产，经销商按区域销售，农民按方施肥；4.建立农户施肥调查和配方施肥满意度回访制度。</w:t>
            </w:r>
          </w:p>
        </w:tc>
        <w:tc>
          <w:tcPr>
            <w:tcW w:w="969" w:type="dxa"/>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12月底</w:t>
            </w:r>
          </w:p>
        </w:tc>
        <w:tc>
          <w:tcPr>
            <w:tcW w:w="1585" w:type="dxa"/>
            <w:vAlign w:val="center"/>
          </w:tcPr>
          <w:p>
            <w:pPr>
              <w:widowControl/>
              <w:jc w:val="both"/>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农业农村局</w:t>
            </w:r>
          </w:p>
        </w:tc>
        <w:tc>
          <w:tcPr>
            <w:tcW w:w="1620" w:type="dxa"/>
            <w:vAlign w:val="center"/>
          </w:tcPr>
          <w:p>
            <w:pPr>
              <w:widowControl/>
              <w:jc w:val="both"/>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供销社、</w:t>
            </w: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农业综合技术推广站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4" w:type="dxa"/>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4</w:t>
            </w:r>
          </w:p>
        </w:tc>
        <w:tc>
          <w:tcPr>
            <w:tcW w:w="707" w:type="dxa"/>
            <w:vMerge w:val="continue"/>
            <w:vAlign w:val="center"/>
          </w:tcPr>
          <w:p>
            <w:pPr>
              <w:widowControl/>
              <w:jc w:val="left"/>
              <w:rPr>
                <w:rFonts w:ascii="仿宋_GB2312" w:hAnsi="宋体" w:eastAsia="仿宋_GB2312" w:cs="宋体"/>
                <w:b/>
                <w:bCs/>
                <w:color w:val="000000"/>
                <w:kern w:val="0"/>
                <w:sz w:val="21"/>
                <w:szCs w:val="21"/>
              </w:rPr>
            </w:pPr>
          </w:p>
        </w:tc>
        <w:tc>
          <w:tcPr>
            <w:tcW w:w="2231" w:type="dxa"/>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施用商品有机肥“滥竽充数”，减肥增效技术措施推广不严不实。</w:t>
            </w:r>
          </w:p>
        </w:tc>
        <w:tc>
          <w:tcPr>
            <w:tcW w:w="1649" w:type="dxa"/>
            <w:vAlign w:val="center"/>
          </w:tcPr>
          <w:p>
            <w:pPr>
              <w:widowControl/>
              <w:numPr>
                <w:ilvl w:val="0"/>
                <w:numId w:val="2"/>
              </w:numPr>
              <w:jc w:val="left"/>
              <w:rPr>
                <w:rFonts w:ascii="仿宋_GB2312" w:hAnsi="宋体" w:eastAsia="仿宋_GB2312" w:cs="宋体"/>
                <w:color w:val="000000"/>
                <w:kern w:val="0"/>
                <w:sz w:val="21"/>
                <w:szCs w:val="21"/>
              </w:rPr>
            </w:pPr>
            <w:r>
              <w:rPr>
                <w:rFonts w:hint="eastAsia" w:ascii="仿宋_GB2312" w:hAnsi="宋体" w:eastAsia="仿宋_GB2312" w:cs="宋体"/>
                <w:kern w:val="0"/>
                <w:sz w:val="21"/>
                <w:szCs w:val="21"/>
              </w:rPr>
              <w:t>到2025年，稻田绿色过冬面积达到50%以上；</w:t>
            </w:r>
            <w:r>
              <w:rPr>
                <w:rFonts w:hint="eastAsia" w:ascii="仿宋_GB2312" w:hAnsi="宋体" w:eastAsia="仿宋_GB2312" w:cs="宋体"/>
                <w:color w:val="000000"/>
                <w:kern w:val="0"/>
                <w:sz w:val="21"/>
                <w:szCs w:val="21"/>
              </w:rPr>
              <w:t>2.有机肥替代化肥每年按5%递增。</w:t>
            </w:r>
          </w:p>
        </w:tc>
        <w:tc>
          <w:tcPr>
            <w:tcW w:w="4790" w:type="dxa"/>
            <w:vAlign w:val="center"/>
          </w:tcPr>
          <w:p>
            <w:pPr>
              <w:widowControl/>
              <w:jc w:val="left"/>
              <w:rPr>
                <w:rFonts w:ascii="仿宋_GB2312" w:hAnsi="宋体" w:eastAsia="仿宋_GB2312" w:cs="宋体"/>
                <w:kern w:val="0"/>
                <w:sz w:val="21"/>
                <w:szCs w:val="21"/>
              </w:rPr>
            </w:pPr>
            <w:r>
              <w:rPr>
                <w:rFonts w:hint="eastAsia" w:ascii="仿宋_GB2312" w:hAnsi="宋体" w:eastAsia="仿宋_GB2312" w:cs="宋体"/>
                <w:kern w:val="0"/>
                <w:sz w:val="21"/>
                <w:szCs w:val="21"/>
              </w:rPr>
              <w:t>1.推进绿肥生产。</w:t>
            </w:r>
            <w:r>
              <w:rPr>
                <w:rFonts w:hint="eastAsia" w:ascii="仿宋_GB2312" w:hAnsi="宋体" w:eastAsia="仿宋_GB2312" w:cs="宋体"/>
                <w:kern w:val="0"/>
                <w:sz w:val="21"/>
                <w:szCs w:val="21"/>
                <w:lang w:eastAsia="zh-CN"/>
              </w:rPr>
              <w:t>完成</w:t>
            </w:r>
            <w:r>
              <w:rPr>
                <w:rFonts w:hint="eastAsia" w:ascii="仿宋_GB2312" w:hAnsi="宋体" w:eastAsia="仿宋_GB2312" w:cs="宋体"/>
                <w:kern w:val="0"/>
                <w:sz w:val="21"/>
                <w:szCs w:val="21"/>
              </w:rPr>
              <w:t>全</w:t>
            </w:r>
            <w:r>
              <w:rPr>
                <w:rFonts w:hint="eastAsia" w:ascii="仿宋_GB2312" w:hAnsi="宋体" w:eastAsia="仿宋_GB2312" w:cs="宋体"/>
                <w:kern w:val="0"/>
                <w:sz w:val="21"/>
                <w:szCs w:val="21"/>
                <w:lang w:eastAsia="zh-CN"/>
              </w:rPr>
              <w:t>县</w:t>
            </w:r>
            <w:r>
              <w:rPr>
                <w:rFonts w:hint="eastAsia" w:ascii="仿宋_GB2312" w:hAnsi="宋体" w:eastAsia="仿宋_GB2312" w:cs="宋体"/>
                <w:kern w:val="0"/>
                <w:sz w:val="21"/>
                <w:szCs w:val="21"/>
              </w:rPr>
              <w:t>绿肥、油菜种植面积</w:t>
            </w:r>
            <w:r>
              <w:rPr>
                <w:rFonts w:hint="eastAsia" w:ascii="仿宋_GB2312" w:hAnsi="宋体" w:eastAsia="仿宋_GB2312" w:cs="宋体"/>
                <w:kern w:val="0"/>
                <w:sz w:val="21"/>
                <w:szCs w:val="21"/>
                <w:lang w:eastAsia="zh-CN"/>
              </w:rPr>
              <w:t>任务</w:t>
            </w:r>
            <w:r>
              <w:rPr>
                <w:rFonts w:hint="eastAsia" w:ascii="仿宋_GB2312" w:hAnsi="宋体" w:eastAsia="仿宋_GB2312" w:cs="宋体"/>
                <w:kern w:val="0"/>
                <w:sz w:val="21"/>
                <w:szCs w:val="21"/>
              </w:rPr>
              <w:t>；2.菜蔬果茶等经济作物推广有机肥替代化肥技术模式，实行有机肥替代化肥价格补贴；3.支持畜禽粪肥综合利用就近回田；4.结合稻油轮作项目试点，推广水旱轮作、深耕改土、种养结合等技术。</w:t>
            </w:r>
          </w:p>
        </w:tc>
        <w:tc>
          <w:tcPr>
            <w:tcW w:w="969" w:type="dxa"/>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12月底</w:t>
            </w:r>
          </w:p>
        </w:tc>
        <w:tc>
          <w:tcPr>
            <w:tcW w:w="1585" w:type="dxa"/>
            <w:vAlign w:val="center"/>
          </w:tcPr>
          <w:p>
            <w:pPr>
              <w:widowControl/>
              <w:jc w:val="both"/>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农业农村局</w:t>
            </w:r>
          </w:p>
        </w:tc>
        <w:tc>
          <w:tcPr>
            <w:tcW w:w="1620" w:type="dxa"/>
            <w:vAlign w:val="center"/>
          </w:tcPr>
          <w:p>
            <w:pPr>
              <w:widowControl/>
              <w:jc w:val="both"/>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供销社、</w:t>
            </w: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农业综合技术推广站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trPr>
        <w:tc>
          <w:tcPr>
            <w:tcW w:w="684" w:type="dxa"/>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5</w:t>
            </w:r>
          </w:p>
        </w:tc>
        <w:tc>
          <w:tcPr>
            <w:tcW w:w="707" w:type="dxa"/>
            <w:vAlign w:val="center"/>
          </w:tcPr>
          <w:p>
            <w:pPr>
              <w:widowControl/>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工作推进不严不实</w:t>
            </w:r>
          </w:p>
        </w:tc>
        <w:tc>
          <w:tcPr>
            <w:tcW w:w="2231" w:type="dxa"/>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督察组在湖区三市实地走访和电话回访近30家农户和种植大户，均反映近年来化肥使用量没有减少。化肥减量数据与群众感受大相径庭。</w:t>
            </w:r>
          </w:p>
        </w:tc>
        <w:tc>
          <w:tcPr>
            <w:tcW w:w="1649" w:type="dxa"/>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br w:type="textWrapping"/>
            </w:r>
            <w:r>
              <w:rPr>
                <w:rFonts w:hint="eastAsia" w:ascii="仿宋_GB2312" w:hAnsi="宋体" w:eastAsia="仿宋_GB2312" w:cs="宋体"/>
                <w:color w:val="000000"/>
                <w:kern w:val="0"/>
                <w:sz w:val="21"/>
                <w:szCs w:val="21"/>
              </w:rPr>
              <w:t>1.推广使用“田间道”湖南配方施肥APP的应用；</w:t>
            </w:r>
            <w:r>
              <w:rPr>
                <w:rFonts w:hint="eastAsia" w:ascii="仿宋_GB2312" w:hAnsi="宋体" w:eastAsia="仿宋_GB2312" w:cs="宋体"/>
                <w:color w:val="000000"/>
                <w:kern w:val="0"/>
                <w:sz w:val="21"/>
                <w:szCs w:val="21"/>
              </w:rPr>
              <w:br w:type="textWrapping"/>
            </w:r>
            <w:r>
              <w:rPr>
                <w:rFonts w:hint="eastAsia" w:ascii="仿宋_GB2312" w:hAnsi="宋体" w:eastAsia="仿宋_GB2312" w:cs="宋体"/>
                <w:color w:val="000000"/>
                <w:kern w:val="0"/>
                <w:sz w:val="21"/>
                <w:szCs w:val="21"/>
              </w:rPr>
              <w:t>2.建立施肥配方发布制度。</w:t>
            </w:r>
          </w:p>
        </w:tc>
        <w:tc>
          <w:tcPr>
            <w:tcW w:w="4790" w:type="dxa"/>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1组织全</w:t>
            </w: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新型经营主体、基层农技员开展科学施肥培训；2.利用各类新媒体开展“科学施肥进万家”宣传活动；3.推广使用“田间道”湖南配方施肥APP的应用，2年底前所有乡镇农技推广员应用率100%，三年内全</w:t>
            </w: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专业合作社、种粮大户、家庭农场和农资经销商应用率达到80%以上；4.依托湖南农业“12316”热线，开展化肥减量技术咨询服务。5.建立施肥配方发布制度。</w:t>
            </w:r>
          </w:p>
        </w:tc>
        <w:tc>
          <w:tcPr>
            <w:tcW w:w="969" w:type="dxa"/>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12月底</w:t>
            </w:r>
          </w:p>
        </w:tc>
        <w:tc>
          <w:tcPr>
            <w:tcW w:w="1585" w:type="dxa"/>
            <w:vAlign w:val="center"/>
          </w:tcPr>
          <w:p>
            <w:pPr>
              <w:widowControl/>
              <w:jc w:val="both"/>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农业农村局</w:t>
            </w:r>
          </w:p>
        </w:tc>
        <w:tc>
          <w:tcPr>
            <w:tcW w:w="1620" w:type="dxa"/>
            <w:vAlign w:val="center"/>
          </w:tcPr>
          <w:p>
            <w:pPr>
              <w:widowControl/>
              <w:jc w:val="both"/>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供销社、</w:t>
            </w: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农业综合技术推广站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2" w:hRule="atLeast"/>
        </w:trPr>
        <w:tc>
          <w:tcPr>
            <w:tcW w:w="684" w:type="dxa"/>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6</w:t>
            </w:r>
          </w:p>
        </w:tc>
        <w:tc>
          <w:tcPr>
            <w:tcW w:w="707" w:type="dxa"/>
            <w:vAlign w:val="center"/>
          </w:tcPr>
          <w:p>
            <w:pPr>
              <w:widowControl/>
              <w:jc w:val="center"/>
              <w:rPr>
                <w:rFonts w:ascii="仿宋_GB2312" w:hAnsi="宋体" w:eastAsia="仿宋_GB2312" w:cs="宋体"/>
                <w:b/>
                <w:bCs/>
                <w:color w:val="000000"/>
                <w:kern w:val="0"/>
                <w:sz w:val="21"/>
                <w:szCs w:val="21"/>
              </w:rPr>
            </w:pPr>
            <w:r>
              <w:rPr>
                <w:rFonts w:hint="eastAsia" w:ascii="仿宋_GB2312" w:hAnsi="宋体" w:eastAsia="仿宋_GB2312" w:cs="宋体"/>
                <w:b/>
                <w:bCs/>
                <w:color w:val="000000"/>
                <w:kern w:val="0"/>
                <w:sz w:val="21"/>
                <w:szCs w:val="21"/>
              </w:rPr>
              <w:t>统计数据虚假失真</w:t>
            </w:r>
          </w:p>
        </w:tc>
        <w:tc>
          <w:tcPr>
            <w:tcW w:w="2231" w:type="dxa"/>
            <w:vAlign w:val="center"/>
          </w:tcPr>
          <w:p>
            <w:pPr>
              <w:widowControl/>
              <w:jc w:val="left"/>
              <w:rPr>
                <w:rFonts w:hint="eastAsia" w:ascii="仿宋_GB2312" w:hAnsi="宋体" w:eastAsia="仿宋_GB2312" w:cs="宋体"/>
                <w:color w:val="000000"/>
                <w:kern w:val="0"/>
                <w:sz w:val="21"/>
                <w:szCs w:val="21"/>
                <w:lang w:eastAsia="zh-CN"/>
              </w:rPr>
            </w:pPr>
            <w:r>
              <w:rPr>
                <w:rFonts w:hint="eastAsia" w:ascii="仿宋_GB2312" w:hAnsi="宋体" w:eastAsia="仿宋_GB2312" w:cs="宋体"/>
                <w:color w:val="000000"/>
                <w:kern w:val="0"/>
                <w:sz w:val="21"/>
                <w:szCs w:val="21"/>
              </w:rPr>
              <w:t>化肥减量统计“两张皮”问题突出。存在化肥减量数据虚报乱报问题。农业农村部门在化肥减量统计过程中，选择性使用数据，只算减肥措施的理论减量，却不考虑水稻等种植面积增加的化肥施用增量</w:t>
            </w:r>
            <w:r>
              <w:rPr>
                <w:rFonts w:hint="eastAsia" w:ascii="仿宋_GB2312" w:hAnsi="宋体" w:eastAsia="仿宋_GB2312" w:cs="宋体"/>
                <w:color w:val="000000"/>
                <w:kern w:val="0"/>
                <w:sz w:val="21"/>
                <w:szCs w:val="21"/>
                <w:lang w:eastAsia="zh-CN"/>
              </w:rPr>
              <w:t>。</w:t>
            </w:r>
          </w:p>
        </w:tc>
        <w:tc>
          <w:tcPr>
            <w:tcW w:w="1649" w:type="dxa"/>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1.出台整改方案；</w:t>
            </w:r>
            <w:r>
              <w:rPr>
                <w:rFonts w:hint="eastAsia" w:ascii="仿宋_GB2312" w:hAnsi="宋体" w:eastAsia="仿宋_GB2312" w:cs="宋体"/>
                <w:color w:val="000000"/>
                <w:kern w:val="0"/>
                <w:sz w:val="21"/>
                <w:szCs w:val="21"/>
              </w:rPr>
              <w:br w:type="textWrapping"/>
            </w:r>
            <w:r>
              <w:rPr>
                <w:rFonts w:hint="eastAsia" w:ascii="仿宋_GB2312" w:hAnsi="宋体" w:eastAsia="仿宋_GB2312" w:cs="宋体"/>
                <w:color w:val="000000"/>
                <w:kern w:val="0"/>
                <w:sz w:val="21"/>
                <w:szCs w:val="21"/>
              </w:rPr>
              <w:t>2.建立联席机制；</w:t>
            </w:r>
            <w:r>
              <w:rPr>
                <w:rFonts w:hint="eastAsia" w:ascii="仿宋_GB2312" w:hAnsi="宋体" w:eastAsia="仿宋_GB2312" w:cs="宋体"/>
                <w:color w:val="000000"/>
                <w:kern w:val="0"/>
                <w:sz w:val="21"/>
                <w:szCs w:val="21"/>
              </w:rPr>
              <w:br w:type="textWrapping"/>
            </w:r>
            <w:r>
              <w:rPr>
                <w:rFonts w:hint="eastAsia" w:ascii="仿宋_GB2312" w:hAnsi="宋体" w:eastAsia="仿宋_GB2312" w:cs="宋体"/>
                <w:color w:val="000000"/>
                <w:kern w:val="0"/>
                <w:sz w:val="21"/>
                <w:szCs w:val="21"/>
              </w:rPr>
              <w:t>2.夯实基层基础。</w:t>
            </w:r>
          </w:p>
        </w:tc>
        <w:tc>
          <w:tcPr>
            <w:tcW w:w="4790" w:type="dxa"/>
            <w:vAlign w:val="center"/>
          </w:tcPr>
          <w:p>
            <w:pPr>
              <w:widowControl/>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1.统计部门出台整改方案，制定整改措施；5月底前针对化肥施用量存在的问题开展自查自纠。6月底前抽取种粮大户50户，一般农户100户，农业合作社30个，化肥经销商30家开展抽样调查，实地了解化肥的使用量和销售量情况。2.建立联席机制，联合</w:t>
            </w: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农业农村局共同出台《关于进一步规范化肥施用量统计工作的意见》，明确上报流程，规范数据来源。形成以乡镇统计为基础、农业部门为参考的工作机制，乡镇统计员与基层农技站对接形成基础数，乡镇汇总数结合农业部门数通过抽样调查进行评估后形成县级数，两个部门审核盖章后确认上报，杜绝数出多门。3.强化统计培训，夯实基层基础。召开专题农林牧渔业统计报表培训，以化肥施用量指标为引申，着重强化指标解释，特别是统计口径、统计方式和计算方法，避免人为的统计误差。规范完善乡镇统计台账建设，形成可推广、可复制的模板。</w:t>
            </w:r>
          </w:p>
        </w:tc>
        <w:tc>
          <w:tcPr>
            <w:tcW w:w="969" w:type="dxa"/>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9月底</w:t>
            </w:r>
          </w:p>
        </w:tc>
        <w:tc>
          <w:tcPr>
            <w:tcW w:w="1585" w:type="dxa"/>
            <w:vAlign w:val="center"/>
          </w:tcPr>
          <w:p>
            <w:pPr>
              <w:widowControl/>
              <w:jc w:val="center"/>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统计局</w:t>
            </w:r>
          </w:p>
        </w:tc>
        <w:tc>
          <w:tcPr>
            <w:tcW w:w="1620" w:type="dxa"/>
            <w:vAlign w:val="center"/>
          </w:tcPr>
          <w:p>
            <w:pPr>
              <w:widowControl/>
              <w:jc w:val="both"/>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lang w:eastAsia="zh-CN"/>
              </w:rPr>
              <w:t>县</w:t>
            </w:r>
            <w:r>
              <w:rPr>
                <w:rFonts w:hint="eastAsia" w:ascii="仿宋_GB2312" w:hAnsi="宋体" w:eastAsia="仿宋_GB2312" w:cs="宋体"/>
                <w:color w:val="000000"/>
                <w:kern w:val="0"/>
                <w:sz w:val="21"/>
                <w:szCs w:val="21"/>
              </w:rPr>
              <w:t>农业农村局</w:t>
            </w:r>
          </w:p>
        </w:tc>
      </w:tr>
    </w:tbl>
    <w:p>
      <w:pPr>
        <w:pStyle w:val="18"/>
        <w:ind w:left="0" w:leftChars="0" w:firstLine="0" w:firstLineChars="0"/>
        <w:rPr>
          <w:rFonts w:hint="eastAsia" w:ascii="仿宋_GB2312" w:hAnsi="仿宋_GB2312" w:eastAsia="仿宋_GB2312" w:cs="仿宋_GB2312"/>
          <w:color w:val="000000"/>
        </w:rPr>
        <w:sectPr>
          <w:footerReference r:id="rId7" w:type="default"/>
          <w:footerReference r:id="rId8" w:type="even"/>
          <w:pgSz w:w="16838" w:h="11906" w:orient="landscape"/>
          <w:pgMar w:top="1531" w:right="1134" w:bottom="1531" w:left="1531" w:header="851" w:footer="992" w:gutter="0"/>
          <w:paperSrc/>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500" w:lineRule="exact"/>
        <w:jc w:val="left"/>
        <w:rPr>
          <w:rFonts w:hint="eastAsia" w:ascii="楷体" w:hAnsi="楷体" w:eastAsia="楷体" w:cs="楷体"/>
          <w:sz w:val="36"/>
          <w:szCs w:val="36"/>
          <w:lang w:val="en-US" w:eastAsia="zh-CN"/>
        </w:rPr>
      </w:pPr>
      <w:r>
        <w:rPr>
          <w:rFonts w:hint="eastAsia" w:ascii="仿宋_GB2312" w:hAnsi="仿宋_GB2312" w:eastAsia="仿宋_GB2312" w:cs="仿宋_GB2312"/>
          <w:sz w:val="32"/>
          <w:szCs w:val="32"/>
          <w:lang w:val="en-US" w:eastAsia="zh-CN"/>
        </w:rPr>
        <w:t>附表5.4</w:t>
      </w:r>
      <w:r>
        <w:rPr>
          <w:rFonts w:hint="eastAsia" w:ascii="楷体" w:hAnsi="楷体" w:eastAsia="楷体" w:cs="楷体"/>
          <w:sz w:val="36"/>
          <w:szCs w:val="36"/>
          <w:lang w:val="en-US" w:eastAsia="zh-CN"/>
        </w:rPr>
        <w:t xml:space="preserve">     </w:t>
      </w:r>
    </w:p>
    <w:p>
      <w:pPr>
        <w:spacing w:line="500" w:lineRule="exact"/>
        <w:jc w:val="center"/>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省生态环境保护督察“回头看”及东洞庭湖生态环境保护专项督察</w:t>
      </w:r>
    </w:p>
    <w:p>
      <w:pPr>
        <w:spacing w:line="500" w:lineRule="exact"/>
        <w:jc w:val="center"/>
        <w:rPr>
          <w:rFonts w:hint="eastAsia" w:ascii="宋体" w:hAnsi="宋体" w:eastAsia="宋体" w:cs="宋体"/>
          <w:b/>
          <w:bCs/>
          <w:sz w:val="36"/>
          <w:szCs w:val="36"/>
        </w:rPr>
      </w:pPr>
      <w:r>
        <w:rPr>
          <w:rFonts w:hint="eastAsia" w:ascii="方正小标宋简体" w:hAnsi="方正小标宋简体" w:eastAsia="方正小标宋简体" w:cs="方正小标宋简体"/>
          <w:b w:val="0"/>
          <w:bCs w:val="0"/>
          <w:kern w:val="2"/>
          <w:sz w:val="40"/>
          <w:szCs w:val="40"/>
          <w:lang w:val="en-US" w:eastAsia="zh-CN" w:bidi="ar-SA"/>
        </w:rPr>
        <w:t>反馈问题整改责任分解表</w:t>
      </w:r>
    </w:p>
    <w:tbl>
      <w:tblPr>
        <w:tblStyle w:val="16"/>
        <w:tblW w:w="14230" w:type="dxa"/>
        <w:tblInd w:w="-158" w:type="dxa"/>
        <w:tblLayout w:type="fixed"/>
        <w:tblCellMar>
          <w:top w:w="0" w:type="dxa"/>
          <w:left w:w="0" w:type="dxa"/>
          <w:bottom w:w="0" w:type="dxa"/>
          <w:right w:w="0" w:type="dxa"/>
        </w:tblCellMar>
      </w:tblPr>
      <w:tblGrid>
        <w:gridCol w:w="518"/>
        <w:gridCol w:w="2745"/>
        <w:gridCol w:w="2310"/>
        <w:gridCol w:w="3165"/>
        <w:gridCol w:w="1080"/>
        <w:gridCol w:w="1284"/>
        <w:gridCol w:w="1212"/>
        <w:gridCol w:w="986"/>
        <w:gridCol w:w="930"/>
      </w:tblGrid>
      <w:tr>
        <w:tblPrEx>
          <w:tblLayout w:type="fixed"/>
          <w:tblCellMar>
            <w:top w:w="0" w:type="dxa"/>
            <w:left w:w="0" w:type="dxa"/>
            <w:bottom w:w="0" w:type="dxa"/>
            <w:right w:w="0" w:type="dxa"/>
          </w:tblCellMar>
        </w:tblPrEx>
        <w:trPr>
          <w:trHeight w:val="168" w:hRule="atLeast"/>
        </w:trPr>
        <w:tc>
          <w:tcPr>
            <w:tcW w:w="518" w:type="dxa"/>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序号</w:t>
            </w:r>
          </w:p>
        </w:tc>
        <w:tc>
          <w:tcPr>
            <w:tcW w:w="2745" w:type="dxa"/>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问题表述</w:t>
            </w:r>
          </w:p>
        </w:tc>
        <w:tc>
          <w:tcPr>
            <w:tcW w:w="2310" w:type="dxa"/>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整改目标</w:t>
            </w:r>
          </w:p>
        </w:tc>
        <w:tc>
          <w:tcPr>
            <w:tcW w:w="3165" w:type="dxa"/>
            <w:tcBorders>
              <w:top w:val="single" w:color="000000" w:sz="4" w:space="0"/>
              <w:left w:val="single" w:color="auto"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整改措施</w:t>
            </w:r>
          </w:p>
        </w:tc>
        <w:tc>
          <w:tcPr>
            <w:tcW w:w="1080" w:type="dxa"/>
            <w:tcBorders>
              <w:top w:val="single" w:color="000000" w:sz="4" w:space="0"/>
              <w:left w:val="single" w:color="auto"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整改时限</w:t>
            </w:r>
          </w:p>
        </w:tc>
        <w:tc>
          <w:tcPr>
            <w:tcW w:w="1284" w:type="dxa"/>
            <w:tcBorders>
              <w:top w:val="single" w:color="000000" w:sz="4" w:space="0"/>
              <w:left w:val="single" w:color="000000" w:sz="4" w:space="0"/>
              <w:bottom w:val="single" w:color="auto" w:sz="4" w:space="0"/>
              <w:right w:val="single" w:color="auto" w:sz="4" w:space="0"/>
            </w:tcBorders>
            <w:tcMar>
              <w:top w:w="12" w:type="dxa"/>
              <w:left w:w="12" w:type="dxa"/>
              <w:right w:w="12" w:type="dxa"/>
            </w:tcMar>
            <w:vAlign w:val="center"/>
          </w:tcPr>
          <w:p>
            <w:pPr>
              <w:widowControl/>
              <w:spacing w:line="310" w:lineRule="exact"/>
              <w:jc w:val="center"/>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牵头单位</w:t>
            </w:r>
          </w:p>
        </w:tc>
        <w:tc>
          <w:tcPr>
            <w:tcW w:w="1212" w:type="dxa"/>
            <w:tcBorders>
              <w:top w:val="single" w:color="000000" w:sz="4" w:space="0"/>
              <w:left w:val="single" w:color="auto" w:sz="4" w:space="0"/>
              <w:bottom w:val="single" w:color="auto"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配合单位</w:t>
            </w:r>
          </w:p>
        </w:tc>
        <w:tc>
          <w:tcPr>
            <w:tcW w:w="986" w:type="dxa"/>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督办</w:t>
            </w:r>
          </w:p>
          <w:p>
            <w:pPr>
              <w:widowControl/>
              <w:spacing w:line="310" w:lineRule="exact"/>
              <w:jc w:val="center"/>
              <w:textAlignment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lang w:eastAsia="zh-CN"/>
              </w:rPr>
              <w:t>县</w:t>
            </w:r>
            <w:r>
              <w:rPr>
                <w:rFonts w:hint="eastAsia" w:ascii="黑体" w:hAnsi="黑体" w:eastAsia="黑体" w:cs="黑体"/>
                <w:bCs/>
                <w:color w:val="000000"/>
                <w:kern w:val="0"/>
                <w:sz w:val="21"/>
                <w:szCs w:val="21"/>
              </w:rPr>
              <w:t>领导</w:t>
            </w:r>
          </w:p>
        </w:tc>
        <w:tc>
          <w:tcPr>
            <w:tcW w:w="930" w:type="dxa"/>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黑体" w:hAnsi="黑体" w:eastAsia="黑体" w:cs="黑体"/>
                <w:bCs/>
                <w:color w:val="000000"/>
                <w:kern w:val="0"/>
                <w:sz w:val="21"/>
                <w:szCs w:val="21"/>
              </w:rPr>
            </w:pPr>
            <w:r>
              <w:rPr>
                <w:rFonts w:hint="eastAsia" w:ascii="黑体" w:hAnsi="黑体" w:eastAsia="黑体" w:cs="黑体"/>
                <w:bCs/>
                <w:color w:val="000000"/>
                <w:kern w:val="0"/>
                <w:sz w:val="21"/>
                <w:szCs w:val="21"/>
              </w:rPr>
              <w:t>备注</w:t>
            </w:r>
          </w:p>
        </w:tc>
      </w:tr>
      <w:tr>
        <w:tblPrEx>
          <w:tblLayout w:type="fixed"/>
          <w:tblCellMar>
            <w:top w:w="0" w:type="dxa"/>
            <w:left w:w="0" w:type="dxa"/>
            <w:bottom w:w="0" w:type="dxa"/>
            <w:right w:w="0" w:type="dxa"/>
          </w:tblCellMar>
        </w:tblPrEx>
        <w:trPr>
          <w:trHeight w:val="582" w:hRule="atLeast"/>
        </w:trPr>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p>
        </w:tc>
        <w:tc>
          <w:tcPr>
            <w:tcW w:w="2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一些地方和部门领导干部抓生态环境保护工作的主动性、积极性不强，被动应付多，监管过程重形式走过场。</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深入贯彻习近平生态文明思想，形成抓生态环境保护工作的思想自觉、行动自觉，动真碰硬抓好问题整改。</w:t>
            </w:r>
          </w:p>
        </w:tc>
        <w:tc>
          <w:tcPr>
            <w:tcW w:w="3165"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将习近平生态文明思想和关于生态环境保护的重要论述列入党委（党组）中心组理论学习和党校（行政学院）培训内容，坚持学以致用，指导生态环境保护工作实践。2.坚持把领导干部抓生态环境保护工作和突出生态环境问题整改的成效列入领导干部考核重要内容，考核成果运用到选拔任用工作中。3.严格压实地方党委政府和各部门的生态环境保护工作责任，监督“党政同责、一岗双责”和“三管三必须”原则全面落实。</w:t>
            </w:r>
          </w:p>
        </w:tc>
        <w:tc>
          <w:tcPr>
            <w:tcW w:w="1080"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持续推进整改。</w:t>
            </w: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eastAsia="仿宋_GB2312"/>
                <w:sz w:val="21"/>
                <w:szCs w:val="21"/>
                <w:lang w:eastAsia="zh-CN"/>
              </w:rPr>
            </w:pPr>
            <w:r>
              <w:rPr>
                <w:rFonts w:hint="eastAsia"/>
                <w:sz w:val="21"/>
                <w:szCs w:val="21"/>
                <w:lang w:eastAsia="zh-CN"/>
              </w:rPr>
              <w:t>县</w:t>
            </w:r>
            <w:r>
              <w:rPr>
                <w:rFonts w:hint="eastAsia"/>
                <w:sz w:val="21"/>
                <w:szCs w:val="21"/>
              </w:rPr>
              <w:t>委办</w:t>
            </w:r>
            <w:r>
              <w:rPr>
                <w:rFonts w:hint="eastAsia"/>
                <w:sz w:val="21"/>
                <w:szCs w:val="21"/>
                <w:lang w:eastAsia="zh-CN"/>
              </w:rPr>
              <w:t>、县</w:t>
            </w:r>
            <w:r>
              <w:rPr>
                <w:rFonts w:hint="eastAsia"/>
                <w:sz w:val="21"/>
                <w:szCs w:val="21"/>
              </w:rPr>
              <w:t>政府办</w:t>
            </w:r>
            <w:r>
              <w:rPr>
                <w:rFonts w:hint="eastAsia"/>
                <w:sz w:val="21"/>
                <w:szCs w:val="21"/>
                <w:lang w:eastAsia="zh-CN"/>
              </w:rPr>
              <w:t>、</w:t>
            </w:r>
            <w:r>
              <w:rPr>
                <w:rFonts w:hint="eastAsia" w:ascii="仿宋_GB2312" w:hAnsi="仿宋_GB2312" w:cs="仿宋_GB2312"/>
                <w:color w:val="auto"/>
                <w:kern w:val="0"/>
                <w:sz w:val="21"/>
                <w:szCs w:val="21"/>
                <w:lang w:eastAsia="zh-CN"/>
              </w:rPr>
              <w:t>县生环办</w:t>
            </w:r>
          </w:p>
        </w:tc>
        <w:tc>
          <w:tcPr>
            <w:tcW w:w="12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纪委监委</w:t>
            </w:r>
            <w:r>
              <w:rPr>
                <w:rFonts w:hint="eastAsia" w:ascii="仿宋_GB2312" w:hAnsi="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委组织部</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胡</w:t>
            </w:r>
            <w:r>
              <w:rPr>
                <w:rFonts w:hint="eastAsia" w:ascii="仿宋_GB2312" w:hAnsi="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lang w:eastAsia="zh-CN"/>
              </w:rPr>
              <w:t>军</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2021年12月31日前完成集中整改</w:t>
            </w:r>
          </w:p>
        </w:tc>
      </w:tr>
      <w:tr>
        <w:tblPrEx>
          <w:tblLayout w:type="fixed"/>
          <w:tblCellMar>
            <w:top w:w="0" w:type="dxa"/>
            <w:left w:w="0" w:type="dxa"/>
            <w:bottom w:w="0" w:type="dxa"/>
            <w:right w:w="0" w:type="dxa"/>
          </w:tblCellMar>
        </w:tblPrEx>
        <w:trPr>
          <w:trHeight w:val="582" w:hRule="atLeast"/>
        </w:trPr>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w:t>
            </w:r>
          </w:p>
        </w:tc>
        <w:tc>
          <w:tcPr>
            <w:tcW w:w="2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华容县鸿仁源环保科技公司关停问题反映当地政府依法履职不到位，有关问题解决重视不够。</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完成企业收购，妥善处理遗留问题。</w:t>
            </w:r>
          </w:p>
        </w:tc>
        <w:tc>
          <w:tcPr>
            <w:tcW w:w="3165"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1.华容县积极主动与鸿仁源环保科技公司沟通协商，达成收购意向。2.聘请第三方公司开展企业资产评估，制定收购方案。3.由华容县委托（湘盛公司）实施收购，并妥善处理好遗留问题。</w:t>
            </w:r>
          </w:p>
        </w:tc>
        <w:tc>
          <w:tcPr>
            <w:tcW w:w="1080"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2021年12月31日</w:t>
            </w: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cs="仿宋_GB2312"/>
                <w:color w:val="auto"/>
                <w:kern w:val="0"/>
                <w:sz w:val="21"/>
                <w:szCs w:val="21"/>
                <w:lang w:eastAsia="zh-CN"/>
              </w:rPr>
              <w:t>工业集中区</w:t>
            </w:r>
          </w:p>
        </w:tc>
        <w:tc>
          <w:tcPr>
            <w:tcW w:w="12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cs="仿宋_GB2312"/>
                <w:color w:val="auto"/>
                <w:kern w:val="0"/>
                <w:sz w:val="21"/>
                <w:szCs w:val="21"/>
                <w:lang w:eastAsia="zh-CN"/>
              </w:rPr>
              <w:t>东山镇人民政府</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18"/>
              <w:ind w:left="0" w:leftChars="0" w:firstLine="210" w:firstLineChars="100"/>
              <w:rPr>
                <w:rFonts w:hint="eastAsia"/>
                <w:sz w:val="21"/>
                <w:szCs w:val="21"/>
              </w:rPr>
            </w:pPr>
            <w:r>
              <w:rPr>
                <w:rFonts w:hint="eastAsia" w:ascii="仿宋_GB2312" w:hAnsi="仿宋_GB2312" w:eastAsia="仿宋_GB2312" w:cs="仿宋_GB2312"/>
                <w:color w:val="auto"/>
                <w:kern w:val="0"/>
                <w:sz w:val="21"/>
                <w:szCs w:val="21"/>
                <w:lang w:eastAsia="zh-CN"/>
              </w:rPr>
              <w:t>李</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lang w:eastAsia="zh-CN"/>
              </w:rPr>
              <w:t>勇</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p>
        </w:tc>
      </w:tr>
      <w:tr>
        <w:tblPrEx>
          <w:tblLayout w:type="fixed"/>
          <w:tblCellMar>
            <w:top w:w="0" w:type="dxa"/>
            <w:left w:w="0" w:type="dxa"/>
            <w:bottom w:w="0" w:type="dxa"/>
            <w:right w:w="0" w:type="dxa"/>
          </w:tblCellMar>
        </w:tblPrEx>
        <w:trPr>
          <w:trHeight w:val="1899" w:hRule="atLeast"/>
        </w:trPr>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val="en-US" w:eastAsia="zh-CN"/>
              </w:rPr>
              <w:t>3</w:t>
            </w:r>
          </w:p>
        </w:tc>
        <w:tc>
          <w:tcPr>
            <w:tcW w:w="2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黑臭水体整治有反复，部分水体出现返黑返臭情况，与消除比例90%的目标任务存在一定差距。</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开展黑臭水体整治回头看，消除返黑返臭现象；落实长效监管机制，防止问题反弹。</w:t>
            </w:r>
          </w:p>
        </w:tc>
        <w:tc>
          <w:tcPr>
            <w:tcW w:w="3165"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1.开展黑臭水体整治工作回头看，核实整治工作现实效果，制定持续改进方案</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2.针对部分存在返黑返臭风险的水体，开展提质增效工作，确保治理成效</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kern w:val="0"/>
                <w:sz w:val="21"/>
                <w:szCs w:val="21"/>
              </w:rPr>
              <w:t>3.严格落实黑臭水体整治长效管理机制，加强督导监管，防止返黑返臭。</w:t>
            </w:r>
          </w:p>
        </w:tc>
        <w:tc>
          <w:tcPr>
            <w:tcW w:w="108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2021年6月30日</w:t>
            </w:r>
          </w:p>
        </w:tc>
        <w:tc>
          <w:tcPr>
            <w:tcW w:w="1284"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住建局</w:t>
            </w:r>
          </w:p>
        </w:tc>
        <w:tc>
          <w:tcPr>
            <w:tcW w:w="12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市生态环境局华容分局</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范文科</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p>
        </w:tc>
      </w:tr>
      <w:tr>
        <w:tblPrEx>
          <w:tblLayout w:type="fixed"/>
          <w:tblCellMar>
            <w:top w:w="0" w:type="dxa"/>
            <w:left w:w="0" w:type="dxa"/>
            <w:bottom w:w="0" w:type="dxa"/>
            <w:right w:w="0" w:type="dxa"/>
          </w:tblCellMar>
        </w:tblPrEx>
        <w:trPr>
          <w:trHeight w:val="1796" w:hRule="atLeast"/>
        </w:trPr>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val="en-US" w:eastAsia="zh-CN"/>
              </w:rPr>
              <w:t>4</w:t>
            </w:r>
          </w:p>
        </w:tc>
        <w:tc>
          <w:tcPr>
            <w:tcW w:w="2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建筑工地环境管理粗放，普遍存在主体责任不落实、现场管理粗放、部门监管不到位等问题。</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落实“管行业必须管环保”要求，监督建筑工地落实环境保护主体责任，文明施工，现场扬尘防治达到“六个100%”要求。</w:t>
            </w:r>
          </w:p>
        </w:tc>
        <w:tc>
          <w:tcPr>
            <w:tcW w:w="3165"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numPr>
                <w:ilvl w:val="0"/>
                <w:numId w:val="0"/>
              </w:numPr>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持续开展城区、规划区内建筑工地排查整治，规范提升施工现场环境管理水平。</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加强对建筑工地检查督查。</w:t>
            </w:r>
            <w:r>
              <w:rPr>
                <w:rFonts w:hint="eastAsia" w:ascii="仿宋_GB2312" w:hAnsi="仿宋_GB2312" w:eastAsia="仿宋_GB2312" w:cs="仿宋_GB2312"/>
                <w:color w:val="auto"/>
                <w:kern w:val="0"/>
                <w:sz w:val="21"/>
                <w:szCs w:val="21"/>
                <w:lang w:val="en-US" w:eastAsia="zh-CN"/>
              </w:rPr>
              <w:t>3.</w:t>
            </w:r>
            <w:r>
              <w:rPr>
                <w:rFonts w:hint="eastAsia" w:ascii="仿宋_GB2312" w:hAnsi="仿宋_GB2312" w:eastAsia="仿宋_GB2312" w:cs="仿宋_GB2312"/>
                <w:color w:val="auto"/>
                <w:kern w:val="0"/>
                <w:sz w:val="21"/>
                <w:szCs w:val="21"/>
              </w:rPr>
              <w:t>建立健全长效监管机制，严防整治效果反弹。</w:t>
            </w:r>
          </w:p>
        </w:tc>
        <w:tc>
          <w:tcPr>
            <w:tcW w:w="108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持续推进整改</w:t>
            </w:r>
          </w:p>
        </w:tc>
        <w:tc>
          <w:tcPr>
            <w:tcW w:w="1284"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住建局</w:t>
            </w:r>
          </w:p>
        </w:tc>
        <w:tc>
          <w:tcPr>
            <w:tcW w:w="12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市生态环境局华容分局</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范文科</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2021年6月30日完成集中整改</w:t>
            </w:r>
          </w:p>
        </w:tc>
      </w:tr>
      <w:tr>
        <w:tblPrEx>
          <w:tblLayout w:type="fixed"/>
          <w:tblCellMar>
            <w:top w:w="0" w:type="dxa"/>
            <w:left w:w="0" w:type="dxa"/>
            <w:bottom w:w="0" w:type="dxa"/>
            <w:right w:w="0" w:type="dxa"/>
          </w:tblCellMar>
        </w:tblPrEx>
        <w:trPr>
          <w:trHeight w:val="1682" w:hRule="atLeast"/>
        </w:trPr>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val="en-US" w:eastAsia="zh-CN"/>
              </w:rPr>
              <w:t>5</w:t>
            </w:r>
          </w:p>
        </w:tc>
        <w:tc>
          <w:tcPr>
            <w:tcW w:w="2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秸杆焚烧禁而不止。对秸秆禁烧工作没有形成长效监管机制，秸秆焚烧现象比较突出，个别火点面积较大。</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形成以“县督查、乡为主、村落实、组巡逻”的长效管控机制，县域范围内秸秆焚烧现象明显改善，火点明显减少。</w:t>
            </w:r>
          </w:p>
        </w:tc>
        <w:tc>
          <w:tcPr>
            <w:tcW w:w="3165"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强化组织领导，层层压实禁烧责任。2</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强化宣传引导。3</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强化部门联动配合</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形成合力。4</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强化综合利用。5</w:t>
            </w:r>
            <w:r>
              <w:rPr>
                <w:rFonts w:hint="eastAsia" w:ascii="仿宋_GB2312" w:hAnsi="仿宋_GB2312" w:eastAsia="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强化责任追究。</w:t>
            </w:r>
          </w:p>
        </w:tc>
        <w:tc>
          <w:tcPr>
            <w:tcW w:w="108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持续推进整改</w:t>
            </w:r>
          </w:p>
        </w:tc>
        <w:tc>
          <w:tcPr>
            <w:tcW w:w="1284"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农业农村局</w:t>
            </w:r>
          </w:p>
        </w:tc>
        <w:tc>
          <w:tcPr>
            <w:tcW w:w="12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市生态环境局华容分局</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黄建明</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2021年6月30日完成集中整改</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val="en-US" w:eastAsia="zh-CN"/>
              </w:rPr>
              <w:t>6</w:t>
            </w:r>
          </w:p>
        </w:tc>
        <w:tc>
          <w:tcPr>
            <w:tcW w:w="2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left"/>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rPr>
              <w:t>矿山违规开采导致生态破坏现象点多面广，部分矿山仍然存在超深越界开采、违法占地、破坏林地、环境污染等违法问题</w:t>
            </w:r>
            <w:r>
              <w:rPr>
                <w:rFonts w:hint="eastAsia" w:ascii="仿宋_GB2312" w:hAnsi="仿宋_GB2312" w:eastAsia="仿宋_GB2312" w:cs="仿宋_GB2312"/>
                <w:color w:val="auto"/>
                <w:kern w:val="0"/>
                <w:sz w:val="21"/>
                <w:szCs w:val="21"/>
                <w:lang w:eastAsia="zh-CN"/>
              </w:rPr>
              <w:t>。</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b/>
                <w:bCs/>
                <w:color w:val="auto"/>
                <w:kern w:val="0"/>
                <w:sz w:val="21"/>
                <w:szCs w:val="21"/>
              </w:rPr>
            </w:pPr>
            <w:r>
              <w:rPr>
                <w:rFonts w:hint="eastAsia" w:ascii="仿宋_GB2312" w:hAnsi="仿宋_GB2312" w:eastAsia="仿宋_GB2312" w:cs="仿宋_GB2312"/>
                <w:color w:val="auto"/>
                <w:kern w:val="0"/>
                <w:sz w:val="21"/>
                <w:szCs w:val="21"/>
              </w:rPr>
              <w:t>开展矿山企业专项整治行动，解决超深越界开采、违法占地、破坏林地、环境污染等违法问题，创建绿色矿山企业。</w:t>
            </w:r>
          </w:p>
        </w:tc>
        <w:tc>
          <w:tcPr>
            <w:tcW w:w="3165"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在全</w:t>
            </w: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矿山企业开展专项整治行动，全面排查整治超深越界开采、违法占地、破坏林地、环境污染等违法问题</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2.限期解决</w:t>
            </w:r>
            <w:r>
              <w:rPr>
                <w:rFonts w:hint="eastAsia" w:ascii="仿宋_GB2312" w:hAnsi="仿宋_GB2312" w:eastAsia="仿宋_GB2312" w:cs="仿宋_GB2312"/>
                <w:color w:val="auto"/>
                <w:sz w:val="21"/>
                <w:szCs w:val="21"/>
              </w:rPr>
              <w:t>华容鑫迪泰矿业侵占华容县桃花山森林公园采石</w:t>
            </w:r>
            <w:r>
              <w:rPr>
                <w:rFonts w:hint="eastAsia" w:ascii="仿宋_GB2312" w:hAnsi="仿宋_GB2312" w:eastAsia="仿宋_GB2312" w:cs="仿宋_GB2312"/>
                <w:color w:val="auto"/>
                <w:kern w:val="0"/>
                <w:sz w:val="21"/>
                <w:szCs w:val="21"/>
              </w:rPr>
              <w:t>问题</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3.持续开展绿色矿山企业创建，督促矿山企业落实环境保护主体责任。</w:t>
            </w:r>
          </w:p>
        </w:tc>
        <w:tc>
          <w:tcPr>
            <w:tcW w:w="108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2021年12月31日</w:t>
            </w:r>
          </w:p>
        </w:tc>
        <w:tc>
          <w:tcPr>
            <w:tcW w:w="1284"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县自然资源</w:t>
            </w:r>
            <w:r>
              <w:rPr>
                <w:rFonts w:hint="eastAsia" w:ascii="仿宋_GB2312" w:hAnsi="仿宋_GB2312" w:eastAsia="仿宋_GB2312" w:cs="仿宋_GB2312"/>
                <w:color w:val="auto"/>
                <w:kern w:val="0"/>
                <w:sz w:val="21"/>
                <w:szCs w:val="21"/>
              </w:rPr>
              <w:t>局</w:t>
            </w:r>
          </w:p>
        </w:tc>
        <w:tc>
          <w:tcPr>
            <w:tcW w:w="12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林业局、</w:t>
            </w:r>
            <w:r>
              <w:rPr>
                <w:rFonts w:hint="eastAsia" w:ascii="仿宋_GB2312" w:hAnsi="仿宋_GB2312" w:eastAsia="仿宋_GB2312" w:cs="仿宋_GB2312"/>
                <w:color w:val="auto"/>
                <w:kern w:val="0"/>
                <w:sz w:val="21"/>
                <w:szCs w:val="21"/>
                <w:lang w:eastAsia="zh-CN"/>
              </w:rPr>
              <w:t>市生态环境局华容分局</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范文科</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p>
        </w:tc>
      </w:tr>
      <w:tr>
        <w:tblPrEx>
          <w:tblLayout w:type="fixed"/>
          <w:tblCellMar>
            <w:top w:w="0" w:type="dxa"/>
            <w:left w:w="0" w:type="dxa"/>
            <w:bottom w:w="0" w:type="dxa"/>
            <w:right w:w="0" w:type="dxa"/>
          </w:tblCellMar>
        </w:tblPrEx>
        <w:trPr>
          <w:trHeight w:val="3829" w:hRule="atLeast"/>
        </w:trPr>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val="en-US" w:eastAsia="zh-CN"/>
              </w:rPr>
              <w:t>7</w:t>
            </w:r>
          </w:p>
        </w:tc>
        <w:tc>
          <w:tcPr>
            <w:tcW w:w="2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散乱污企业整治不彻底，相关职能部门未按方案要求履行职责，散乱污企业仍然排查整治不彻底，无环保审批手续、无污染防治设施，废水废气直排，环境问题突出。</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按照《岳阳市“散乱污”企业整治工作方案》要求，压实部门责任，落实散乱污企业整治长效机制。</w:t>
            </w:r>
          </w:p>
        </w:tc>
        <w:tc>
          <w:tcPr>
            <w:tcW w:w="3165"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1.按《岳阳市“散乱污”企业整治工作方案》要求</w:t>
            </w:r>
            <w:r>
              <w:rPr>
                <w:rFonts w:hint="eastAsia" w:ascii="仿宋_GB2312" w:hAnsi="仿宋_GB2312" w:cs="仿宋_GB2312"/>
                <w:color w:val="auto"/>
                <w:kern w:val="0"/>
                <w:sz w:val="21"/>
                <w:szCs w:val="21"/>
                <w:lang w:val="en-US" w:eastAsia="zh-CN"/>
              </w:rPr>
              <w:t>,</w:t>
            </w:r>
            <w:r>
              <w:rPr>
                <w:rFonts w:hint="eastAsia" w:ascii="仿宋_GB2312" w:hAnsi="仿宋_GB2312" w:eastAsia="仿宋_GB2312" w:cs="仿宋_GB2312"/>
                <w:color w:val="auto"/>
                <w:kern w:val="0"/>
                <w:sz w:val="21"/>
                <w:szCs w:val="21"/>
              </w:rPr>
              <w:t>于2021年8月30日前完成散乱污企业整治</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2.组织有关部门在全</w:t>
            </w: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范围内对各自领域的“散乱污”企业进行全面排查和分类整治</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3.进一步优化和完善《岳阳市“散乱污”企业整治工作方案》，建立健全“散乱污”企业整治长效机制和长效管理措施。</w:t>
            </w:r>
          </w:p>
        </w:tc>
        <w:tc>
          <w:tcPr>
            <w:tcW w:w="108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持续推进整改</w:t>
            </w:r>
          </w:p>
        </w:tc>
        <w:tc>
          <w:tcPr>
            <w:tcW w:w="1284"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工信局</w:t>
            </w:r>
          </w:p>
        </w:tc>
        <w:tc>
          <w:tcPr>
            <w:tcW w:w="12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市生态环境</w:t>
            </w:r>
            <w:r>
              <w:rPr>
                <w:rFonts w:hint="eastAsia" w:ascii="仿宋_GB2312" w:hAnsi="仿宋_GB2312" w:eastAsia="仿宋_GB2312" w:cs="仿宋_GB2312"/>
                <w:color w:val="auto"/>
                <w:kern w:val="0"/>
                <w:sz w:val="21"/>
                <w:szCs w:val="21"/>
                <w:lang w:eastAsia="zh-CN"/>
              </w:rPr>
              <w:t>华容分局</w:t>
            </w: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kern w:val="0"/>
                <w:sz w:val="21"/>
                <w:szCs w:val="21"/>
                <w:lang w:eastAsia="zh-CN"/>
              </w:rPr>
              <w:t>县市</w:t>
            </w:r>
            <w:r>
              <w:rPr>
                <w:rFonts w:hint="eastAsia" w:ascii="仿宋_GB2312" w:hAnsi="仿宋_GB2312" w:eastAsia="仿宋_GB2312" w:cs="仿宋_GB2312"/>
                <w:color w:val="auto"/>
                <w:kern w:val="0"/>
                <w:sz w:val="21"/>
                <w:szCs w:val="21"/>
              </w:rPr>
              <w:t>场监管</w:t>
            </w:r>
            <w:r>
              <w:rPr>
                <w:rFonts w:hint="eastAsia" w:ascii="仿宋_GB2312" w:hAnsi="仿宋_GB2312" w:eastAsia="仿宋_GB2312" w:cs="仿宋_GB2312"/>
                <w:color w:val="auto"/>
                <w:kern w:val="0"/>
                <w:sz w:val="21"/>
                <w:szCs w:val="21"/>
                <w:lang w:eastAsia="zh-CN"/>
              </w:rPr>
              <w:t>局</w:t>
            </w:r>
            <w:r>
              <w:rPr>
                <w:rFonts w:hint="eastAsia" w:ascii="仿宋_GB2312" w:hAnsi="仿宋_GB2312" w:eastAsia="仿宋_GB2312" w:cs="仿宋_GB2312"/>
                <w:color w:val="auto"/>
                <w:kern w:val="0"/>
                <w:sz w:val="21"/>
                <w:szCs w:val="21"/>
              </w:rPr>
              <w:t>等相关部门</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李</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lang w:eastAsia="zh-CN"/>
              </w:rPr>
              <w:t>勇</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2021年8月30日前完成集中整改</w:t>
            </w:r>
          </w:p>
        </w:tc>
      </w:tr>
      <w:tr>
        <w:tblPrEx>
          <w:tblLayout w:type="fixed"/>
          <w:tblCellMar>
            <w:top w:w="0" w:type="dxa"/>
            <w:left w:w="0" w:type="dxa"/>
            <w:bottom w:w="0" w:type="dxa"/>
            <w:right w:w="0" w:type="dxa"/>
          </w:tblCellMar>
        </w:tblPrEx>
        <w:trPr>
          <w:trHeight w:val="3952" w:hRule="atLeast"/>
        </w:trPr>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val="en-US" w:eastAsia="zh-CN"/>
              </w:rPr>
              <w:t>8</w:t>
            </w:r>
          </w:p>
        </w:tc>
        <w:tc>
          <w:tcPr>
            <w:tcW w:w="2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商品混凝土搅拌站企业（行业）污染问题严重，等存在雨污混流、强碱性废水直排、未建设或未开启降尘设施、物料覆盖和地面硬化不到位、危废暂存间设置不规范或未设置、混凝渣土随意倾倒、夜间生产噪音扰民等一系列环境问题。</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规范商品</w:t>
            </w:r>
            <w:r>
              <w:rPr>
                <w:rFonts w:hint="eastAsia" w:ascii="仿宋_GB2312" w:hAnsi="仿宋_GB2312" w:eastAsia="仿宋_GB2312" w:cs="仿宋_GB2312"/>
                <w:color w:val="auto"/>
                <w:kern w:val="0"/>
                <w:sz w:val="21"/>
                <w:szCs w:val="21"/>
                <w:lang w:eastAsia="zh-CN"/>
              </w:rPr>
              <w:t>混凝土</w:t>
            </w:r>
            <w:r>
              <w:rPr>
                <w:rFonts w:hint="eastAsia" w:ascii="仿宋_GB2312" w:hAnsi="仿宋_GB2312" w:eastAsia="仿宋_GB2312" w:cs="仿宋_GB2312"/>
                <w:color w:val="auto"/>
                <w:kern w:val="0"/>
                <w:sz w:val="21"/>
                <w:szCs w:val="21"/>
              </w:rPr>
              <w:t>搅拌站企业（行业）管理，建立长效监管机制。</w:t>
            </w:r>
          </w:p>
        </w:tc>
        <w:tc>
          <w:tcPr>
            <w:tcW w:w="3165"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numPr>
                <w:ilvl w:val="0"/>
                <w:numId w:val="0"/>
              </w:numPr>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1.</w:t>
            </w:r>
            <w:r>
              <w:rPr>
                <w:rFonts w:hint="eastAsia" w:ascii="仿宋_GB2312" w:hAnsi="仿宋_GB2312" w:eastAsia="仿宋_GB2312" w:cs="仿宋_GB2312"/>
                <w:color w:val="auto"/>
                <w:kern w:val="0"/>
                <w:sz w:val="21"/>
                <w:szCs w:val="21"/>
              </w:rPr>
              <w:t>对商品混凝土搅拌站企业（行业）进行整治，明确整改标准，规范整改措施</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sz w:val="21"/>
                <w:szCs w:val="21"/>
              </w:rPr>
              <w:t>2.开展全</w:t>
            </w:r>
            <w:r>
              <w:rPr>
                <w:rFonts w:hint="eastAsia" w:ascii="仿宋_GB2312" w:hAnsi="仿宋_GB2312" w:eastAsia="仿宋_GB2312" w:cs="仿宋_GB2312"/>
                <w:color w:val="auto"/>
                <w:sz w:val="21"/>
                <w:szCs w:val="21"/>
                <w:lang w:eastAsia="zh-CN"/>
              </w:rPr>
              <w:t>县</w:t>
            </w:r>
            <w:r>
              <w:rPr>
                <w:rFonts w:hint="eastAsia" w:ascii="仿宋_GB2312" w:hAnsi="仿宋_GB2312" w:eastAsia="仿宋_GB2312" w:cs="仿宋_GB2312"/>
                <w:color w:val="auto"/>
                <w:sz w:val="21"/>
                <w:szCs w:val="21"/>
              </w:rPr>
              <w:t>商品混凝土搅拌站企业（行业）专项整治，创建标准化、规范化商品混凝土搅拌站企业，依法打击取缔非法搅拌站企业</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kern w:val="0"/>
                <w:sz w:val="21"/>
                <w:szCs w:val="21"/>
              </w:rPr>
              <w:t>3.建立健全长效监管机制和行业自律机制，落实绿色建材市场准入和退出相关要求，加强督导监管，监督企业防治污染，确保治理成效。</w:t>
            </w:r>
          </w:p>
        </w:tc>
        <w:tc>
          <w:tcPr>
            <w:tcW w:w="108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2021年9月30日</w:t>
            </w:r>
          </w:p>
        </w:tc>
        <w:tc>
          <w:tcPr>
            <w:tcW w:w="1284"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住建局</w:t>
            </w:r>
          </w:p>
        </w:tc>
        <w:tc>
          <w:tcPr>
            <w:tcW w:w="12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市生态环境局华容分局</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范文科</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p>
        </w:tc>
      </w:tr>
      <w:tr>
        <w:tblPrEx>
          <w:tblLayout w:type="fixed"/>
          <w:tblCellMar>
            <w:top w:w="0" w:type="dxa"/>
            <w:left w:w="0" w:type="dxa"/>
            <w:bottom w:w="0" w:type="dxa"/>
            <w:right w:w="0" w:type="dxa"/>
          </w:tblCellMar>
        </w:tblPrEx>
        <w:trPr>
          <w:trHeight w:val="749" w:hRule="atLeast"/>
        </w:trPr>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val="en-US" w:eastAsia="zh-CN"/>
              </w:rPr>
              <w:t>9</w:t>
            </w:r>
          </w:p>
        </w:tc>
        <w:tc>
          <w:tcPr>
            <w:tcW w:w="2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工业企业环境污染仍较突出，从对中央和省交办问题清单和群众信访举报问题现场核查情况来看，部分工业企业环境污染问题仍较突出。</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center"/>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加强工业企业环境监管，严格执法，督促企业落实环境保护主体责任。</w:t>
            </w:r>
          </w:p>
        </w:tc>
        <w:tc>
          <w:tcPr>
            <w:tcW w:w="3165"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监督企业落实主体责任，确保污染防治设施运行正常，污染物达标排放。2.依据属地管理原则，生态环境部门加大日常监管与巡查力度，严格落实行政执法“双随机一公开”制度。3.高度重视群众信访和投诉举报生态环境问题的调查核实和处理，加大打击环境违法行为的力度，保障群众的环境权益。4、强化环保宣传教育力度，增强企业的守法意识。</w:t>
            </w:r>
          </w:p>
        </w:tc>
        <w:tc>
          <w:tcPr>
            <w:tcW w:w="108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持续推进整改</w:t>
            </w:r>
          </w:p>
        </w:tc>
        <w:tc>
          <w:tcPr>
            <w:tcW w:w="1284"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市生态环境局华容分局</w:t>
            </w:r>
          </w:p>
        </w:tc>
        <w:tc>
          <w:tcPr>
            <w:tcW w:w="12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 w:hAnsi="仿宋" w:eastAsia="仿宋" w:cs="仿宋"/>
                <w:sz w:val="21"/>
                <w:szCs w:val="21"/>
              </w:rPr>
            </w:pPr>
            <w:r>
              <w:rPr>
                <w:rFonts w:hint="eastAsia" w:ascii="仿宋" w:hAnsi="仿宋" w:eastAsia="仿宋" w:cs="仿宋"/>
                <w:sz w:val="21"/>
                <w:szCs w:val="21"/>
                <w:lang w:eastAsia="zh-CN"/>
              </w:rPr>
              <w:t>县</w:t>
            </w:r>
            <w:r>
              <w:rPr>
                <w:rFonts w:hint="eastAsia" w:ascii="仿宋" w:hAnsi="仿宋" w:eastAsia="仿宋" w:cs="仿宋"/>
                <w:sz w:val="21"/>
                <w:szCs w:val="21"/>
              </w:rPr>
              <w:t>工信局</w:t>
            </w:r>
          </w:p>
          <w:p>
            <w:pPr>
              <w:pStyle w:val="18"/>
              <w:ind w:left="0" w:leftChars="0" w:firstLine="0" w:firstLineChars="0"/>
              <w:jc w:val="both"/>
              <w:rPr>
                <w:rFonts w:hint="eastAsia" w:eastAsia="仿宋_GB2312"/>
                <w:sz w:val="21"/>
                <w:szCs w:val="21"/>
                <w:lang w:eastAsia="zh-CN"/>
              </w:rPr>
            </w:pPr>
            <w:r>
              <w:rPr>
                <w:rFonts w:hint="eastAsia" w:ascii="仿宋" w:hAnsi="仿宋" w:eastAsia="仿宋" w:cs="仿宋"/>
                <w:color w:val="auto"/>
                <w:kern w:val="0"/>
                <w:sz w:val="21"/>
                <w:szCs w:val="21"/>
                <w:lang w:eastAsia="zh-CN"/>
              </w:rPr>
              <w:t>工业集中区</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范文科</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2021年6月30日完成集中整改。</w:t>
            </w:r>
          </w:p>
        </w:tc>
      </w:tr>
      <w:tr>
        <w:tblPrEx>
          <w:tblLayout w:type="fixed"/>
          <w:tblCellMar>
            <w:top w:w="0" w:type="dxa"/>
            <w:left w:w="0" w:type="dxa"/>
            <w:bottom w:w="0" w:type="dxa"/>
            <w:right w:w="0"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10</w:t>
            </w:r>
          </w:p>
        </w:tc>
        <w:tc>
          <w:tcPr>
            <w:tcW w:w="2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欧美黑杨清退进度滞后。华容县团州镇还有近100亩的欧美黑杨未清理完毕。</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center"/>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按期全面完成保护区欧美黑杨清退任务。</w:t>
            </w:r>
          </w:p>
        </w:tc>
        <w:tc>
          <w:tcPr>
            <w:tcW w:w="3165"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center"/>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1.督促加快欧美黑杨清退进度</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2.启动纪检监察督办机制，压实领导、部门、业主各方责任，强力推进整改，确保按时清退销号</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3.落实定期巡查长效监管机制，防止复种。</w:t>
            </w:r>
          </w:p>
        </w:tc>
        <w:tc>
          <w:tcPr>
            <w:tcW w:w="108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立行立改</w:t>
            </w:r>
          </w:p>
        </w:tc>
        <w:tc>
          <w:tcPr>
            <w:tcW w:w="1284"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林业局</w:t>
            </w:r>
          </w:p>
        </w:tc>
        <w:tc>
          <w:tcPr>
            <w:tcW w:w="12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市生态环境局华容分局</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范文科</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2020年12月下旬已完成整改销号</w:t>
            </w:r>
          </w:p>
        </w:tc>
      </w:tr>
      <w:tr>
        <w:tblPrEx>
          <w:tblLayout w:type="fixed"/>
          <w:tblCellMar>
            <w:top w:w="0" w:type="dxa"/>
            <w:left w:w="0" w:type="dxa"/>
            <w:bottom w:w="0" w:type="dxa"/>
            <w:right w:w="0" w:type="dxa"/>
          </w:tblCellMar>
        </w:tblPrEx>
        <w:trPr>
          <w:trHeight w:val="649" w:hRule="atLeast"/>
        </w:trPr>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11</w:t>
            </w:r>
          </w:p>
        </w:tc>
        <w:tc>
          <w:tcPr>
            <w:tcW w:w="2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污水收集处理尚有差距，部分城镇污水处理厂存在进水浓度偏低、管网不配套的问题；已建成的乡镇污水处理厂普遍存在管网配套建设滞后，进水浓度偏低的情况。</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pStyle w:val="3"/>
              <w:keepNext w:val="0"/>
              <w:keepLines w:val="0"/>
              <w:pageBreakBefore w:val="0"/>
              <w:widowControl/>
              <w:kinsoku/>
              <w:wordWrap/>
              <w:overflowPunct/>
              <w:topLinePunct w:val="0"/>
              <w:autoSpaceDE/>
              <w:autoSpaceDN/>
              <w:bidi w:val="0"/>
              <w:adjustRightInd/>
              <w:snapToGrid/>
              <w:spacing w:line="300" w:lineRule="exact"/>
              <w:jc w:val="both"/>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落实《湖南省县以上城市污水治理提质增效三年行动工作方案》（湘建城〔2019〕133号）、《湖南省乡镇污水处理设施建设四年行动实施方案(2019—2022年)》确定的目标，完善污水处理厂配套管网建设，确保污水处理厂正常运行。</w:t>
            </w:r>
          </w:p>
        </w:tc>
        <w:tc>
          <w:tcPr>
            <w:tcW w:w="3165"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城</w:t>
            </w:r>
            <w:r>
              <w:rPr>
                <w:rFonts w:hint="eastAsia" w:ascii="仿宋_GB2312" w:hAnsi="仿宋_GB2312" w:eastAsia="仿宋_GB2312" w:cs="仿宋_GB2312"/>
                <w:color w:val="auto"/>
                <w:kern w:val="0"/>
                <w:sz w:val="21"/>
                <w:szCs w:val="21"/>
                <w:lang w:eastAsia="zh-CN"/>
              </w:rPr>
              <w:t>区</w:t>
            </w:r>
            <w:r>
              <w:rPr>
                <w:rFonts w:hint="eastAsia" w:ascii="仿宋_GB2312" w:hAnsi="仿宋_GB2312" w:eastAsia="仿宋_GB2312" w:cs="仿宋_GB2312"/>
                <w:color w:val="auto"/>
                <w:kern w:val="0"/>
                <w:sz w:val="21"/>
                <w:szCs w:val="21"/>
              </w:rPr>
              <w:t>生活污水收集率在2018年基础上提高12个百分点</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严格落实乡镇污水处理设施厂网一体要求，厂区设施与配套管网同步设计、同步建设、同步验收。重点做好人口密集区域的截污工作，特别是干支管与入户管的接驳改造，确保污水收集率不低于80%。新建成项目一年内负荷率应达到50%，并逐年提高至满负荷运行。</w:t>
            </w:r>
          </w:p>
        </w:tc>
        <w:tc>
          <w:tcPr>
            <w:tcW w:w="108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2022年12月31日</w:t>
            </w:r>
          </w:p>
        </w:tc>
        <w:tc>
          <w:tcPr>
            <w:tcW w:w="1284"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住建局</w:t>
            </w:r>
          </w:p>
        </w:tc>
        <w:tc>
          <w:tcPr>
            <w:tcW w:w="12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市生态环境局华容分局</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范文科</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p>
        </w:tc>
      </w:tr>
      <w:tr>
        <w:tblPrEx>
          <w:tblLayout w:type="fixed"/>
          <w:tblCellMar>
            <w:top w:w="0" w:type="dxa"/>
            <w:left w:w="0" w:type="dxa"/>
            <w:bottom w:w="0" w:type="dxa"/>
            <w:right w:w="0" w:type="dxa"/>
          </w:tblCellMar>
        </w:tblPrEx>
        <w:trPr>
          <w:trHeight w:val="1106" w:hRule="atLeast"/>
        </w:trPr>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12</w:t>
            </w:r>
          </w:p>
        </w:tc>
        <w:tc>
          <w:tcPr>
            <w:tcW w:w="2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华容县麻浬泗污水处理厂和桥东污水处理厂进水浓度偏低。</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落实“一网一厂一策”系统化整治方案要求，建立污水收集处理系统长效管理机制，完成年度整治目标。</w:t>
            </w:r>
          </w:p>
        </w:tc>
        <w:tc>
          <w:tcPr>
            <w:tcW w:w="3165"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1.加快老旧城区、城乡结合部污水管网设施建设，消除管网空白区</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2.坚持新区污水管网规划建设与城市开发同步推进，严格实行雨污分流</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3.加快推进雨污分流制改造，积极推进合流制管道溢流污染的管控</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4.全面实施混错接、老旧破损管网改造及检查井改造等工程，尽量提升现有设施效能，华容县生活污水集中收集率在2018年基础上提高12个百分点，污水处理厂进水生化需氧量（BOD）浓度≧100mg/L。</w:t>
            </w:r>
          </w:p>
        </w:tc>
        <w:tc>
          <w:tcPr>
            <w:tcW w:w="108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2021年12月31日</w:t>
            </w:r>
          </w:p>
        </w:tc>
        <w:tc>
          <w:tcPr>
            <w:tcW w:w="1284"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住建局</w:t>
            </w:r>
          </w:p>
        </w:tc>
        <w:tc>
          <w:tcPr>
            <w:tcW w:w="12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市生态环境局华容分局</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范文科</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p>
        </w:tc>
      </w:tr>
      <w:tr>
        <w:tblPrEx>
          <w:tblLayout w:type="fixed"/>
          <w:tblCellMar>
            <w:top w:w="0" w:type="dxa"/>
            <w:left w:w="0" w:type="dxa"/>
            <w:bottom w:w="0" w:type="dxa"/>
            <w:right w:w="0" w:type="dxa"/>
          </w:tblCellMar>
        </w:tblPrEx>
        <w:trPr>
          <w:trHeight w:val="3531" w:hRule="atLeast"/>
        </w:trPr>
        <w:tc>
          <w:tcPr>
            <w:tcW w:w="5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13</w:t>
            </w:r>
          </w:p>
        </w:tc>
        <w:tc>
          <w:tcPr>
            <w:tcW w:w="27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left"/>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东洞庭湖水环境治理任务依然繁重。2020年1-8月，东洞庭湖等断面水质超Ⅲ类标准，主要是总磷超标；华容县部分断面水质同比出现下降；华容县地表水考核断面全省排名靠后。</w:t>
            </w:r>
          </w:p>
        </w:tc>
        <w:tc>
          <w:tcPr>
            <w:tcW w:w="23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按省政府《关于印发&lt;湖南省洞庭湖水环境综合治理规划实施方案（2018—2025年）＞的通知》（湘政发〔2019〕20号）落实，各断面水质稳定，逐年向好。（东洞庭湖各断面总磷年均浓度≦0.062mg/L，其他指标达到或优于Ⅲ类）</w:t>
            </w:r>
          </w:p>
        </w:tc>
        <w:tc>
          <w:tcPr>
            <w:tcW w:w="3165"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ind w:firstLine="420" w:firstLineChars="200"/>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1.落实水质控制断面日常巡查、监测预警、分析研判、枯水期应急等管控措施</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2.实施水环境综合治理，强化工业企业达标排放管理、生活污水截污处理、农业面源持续削减、水产养殖尾水达标等长效治理工作</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3.建立国控水质断面和其他重点水质断面施行断面长负责制，健全考核机制，压实主体、监督等各方责任。</w:t>
            </w:r>
          </w:p>
        </w:tc>
        <w:tc>
          <w:tcPr>
            <w:tcW w:w="108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2025年12月31日</w:t>
            </w:r>
          </w:p>
        </w:tc>
        <w:tc>
          <w:tcPr>
            <w:tcW w:w="1284"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pStyle w:val="11"/>
              <w:widowControl/>
              <w:spacing w:line="31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市生态环境局华容分局</w:t>
            </w:r>
          </w:p>
        </w:tc>
        <w:tc>
          <w:tcPr>
            <w:tcW w:w="12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eastAsia="zh-CN"/>
              </w:rPr>
              <w:t>县</w:t>
            </w:r>
            <w:r>
              <w:rPr>
                <w:rFonts w:hint="eastAsia" w:ascii="仿宋_GB2312" w:hAnsi="仿宋_GB2312" w:eastAsia="仿宋_GB2312" w:cs="仿宋_GB2312"/>
                <w:color w:val="auto"/>
                <w:kern w:val="0"/>
                <w:sz w:val="21"/>
                <w:szCs w:val="21"/>
              </w:rPr>
              <w:t>农业农村、水利、住建、城管、交通、林业等相关部门</w:t>
            </w:r>
          </w:p>
        </w:tc>
        <w:tc>
          <w:tcPr>
            <w:tcW w:w="9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center"/>
              <w:textAlignment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范文科</w:t>
            </w:r>
          </w:p>
        </w:tc>
        <w:tc>
          <w:tcPr>
            <w:tcW w:w="9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10" w:lineRule="exact"/>
              <w:jc w:val="both"/>
              <w:textAlignment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2021年12月31日完成集中整改</w:t>
            </w:r>
          </w:p>
        </w:tc>
      </w:tr>
      <w:bookmarkEnd w:id="0"/>
    </w:tbl>
    <w:p>
      <w:pPr>
        <w:pStyle w:val="37"/>
        <w:spacing w:line="548" w:lineRule="exact"/>
        <w:rPr>
          <w:rFonts w:hint="eastAsia" w:ascii="仿宋_GB2312" w:hAnsi="仿宋" w:eastAsia="仿宋_GB2312"/>
          <w:sz w:val="32"/>
          <w:szCs w:val="32"/>
          <w:lang w:val="en-US" w:eastAsia="zh-CN"/>
        </w:rPr>
      </w:pPr>
    </w:p>
    <w:p>
      <w:pPr>
        <w:pStyle w:val="37"/>
        <w:spacing w:line="548" w:lineRule="exac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附表5.5 </w:t>
      </w:r>
    </w:p>
    <w:p>
      <w:pPr>
        <w:pStyle w:val="37"/>
        <w:spacing w:line="548" w:lineRule="exact"/>
        <w:jc w:val="center"/>
        <w:rPr>
          <w:rFonts w:hint="eastAsia" w:ascii="宋体" w:hAnsi="宋体" w:eastAsia="宋体" w:cs="宋体"/>
          <w:b/>
          <w:bCs/>
          <w:kern w:val="2"/>
          <w:sz w:val="36"/>
          <w:szCs w:val="36"/>
          <w:lang w:val="en-US" w:eastAsia="zh-CN" w:bidi="ar-SA"/>
        </w:rPr>
      </w:pPr>
      <w:r>
        <w:rPr>
          <w:rFonts w:hint="eastAsia" w:ascii="方正小标宋简体" w:hAnsi="方正小标宋简体" w:eastAsia="方正小标宋简体" w:cs="方正小标宋简体"/>
          <w:b w:val="0"/>
          <w:bCs w:val="0"/>
          <w:sz w:val="40"/>
          <w:szCs w:val="40"/>
          <w:lang w:val="en-US" w:eastAsia="zh-CN"/>
        </w:rPr>
        <w:t>2021年湖南省生态环境警示片披露涉岳问题整改责任分解表</w:t>
      </w:r>
    </w:p>
    <w:tbl>
      <w:tblPr>
        <w:tblStyle w:val="17"/>
        <w:tblpPr w:leftFromText="180" w:rightFromText="180" w:vertAnchor="text" w:horzAnchor="page" w:tblpX="1468" w:tblpY="79"/>
        <w:tblOverlap w:val="never"/>
        <w:tblW w:w="14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45"/>
        <w:gridCol w:w="2550"/>
        <w:gridCol w:w="6525"/>
        <w:gridCol w:w="1181"/>
        <w:gridCol w:w="109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2" w:type="dxa"/>
            <w:vAlign w:val="center"/>
          </w:tcPr>
          <w:p>
            <w:pPr>
              <w:widowControl/>
              <w:spacing w:line="310" w:lineRule="exact"/>
              <w:jc w:val="center"/>
              <w:textAlignment w:val="center"/>
              <w:rPr>
                <w:rFonts w:hint="eastAsia"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序号</w:t>
            </w:r>
          </w:p>
        </w:tc>
        <w:tc>
          <w:tcPr>
            <w:tcW w:w="945" w:type="dxa"/>
            <w:vAlign w:val="center"/>
          </w:tcPr>
          <w:p>
            <w:pPr>
              <w:widowControl/>
              <w:spacing w:line="310" w:lineRule="exact"/>
              <w:jc w:val="center"/>
              <w:textAlignment w:val="center"/>
              <w:rPr>
                <w:rFonts w:hint="eastAsia"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问题</w:t>
            </w:r>
          </w:p>
          <w:p>
            <w:pPr>
              <w:widowControl/>
              <w:spacing w:line="310" w:lineRule="exact"/>
              <w:jc w:val="center"/>
              <w:textAlignment w:val="center"/>
              <w:rPr>
                <w:rFonts w:hint="eastAsia"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名称</w:t>
            </w:r>
          </w:p>
        </w:tc>
        <w:tc>
          <w:tcPr>
            <w:tcW w:w="2550" w:type="dxa"/>
            <w:vAlign w:val="center"/>
          </w:tcPr>
          <w:p>
            <w:pPr>
              <w:widowControl/>
              <w:spacing w:line="310" w:lineRule="exact"/>
              <w:jc w:val="center"/>
              <w:textAlignment w:val="center"/>
              <w:rPr>
                <w:rFonts w:hint="eastAsia"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问题描述</w:t>
            </w:r>
          </w:p>
        </w:tc>
        <w:tc>
          <w:tcPr>
            <w:tcW w:w="6525" w:type="dxa"/>
            <w:vAlign w:val="center"/>
          </w:tcPr>
          <w:p>
            <w:pPr>
              <w:widowControl/>
              <w:spacing w:line="310" w:lineRule="exact"/>
              <w:jc w:val="center"/>
              <w:textAlignment w:val="center"/>
              <w:rPr>
                <w:rFonts w:hint="eastAsia"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整改措施</w:t>
            </w:r>
          </w:p>
        </w:tc>
        <w:tc>
          <w:tcPr>
            <w:tcW w:w="1181" w:type="dxa"/>
            <w:vAlign w:val="center"/>
          </w:tcPr>
          <w:p>
            <w:pPr>
              <w:widowControl/>
              <w:spacing w:line="310" w:lineRule="exact"/>
              <w:jc w:val="center"/>
              <w:textAlignment w:val="center"/>
              <w:rPr>
                <w:rFonts w:hint="eastAsia"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整改</w:t>
            </w:r>
          </w:p>
          <w:p>
            <w:pPr>
              <w:widowControl/>
              <w:spacing w:line="310" w:lineRule="exact"/>
              <w:jc w:val="center"/>
              <w:textAlignment w:val="center"/>
              <w:rPr>
                <w:rFonts w:hint="eastAsia"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期限</w:t>
            </w:r>
          </w:p>
        </w:tc>
        <w:tc>
          <w:tcPr>
            <w:tcW w:w="1095" w:type="dxa"/>
            <w:vAlign w:val="center"/>
          </w:tcPr>
          <w:p>
            <w:pPr>
              <w:widowControl/>
              <w:spacing w:line="310" w:lineRule="exact"/>
              <w:jc w:val="center"/>
              <w:textAlignment w:val="center"/>
              <w:rPr>
                <w:rFonts w:hint="eastAsia"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牵头单位</w:t>
            </w:r>
          </w:p>
        </w:tc>
        <w:tc>
          <w:tcPr>
            <w:tcW w:w="1279" w:type="dxa"/>
            <w:vAlign w:val="center"/>
          </w:tcPr>
          <w:p>
            <w:pPr>
              <w:widowControl/>
              <w:spacing w:line="310" w:lineRule="exact"/>
              <w:jc w:val="center"/>
              <w:textAlignment w:val="center"/>
              <w:rPr>
                <w:rFonts w:hint="eastAsia" w:ascii="黑体" w:hAnsi="宋体" w:eastAsia="黑体" w:cs="黑体"/>
                <w:color w:val="000000"/>
                <w:kern w:val="0"/>
                <w:sz w:val="21"/>
                <w:szCs w:val="21"/>
                <w:lang w:val="en-US" w:eastAsia="zh-CN"/>
              </w:rPr>
            </w:pPr>
            <w:r>
              <w:rPr>
                <w:rFonts w:hint="eastAsia" w:ascii="黑体" w:hAnsi="宋体" w:eastAsia="黑体" w:cs="黑体"/>
                <w:color w:val="000000"/>
                <w:kern w:val="0"/>
                <w:sz w:val="21"/>
                <w:szCs w:val="21"/>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val="en-US" w:eastAsia="zh-CN"/>
              </w:rPr>
              <w:t>畜禽养殖场非法</w:t>
            </w:r>
            <w:r>
              <w:rPr>
                <w:rFonts w:hint="eastAsia" w:ascii="仿宋_GB2312" w:hAnsi="仿宋_GB2312" w:eastAsia="仿宋_GB2312" w:cs="仿宋_GB2312"/>
                <w:b/>
                <w:bCs/>
                <w:color w:val="auto"/>
                <w:sz w:val="21"/>
                <w:szCs w:val="21"/>
              </w:rPr>
              <w:t>排污突出问题</w:t>
            </w:r>
            <w:r>
              <w:rPr>
                <w:rFonts w:hint="eastAsia" w:ascii="仿宋_GB2312" w:hAnsi="仿宋_GB2312" w:eastAsia="仿宋_GB2312" w:cs="仿宋_GB2312"/>
                <w:b/>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color w:val="auto"/>
                <w:sz w:val="21"/>
                <w:szCs w:val="21"/>
                <w:vertAlign w:val="baseline"/>
                <w:lang w:val="en-US" w:eastAsia="zh-CN"/>
              </w:rPr>
            </w:pP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10" w:lineRule="exact"/>
              <w:ind w:firstLine="420" w:firstLineChars="200"/>
              <w:jc w:val="left"/>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lang w:val="en-US" w:eastAsia="zh-CN"/>
              </w:rPr>
              <w:t>畜禽养殖场未</w:t>
            </w:r>
            <w:r>
              <w:rPr>
                <w:rFonts w:hint="eastAsia" w:ascii="仿宋_GB2312" w:hAnsi="仿宋_GB2312" w:eastAsia="仿宋_GB2312" w:cs="仿宋_GB2312"/>
                <w:color w:val="auto"/>
                <w:sz w:val="21"/>
                <w:szCs w:val="21"/>
                <w:vertAlign w:val="baseline"/>
                <w:lang w:val="en-US" w:eastAsia="zh-CN"/>
              </w:rPr>
              <w:t>配套建设或不正常运行污染防治设施，养殖污水粪便直排外部环境或超标排放等现象仍然存在。</w:t>
            </w:r>
          </w:p>
        </w:tc>
        <w:tc>
          <w:tcPr>
            <w:tcW w:w="6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0" w:lineRule="exact"/>
              <w:jc w:val="both"/>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lang w:val="en-US" w:eastAsia="zh-CN"/>
              </w:rPr>
              <w:t>1.开展畜禽养殖场（养殖户）</w:t>
            </w:r>
            <w:r>
              <w:rPr>
                <w:rFonts w:hint="eastAsia" w:ascii="仿宋_GB2312" w:hAnsi="仿宋_GB2312" w:eastAsia="仿宋_GB2312" w:cs="仿宋_GB2312"/>
                <w:color w:val="auto"/>
                <w:sz w:val="21"/>
                <w:szCs w:val="21"/>
              </w:rPr>
              <w:t>排查</w:t>
            </w:r>
            <w:r>
              <w:rPr>
                <w:rFonts w:hint="eastAsia" w:ascii="仿宋_GB2312" w:hAnsi="仿宋_GB2312" w:eastAsia="仿宋_GB2312" w:cs="仿宋_GB2312"/>
                <w:color w:val="auto"/>
                <w:sz w:val="21"/>
                <w:szCs w:val="21"/>
                <w:lang w:val="en-US" w:eastAsia="zh-CN"/>
              </w:rPr>
              <w:t>，所有规模畜禽养殖场必须配套养殖粪污处理设施，并正常运行；规模以下专业养殖户必须配套养殖粪污处理或收集设施，并正常运行。2.未配套建设养殖粪污处理（收集）设施的养殖场（养殖户）一律依法停养整改，未按期完成整改的强制关停退出。3.加强养殖场（养殖户）配套粪污处理（收集）设施运行监管，严格执法，依法打击设施停运、超标排放等违法行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2021年12月30日</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县农业</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lang w:val="en-US" w:eastAsia="zh-CN"/>
              </w:rPr>
              <w:t>农村局</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sz w:val="21"/>
                <w:szCs w:val="21"/>
                <w:lang w:eastAsia="zh-CN"/>
              </w:rPr>
              <w:t>市生态环境局华容分局</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lang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2</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污水处理厂管网不配套、运行不规范问题。</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污水收集处理有差距，部分城镇污水处理厂存在进水浓度偏低、管网不配套；已建成的乡镇污水处理厂普遍存在管网配套建设滞后，进水浓度偏低的情况。</w:t>
            </w:r>
          </w:p>
        </w:tc>
        <w:tc>
          <w:tcPr>
            <w:tcW w:w="6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落实《湖南省县以上城市污水治理提质增效三年行动工作方案（2019-2021年）》（湘建城〔2019〕133号）、《湖南省乡镇污水处理设施建设四年行动实施方案(2019—2022年)》（湘政办发〔2019〕43号）确定的年度工作，完善污水处理厂配套管网建设，确保污水处理厂正常运行。2.加强对污水处理企业环境违法行为的查处力度，督促企业履行</w:t>
            </w:r>
            <w:r>
              <w:rPr>
                <w:rFonts w:hint="eastAsia" w:ascii="仿宋_GB2312" w:hAnsi="仿宋_GB2312" w:cs="仿宋_GB2312"/>
                <w:color w:val="auto"/>
                <w:sz w:val="21"/>
                <w:szCs w:val="21"/>
                <w:vertAlign w:val="baseline"/>
                <w:lang w:val="en-US" w:eastAsia="zh-CN"/>
              </w:rPr>
              <w:t>治污</w:t>
            </w:r>
            <w:r>
              <w:rPr>
                <w:rFonts w:hint="eastAsia" w:ascii="仿宋_GB2312" w:hAnsi="仿宋_GB2312" w:eastAsia="仿宋_GB2312" w:cs="仿宋_GB2312"/>
                <w:color w:val="auto"/>
                <w:sz w:val="21"/>
                <w:szCs w:val="21"/>
                <w:vertAlign w:val="baseline"/>
                <w:lang w:val="en-US" w:eastAsia="zh-CN"/>
              </w:rPr>
              <w:t>主体责任，实现稳定达标排放。</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2021年12月30日</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县住建局</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sz w:val="21"/>
                <w:szCs w:val="21"/>
                <w:vertAlign w:val="baseline"/>
                <w:lang w:val="en-US" w:eastAsia="zh-CN"/>
              </w:rPr>
              <w:t>市生态环境局华容分局</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县发改局</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3</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 xml:space="preserve"> 生活垃圾填埋场环境污染问题。</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生活垃圾填埋场存在管理落后，渗滤液处置不规范，环境风险突出等问题</w:t>
            </w:r>
            <w:r>
              <w:rPr>
                <w:rFonts w:hint="eastAsia" w:ascii="仿宋_GB2312" w:hAnsi="宋体" w:eastAsia="仿宋_GB2312" w:cs="宋体"/>
                <w:color w:val="auto"/>
                <w:kern w:val="0"/>
                <w:sz w:val="21"/>
                <w:szCs w:val="21"/>
              </w:rPr>
              <w:t>。</w:t>
            </w:r>
          </w:p>
        </w:tc>
        <w:tc>
          <w:tcPr>
            <w:tcW w:w="6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开展全县生活垃圾填埋场环境污染问题大调查大排查大整改，摸清现存问题，建立台帐，制定整改方案并落实整改。2.加强生活垃圾填埋场污染防治设施运行监督检查，严肃查处不正常运行污染防治设施、偷排、超标排放等问题。3.规范生活垃圾填埋场运营管理，加强督促指导，采取必要的应急防范措施降低环境风险。</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2021年12月30日</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市生态环境局华容分局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5" w:hRule="atLeast"/>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4</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华容县黄山光明养殖场环境管理混乱。</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黄山光明家禽养殖场用软管、斗车运输废水，涉嫌非法排污。现场环境紊乱，鸡粪露天堆积臭味难闻，未见防渗处理、无害化处理。</w:t>
            </w:r>
          </w:p>
        </w:tc>
        <w:tc>
          <w:tcPr>
            <w:tcW w:w="6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0" w:lineRule="exact"/>
              <w:jc w:val="left"/>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针对养殖场的问题，开展调查核实，依法查处涉嫌非法排污问题。2.责令养殖场立即开展环境整治工作，清理堆积粪便，对厂区进行定期消毒和常态化清洁。同时设置防雨防渗集中存放点。3.督促养殖场建设粪污收集、处理一体化设施并正常运行；加强后续监管，</w:t>
            </w:r>
            <w:r>
              <w:rPr>
                <w:rFonts w:hint="eastAsia" w:ascii="仿宋_GB2312" w:hAnsi="仿宋_GB2312" w:eastAsia="仿宋_GB2312" w:cs="仿宋_GB2312"/>
                <w:color w:val="auto"/>
                <w:sz w:val="21"/>
                <w:szCs w:val="21"/>
                <w:lang w:val="en-US" w:eastAsia="zh-CN"/>
              </w:rPr>
              <w:t>打击</w:t>
            </w:r>
            <w:r>
              <w:rPr>
                <w:rFonts w:hint="eastAsia" w:ascii="仿宋_GB2312" w:hAnsi="仿宋_GB2312" w:eastAsia="仿宋_GB2312" w:cs="仿宋_GB2312"/>
                <w:color w:val="auto"/>
                <w:sz w:val="21"/>
                <w:szCs w:val="21"/>
                <w:vertAlign w:val="baseline"/>
                <w:lang w:val="en-US" w:eastAsia="zh-CN"/>
              </w:rPr>
              <w:t>非法排污</w:t>
            </w:r>
            <w:r>
              <w:rPr>
                <w:rFonts w:hint="eastAsia" w:ascii="仿宋_GB2312" w:hAnsi="仿宋_GB2312" w:eastAsia="仿宋_GB2312" w:cs="仿宋_GB2312"/>
                <w:color w:val="auto"/>
                <w:sz w:val="21"/>
                <w:szCs w:val="21"/>
                <w:lang w:val="en-US" w:eastAsia="zh-CN"/>
              </w:rPr>
              <w:t>行为。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2021年12月30日</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sz w:val="21"/>
                <w:szCs w:val="21"/>
                <w:lang w:val="en-US" w:eastAsia="zh-CN"/>
              </w:rPr>
            </w:pPr>
            <w:r>
              <w:rPr>
                <w:rFonts w:hint="eastAsia" w:ascii="仿宋_GB2312" w:hAnsi="仿宋_GB2312" w:eastAsia="仿宋_GB2312" w:cs="仿宋_GB2312"/>
                <w:sz w:val="21"/>
                <w:szCs w:val="21"/>
                <w:vertAlign w:val="baseline"/>
                <w:lang w:val="en-US" w:eastAsia="zh-CN"/>
              </w:rPr>
              <w:t>县农业农村局、万庾镇人民政府</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市生态环境局华容分局</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rPr>
        <w:tc>
          <w:tcPr>
            <w:tcW w:w="562"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5</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both"/>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鼎山无害化垃圾处理厂排口不规范。</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污水排口不规范，</w:t>
            </w:r>
            <w:r>
              <w:rPr>
                <w:rFonts w:hint="eastAsia" w:ascii="仿宋_GB2312" w:hAnsi="仿宋_GB2312" w:cs="仿宋_GB2312"/>
                <w:color w:val="auto"/>
                <w:sz w:val="21"/>
                <w:szCs w:val="21"/>
                <w:vertAlign w:val="baseline"/>
                <w:lang w:val="en-US" w:eastAsia="zh-CN"/>
              </w:rPr>
              <w:t>有</w:t>
            </w:r>
            <w:r>
              <w:rPr>
                <w:rFonts w:hint="eastAsia" w:ascii="仿宋_GB2312" w:hAnsi="仿宋_GB2312" w:eastAsia="仿宋_GB2312" w:cs="仿宋_GB2312"/>
                <w:color w:val="auto"/>
                <w:sz w:val="21"/>
                <w:szCs w:val="21"/>
                <w:vertAlign w:val="baseline"/>
                <w:lang w:val="en-US" w:eastAsia="zh-CN"/>
              </w:rPr>
              <w:t>多个排水管道，在排污口增添了水泵。管理混乱，有多条软管暗管交错</w:t>
            </w:r>
            <w:r>
              <w:rPr>
                <w:rFonts w:hint="eastAsia" w:ascii="仿宋_GB2312" w:hAnsi="仿宋_GB2312" w:cs="仿宋_GB2312"/>
                <w:color w:val="auto"/>
                <w:sz w:val="21"/>
                <w:szCs w:val="21"/>
                <w:vertAlign w:val="baseline"/>
                <w:lang w:val="en-US" w:eastAsia="zh-CN"/>
              </w:rPr>
              <w:t>复</w:t>
            </w:r>
            <w:r>
              <w:rPr>
                <w:rFonts w:hint="eastAsia" w:ascii="仿宋_GB2312" w:hAnsi="仿宋_GB2312" w:eastAsia="仿宋_GB2312" w:cs="仿宋_GB2312"/>
                <w:color w:val="auto"/>
                <w:sz w:val="21"/>
                <w:szCs w:val="21"/>
                <w:vertAlign w:val="baseline"/>
                <w:lang w:val="en-US" w:eastAsia="zh-CN"/>
              </w:rPr>
              <w:t>杂，露天作业面积过大，危废管理混乱。</w:t>
            </w:r>
          </w:p>
        </w:tc>
        <w:tc>
          <w:tcPr>
            <w:tcW w:w="65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10" w:lineRule="exact"/>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开展鼎山垃圾处理厂排口不规范问题调查核实，依法查处涉嫌违法问题。2.责令鼎山垃圾处理厂规范设置排污口，拆除多余管道及设施，对管道、设备、构筑物等污染防治设施进行规范标识。3.督促企业加强员工培训指导，规范填埋作业和环境管理制度。</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2021年12月30日</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县城管局、</w:t>
            </w:r>
          </w:p>
          <w:p>
            <w:pPr>
              <w:pStyle w:val="18"/>
              <w:ind w:left="0" w:leftChars="0" w:firstLine="0" w:firstLineChars="0"/>
              <w:rPr>
                <w:rFonts w:hint="eastAsia"/>
                <w:sz w:val="21"/>
                <w:szCs w:val="21"/>
                <w:lang w:val="en-US" w:eastAsia="zh-CN"/>
              </w:rPr>
            </w:pPr>
            <w:r>
              <w:rPr>
                <w:rFonts w:hint="eastAsia" w:ascii="仿宋_GB2312" w:hAnsi="仿宋_GB2312" w:eastAsia="仿宋_GB2312" w:cs="仿宋_GB2312"/>
                <w:sz w:val="21"/>
                <w:szCs w:val="21"/>
                <w:vertAlign w:val="baseline"/>
                <w:lang w:val="en-US" w:eastAsia="zh-CN"/>
              </w:rPr>
              <w:t>首创公司</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sz w:val="21"/>
                <w:szCs w:val="21"/>
                <w:vertAlign w:val="baseline"/>
                <w:lang w:val="en-US" w:eastAsia="zh-CN"/>
              </w:rPr>
            </w:pPr>
          </w:p>
        </w:tc>
        <w:tc>
          <w:tcPr>
            <w:tcW w:w="1279"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市生态环境局华容分局</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eastAsia" w:ascii="仿宋_GB2312" w:hAnsi="仿宋_GB2312" w:eastAsia="仿宋_GB2312" w:cs="仿宋_GB2312"/>
                <w:sz w:val="21"/>
                <w:szCs w:val="21"/>
                <w:vertAlign w:val="baseline"/>
                <w:lang w:val="en-US" w:eastAsia="zh-CN"/>
              </w:rPr>
            </w:pPr>
          </w:p>
        </w:tc>
      </w:tr>
    </w:tbl>
    <w:p>
      <w:pPr>
        <w:pStyle w:val="37"/>
        <w:keepNext w:val="0"/>
        <w:keepLines w:val="0"/>
        <w:pageBreakBefore w:val="0"/>
        <w:widowControl w:val="0"/>
        <w:kinsoku/>
        <w:wordWrap/>
        <w:overflowPunct/>
        <w:topLinePunct w:val="0"/>
        <w:autoSpaceDE/>
        <w:autoSpaceDN/>
        <w:bidi w:val="0"/>
        <w:adjustRightInd/>
        <w:snapToGrid/>
        <w:spacing w:line="200" w:lineRule="exact"/>
        <w:textAlignment w:val="auto"/>
        <w:outlineLvl w:val="9"/>
        <w:rPr>
          <w:rFonts w:hint="eastAsia" w:ascii="仿宋" w:hAnsi="仿宋" w:eastAsia="仿宋" w:cs="仿宋"/>
          <w:b/>
          <w:bCs/>
          <w:kern w:val="2"/>
          <w:sz w:val="24"/>
          <w:szCs w:val="24"/>
          <w:lang w:val="en-US" w:eastAsia="zh-CN" w:bidi="ar-SA"/>
        </w:rPr>
      </w:pPr>
    </w:p>
    <w:p>
      <w:pPr>
        <w:pStyle w:val="37"/>
        <w:keepNext w:val="0"/>
        <w:keepLines w:val="0"/>
        <w:pageBreakBefore w:val="0"/>
        <w:widowControl w:val="0"/>
        <w:kinsoku/>
        <w:wordWrap/>
        <w:overflowPunct/>
        <w:topLinePunct w:val="0"/>
        <w:bidi w:val="0"/>
        <w:adjustRightInd/>
        <w:snapToGrid/>
        <w:spacing w:line="560" w:lineRule="exact"/>
        <w:textAlignment w:val="auto"/>
        <w:rPr>
          <w:rFonts w:hint="default" w:ascii="仿宋" w:hAnsi="仿宋" w:eastAsia="仿宋" w:cs="仿宋"/>
          <w:kern w:val="2"/>
          <w:sz w:val="24"/>
          <w:szCs w:val="24"/>
          <w:lang w:val="en-US" w:eastAsia="zh-CN" w:bidi="ar-SA"/>
        </w:rPr>
      </w:pPr>
      <w:r>
        <w:rPr>
          <w:rFonts w:hint="eastAsia" w:ascii="仿宋" w:hAnsi="仿宋" w:eastAsia="仿宋" w:cs="仿宋"/>
          <w:b/>
          <w:bCs/>
          <w:kern w:val="2"/>
          <w:sz w:val="24"/>
          <w:szCs w:val="24"/>
          <w:lang w:val="en-US" w:eastAsia="zh-CN" w:bidi="ar-SA"/>
        </w:rPr>
        <w:t>注:</w:t>
      </w:r>
      <w:r>
        <w:rPr>
          <w:rFonts w:hint="eastAsia" w:ascii="仿宋" w:hAnsi="仿宋" w:eastAsia="仿宋" w:cs="仿宋"/>
          <w:kern w:val="2"/>
          <w:sz w:val="24"/>
          <w:szCs w:val="24"/>
          <w:lang w:val="en-US" w:eastAsia="zh-CN" w:bidi="ar-SA"/>
        </w:rPr>
        <w:t>上述工作(项目)如有已提前完成了的,只需巩固成效,防止反弹,按要求做好销号(或验收、备报)即可。</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06425" cy="3651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06425" cy="36512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仿宋_GB2312"/>
                              <w:sz w:val="28"/>
                              <w:szCs w:val="28"/>
                              <w:lang w:val="en-US" w:eastAsia="zh-CN"/>
                            </w:rPr>
                          </w:pPr>
                          <w:r>
                            <w:rPr>
                              <w:rFonts w:hint="eastAsia"/>
                              <w:sz w:val="28"/>
                              <w:szCs w:val="28"/>
                              <w:lang w:val="en-US"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75pt;width:47.75pt;mso-position-horizontal:center;mso-position-horizontal-relative:margin;z-index:251660288;mso-width-relative:page;mso-height-relative:page;" filled="f" stroked="f" coordsize="21600,21600" o:gfxdata="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H5GWs7TAAAAAwEAAA8A&#10;AAAAAAAAAQAgAAAAIgAAAGRycy9kb3ducmV2LnhtbFBLAQIUABQAAAAIAIdO4kCajufTxwIAANYF&#10;AAAOAAAAAAAAAAEAIAAAACIBAABkcnMvZTJvRG9jLnhtbFBLBQYAAAAABgAGAFkBAABbBgAAAAA=&#10;">
              <v:fill on="f" focussize="0,0"/>
              <v:stroke on="f" weight="0.5pt"/>
              <v:imagedata o:title=""/>
              <o:lock v:ext="edit" aspectratio="f"/>
              <v:textbox inset="0mm,0mm,0mm,0mm">
                <w:txbxContent>
                  <w:p>
                    <w:pPr>
                      <w:pStyle w:val="9"/>
                      <w:jc w:val="center"/>
                      <w:rPr>
                        <w:rFonts w:hint="eastAsia" w:eastAsia="仿宋_GB2312"/>
                        <w:sz w:val="28"/>
                        <w:szCs w:val="28"/>
                        <w:lang w:val="en-US" w:eastAsia="zh-CN"/>
                      </w:rPr>
                    </w:pPr>
                    <w:r>
                      <w:rPr>
                        <w:rFonts w:hint="eastAsia"/>
                        <w:sz w:val="28"/>
                        <w:szCs w:val="28"/>
                        <w:lang w:val="en-US"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1680" w:hanging="480" w:hangingChars="200"/>
      <w:jc w:val="center"/>
      <w:rPr>
        <w:rFonts w:ascii="宋体"/>
        <w:sz w:val="24"/>
      </w:rPr>
    </w:pPr>
    <w:r>
      <w:rPr>
        <w:rFonts w:ascii="宋体" w:hAnsi="宋体"/>
        <w:sz w:val="24"/>
      </w:rPr>
      <w:fldChar w:fldCharType="begin"/>
    </w:r>
    <w:r>
      <w:rPr>
        <w:rFonts w:ascii="宋体" w:hAnsi="宋体"/>
        <w:sz w:val="24"/>
      </w:rPr>
      <w:instrText xml:space="preserve"> PAGE  \* ArabicDash  \* MERGEFORMAT </w:instrText>
    </w:r>
    <w:r>
      <w:rPr>
        <w:rFonts w:ascii="宋体" w:hAnsi="宋体"/>
        <w:sz w:val="24"/>
      </w:rPr>
      <w:fldChar w:fldCharType="separate"/>
    </w:r>
    <w:r>
      <w:rPr>
        <w:rFonts w:ascii="宋体" w:hAnsi="宋体"/>
        <w:sz w:val="24"/>
      </w:rPr>
      <w:t>- 2 -</w:t>
    </w:r>
    <w:r>
      <w:rPr>
        <w:rFonts w:ascii="宋体" w:hAnsi="宋体"/>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lang w:val="en-US" w:eastAsia="zh-CN"/>
                            </w:rPr>
                            <w:t xml:space="preserve"> 13 -</w:t>
                          </w:r>
                          <w:r>
                            <w:rPr>
                              <w:rFonts w:ascii="宋体" w:hAnsi="宋体" w:eastAsia="宋体"/>
                              <w:sz w:val="28"/>
                              <w:szCs w:val="28"/>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0RoK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AZJY5bHNH+54/9r9f9y3dynd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Hl0RoK8BAABL&#10;AwAADgAAAAAAAAABACAAAAAeAQAAZHJzL2Uyb0RvYy54bWxQSwUGAAAAAAYABgBZAQAAPwUAAAAA&#10;">
              <v:fill on="f" focussize="0,0"/>
              <v:stroke on="f"/>
              <v:imagedata o:title=""/>
              <o:lock v:ext="edit" aspectratio="f"/>
              <v:textbox inset="0mm,0mm,0mm,0mm" style="mso-fit-shape-to-text:t;">
                <w:txbxContent>
                  <w:p>
                    <w:pPr>
                      <w:pStyle w:val="9"/>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eastAsia="zh-CN"/>
                      </w:rPr>
                      <w:t>-</w:t>
                    </w:r>
                    <w:r>
                      <w:rPr>
                        <w:rFonts w:ascii="宋体" w:hAnsi="宋体" w:eastAsia="宋体"/>
                        <w:sz w:val="28"/>
                        <w:szCs w:val="28"/>
                        <w:lang w:val="en-US" w:eastAsia="zh-CN"/>
                      </w:rPr>
                      <w:t xml:space="preserve"> 13 -</w:t>
                    </w:r>
                    <w:r>
                      <w:rPr>
                        <w:rFonts w:ascii="宋体" w:hAnsi="宋体" w:eastAsia="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KFla8BAABLAwAADgAAAGRycy9lMm9Eb2MueG1srVNLbtswEN0XyB0I&#10;7mPKRlA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uKFla8BAABL&#10;AwAADgAAAAAAAAABACAAAAAeAQAAZHJzL2Uyb0RvYy54bWxQSwUGAAAAAAYABgBZAQAAPwUAAAAA&#10;">
              <v:fill on="f" focussize="0,0"/>
              <v:stroke on="f"/>
              <v:imagedata o:title=""/>
              <o:lock v:ext="edit" aspectratio="f"/>
              <v:textbox inset="0mm,0mm,0mm,0mm" style="mso-fit-shape-to-text:t;">
                <w:txbxContent>
                  <w:p>
                    <w:pPr>
                      <w:pStyle w:val="9"/>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ascii="宋体" w:hAnsi="宋体" w:eastAsia="宋体"/>
                              <w:sz w:val="24"/>
                              <w:szCs w:val="24"/>
                            </w:rPr>
                            <w:fldChar w:fldCharType="begin"/>
                          </w:r>
                          <w:r>
                            <w:rPr>
                              <w:rFonts w:ascii="宋体" w:hAnsi="宋体" w:eastAsia="宋体"/>
                              <w:sz w:val="24"/>
                              <w:szCs w:val="24"/>
                            </w:rPr>
                            <w:instrText xml:space="preserve"> PAGE  \* ArabicDash  \* MERGEFORMAT </w:instrText>
                          </w:r>
                          <w:r>
                            <w:rPr>
                              <w:rFonts w:ascii="宋体" w:hAnsi="宋体" w:eastAsia="宋体"/>
                              <w:sz w:val="24"/>
                              <w:szCs w:val="24"/>
                            </w:rPr>
                            <w:fldChar w:fldCharType="separate"/>
                          </w:r>
                          <w:r>
                            <w:rPr>
                              <w:rFonts w:ascii="宋体" w:hAnsi="宋体" w:eastAsia="宋体"/>
                              <w:sz w:val="24"/>
                              <w:szCs w:val="24"/>
                            </w:rPr>
                            <w:t>- 2 -</w:t>
                          </w:r>
                          <w:r>
                            <w:rPr>
                              <w:rFonts w:ascii="宋体" w:hAnsi="宋体" w:eastAsia="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9"/>
                      <w:jc w:val="center"/>
                    </w:pPr>
                    <w:r>
                      <w:rPr>
                        <w:rFonts w:ascii="宋体" w:hAnsi="宋体" w:eastAsia="宋体"/>
                        <w:sz w:val="24"/>
                        <w:szCs w:val="24"/>
                      </w:rPr>
                      <w:fldChar w:fldCharType="begin"/>
                    </w:r>
                    <w:r>
                      <w:rPr>
                        <w:rFonts w:ascii="宋体" w:hAnsi="宋体" w:eastAsia="宋体"/>
                        <w:sz w:val="24"/>
                        <w:szCs w:val="24"/>
                      </w:rPr>
                      <w:instrText xml:space="preserve"> PAGE  \* ArabicDash  \* MERGEFORMAT </w:instrText>
                    </w:r>
                    <w:r>
                      <w:rPr>
                        <w:rFonts w:ascii="宋体" w:hAnsi="宋体" w:eastAsia="宋体"/>
                        <w:sz w:val="24"/>
                        <w:szCs w:val="24"/>
                      </w:rPr>
                      <w:fldChar w:fldCharType="separate"/>
                    </w:r>
                    <w:r>
                      <w:rPr>
                        <w:rFonts w:ascii="宋体" w:hAnsi="宋体" w:eastAsia="宋体"/>
                        <w:sz w:val="24"/>
                        <w:szCs w:val="24"/>
                      </w:rPr>
                      <w:t>- 2 -</w:t>
                    </w:r>
                    <w:r>
                      <w:rPr>
                        <w:rFonts w:ascii="宋体" w:hAnsi="宋体" w:eastAsia="宋体"/>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80" w:hanging="480" w:hangingChars="200"/>
      <w:jc w:val="center"/>
      <w:rPr>
        <w:rFonts w:ascii="宋体" w:hAnsi="宋体" w:eastAsia="宋体"/>
        <w:sz w:val="24"/>
      </w:rPr>
    </w:pPr>
    <w:r>
      <w:rPr>
        <w:rFonts w:ascii="宋体" w:hAnsi="宋体" w:eastAsia="宋体"/>
        <w:sz w:val="24"/>
      </w:rPr>
      <w:fldChar w:fldCharType="begin"/>
    </w:r>
    <w:r>
      <w:rPr>
        <w:rFonts w:ascii="宋体" w:hAnsi="宋体" w:eastAsia="宋体"/>
        <w:sz w:val="24"/>
      </w:rPr>
      <w:instrText xml:space="preserve"> PAGE  \* ArabicDash  \* MERGEFORMAT </w:instrText>
    </w:r>
    <w:r>
      <w:rPr>
        <w:rFonts w:ascii="宋体" w:hAnsi="宋体" w:eastAsia="宋体"/>
        <w:sz w:val="24"/>
      </w:rPr>
      <w:fldChar w:fldCharType="separate"/>
    </w:r>
    <w:r>
      <w:rPr>
        <w:rFonts w:ascii="宋体" w:hAnsi="宋体" w:eastAsia="宋体"/>
        <w:sz w:val="24"/>
      </w:rPr>
      <w:t>- 2 -</w:t>
    </w:r>
    <w:r>
      <w:rPr>
        <w:rFonts w:ascii="宋体" w:hAnsi="宋体" w:eastAsia="宋体"/>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76D6A9"/>
    <w:multiLevelType w:val="singleLevel"/>
    <w:tmpl w:val="F276D6A9"/>
    <w:lvl w:ilvl="0" w:tentative="0">
      <w:start w:val="3"/>
      <w:numFmt w:val="chineseCounting"/>
      <w:suff w:val="nothing"/>
      <w:lvlText w:val="%1、"/>
      <w:lvlJc w:val="left"/>
      <w:rPr>
        <w:rFonts w:hint="eastAsia"/>
      </w:rPr>
    </w:lvl>
  </w:abstractNum>
  <w:abstractNum w:abstractNumId="1">
    <w:nsid w:val="32BAC22E"/>
    <w:multiLevelType w:val="singleLevel"/>
    <w:tmpl w:val="32BAC22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60"/>
  <w:drawingGridVerticalSpacing w:val="22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F2D"/>
    <w:rsid w:val="0000730D"/>
    <w:rsid w:val="000114AA"/>
    <w:rsid w:val="00011AFB"/>
    <w:rsid w:val="0002108E"/>
    <w:rsid w:val="0002209B"/>
    <w:rsid w:val="0003100A"/>
    <w:rsid w:val="00034E04"/>
    <w:rsid w:val="000369D0"/>
    <w:rsid w:val="00043841"/>
    <w:rsid w:val="00043C10"/>
    <w:rsid w:val="00052726"/>
    <w:rsid w:val="00055BAA"/>
    <w:rsid w:val="0005625D"/>
    <w:rsid w:val="000565E5"/>
    <w:rsid w:val="00056F2E"/>
    <w:rsid w:val="00064E49"/>
    <w:rsid w:val="000665E2"/>
    <w:rsid w:val="00082F97"/>
    <w:rsid w:val="000861C8"/>
    <w:rsid w:val="000900FD"/>
    <w:rsid w:val="00093AAF"/>
    <w:rsid w:val="000A053B"/>
    <w:rsid w:val="000A224C"/>
    <w:rsid w:val="000A4DB6"/>
    <w:rsid w:val="000A5194"/>
    <w:rsid w:val="000A5A5E"/>
    <w:rsid w:val="000B6FC5"/>
    <w:rsid w:val="000B792B"/>
    <w:rsid w:val="000C1C10"/>
    <w:rsid w:val="000C38E3"/>
    <w:rsid w:val="000E68A9"/>
    <w:rsid w:val="000F390C"/>
    <w:rsid w:val="00102990"/>
    <w:rsid w:val="00110E4A"/>
    <w:rsid w:val="001111C6"/>
    <w:rsid w:val="00117020"/>
    <w:rsid w:val="001175E3"/>
    <w:rsid w:val="00126927"/>
    <w:rsid w:val="0012733A"/>
    <w:rsid w:val="00137561"/>
    <w:rsid w:val="00142F60"/>
    <w:rsid w:val="00144591"/>
    <w:rsid w:val="00155959"/>
    <w:rsid w:val="001565AC"/>
    <w:rsid w:val="00172A27"/>
    <w:rsid w:val="001845FC"/>
    <w:rsid w:val="00193C64"/>
    <w:rsid w:val="001961CE"/>
    <w:rsid w:val="00197AFF"/>
    <w:rsid w:val="001A19FE"/>
    <w:rsid w:val="001A3519"/>
    <w:rsid w:val="001A4F36"/>
    <w:rsid w:val="001A60CD"/>
    <w:rsid w:val="001B4326"/>
    <w:rsid w:val="001B6C75"/>
    <w:rsid w:val="001C137D"/>
    <w:rsid w:val="001C2B5B"/>
    <w:rsid w:val="001C5BBA"/>
    <w:rsid w:val="001D0488"/>
    <w:rsid w:val="001D58D3"/>
    <w:rsid w:val="001D671B"/>
    <w:rsid w:val="001E1C6A"/>
    <w:rsid w:val="001E55E9"/>
    <w:rsid w:val="001E5EE9"/>
    <w:rsid w:val="001F7F1D"/>
    <w:rsid w:val="00200893"/>
    <w:rsid w:val="002037BF"/>
    <w:rsid w:val="0020785C"/>
    <w:rsid w:val="002142BA"/>
    <w:rsid w:val="002155E0"/>
    <w:rsid w:val="00220A41"/>
    <w:rsid w:val="002210D7"/>
    <w:rsid w:val="00234994"/>
    <w:rsid w:val="00235E18"/>
    <w:rsid w:val="00237218"/>
    <w:rsid w:val="0024035F"/>
    <w:rsid w:val="002475CD"/>
    <w:rsid w:val="00250B7A"/>
    <w:rsid w:val="00254BF1"/>
    <w:rsid w:val="0025573F"/>
    <w:rsid w:val="00262BD6"/>
    <w:rsid w:val="0027257F"/>
    <w:rsid w:val="00272F8C"/>
    <w:rsid w:val="0029234C"/>
    <w:rsid w:val="0029282D"/>
    <w:rsid w:val="00297BBA"/>
    <w:rsid w:val="002A1AB0"/>
    <w:rsid w:val="002A2057"/>
    <w:rsid w:val="002A5082"/>
    <w:rsid w:val="002A72A6"/>
    <w:rsid w:val="002B3F36"/>
    <w:rsid w:val="002B501E"/>
    <w:rsid w:val="002B5393"/>
    <w:rsid w:val="002B593F"/>
    <w:rsid w:val="002C3588"/>
    <w:rsid w:val="002C5826"/>
    <w:rsid w:val="002D0E22"/>
    <w:rsid w:val="002D2EC3"/>
    <w:rsid w:val="002D31B6"/>
    <w:rsid w:val="002D5695"/>
    <w:rsid w:val="002D73E7"/>
    <w:rsid w:val="002E6E49"/>
    <w:rsid w:val="002F425A"/>
    <w:rsid w:val="002F60C7"/>
    <w:rsid w:val="003006D4"/>
    <w:rsid w:val="00304F6C"/>
    <w:rsid w:val="003120A4"/>
    <w:rsid w:val="003132F2"/>
    <w:rsid w:val="00315196"/>
    <w:rsid w:val="00316176"/>
    <w:rsid w:val="00321BB9"/>
    <w:rsid w:val="00321EB6"/>
    <w:rsid w:val="003256A7"/>
    <w:rsid w:val="00326C1B"/>
    <w:rsid w:val="00332641"/>
    <w:rsid w:val="00333EF0"/>
    <w:rsid w:val="00334EB3"/>
    <w:rsid w:val="00337D78"/>
    <w:rsid w:val="00344259"/>
    <w:rsid w:val="00344384"/>
    <w:rsid w:val="0034767F"/>
    <w:rsid w:val="003509DA"/>
    <w:rsid w:val="003540FF"/>
    <w:rsid w:val="00354C6F"/>
    <w:rsid w:val="00356341"/>
    <w:rsid w:val="00362E57"/>
    <w:rsid w:val="00364CD9"/>
    <w:rsid w:val="00365476"/>
    <w:rsid w:val="00372ED2"/>
    <w:rsid w:val="00373DEB"/>
    <w:rsid w:val="0037659A"/>
    <w:rsid w:val="00386056"/>
    <w:rsid w:val="00390609"/>
    <w:rsid w:val="00394DE2"/>
    <w:rsid w:val="00394FA9"/>
    <w:rsid w:val="003A308A"/>
    <w:rsid w:val="003B11F0"/>
    <w:rsid w:val="003C5950"/>
    <w:rsid w:val="003D2595"/>
    <w:rsid w:val="003D5771"/>
    <w:rsid w:val="003D630D"/>
    <w:rsid w:val="003D6D05"/>
    <w:rsid w:val="003E1089"/>
    <w:rsid w:val="003F05FC"/>
    <w:rsid w:val="00403445"/>
    <w:rsid w:val="00407B38"/>
    <w:rsid w:val="00413CD4"/>
    <w:rsid w:val="004215AF"/>
    <w:rsid w:val="004377AF"/>
    <w:rsid w:val="00443C32"/>
    <w:rsid w:val="00462448"/>
    <w:rsid w:val="00462CC5"/>
    <w:rsid w:val="00465458"/>
    <w:rsid w:val="00466648"/>
    <w:rsid w:val="00467157"/>
    <w:rsid w:val="00467417"/>
    <w:rsid w:val="004708E9"/>
    <w:rsid w:val="0049088A"/>
    <w:rsid w:val="00494CCE"/>
    <w:rsid w:val="004A4A15"/>
    <w:rsid w:val="004A4C69"/>
    <w:rsid w:val="004B53B2"/>
    <w:rsid w:val="004D433E"/>
    <w:rsid w:val="004D4F71"/>
    <w:rsid w:val="004D6FC5"/>
    <w:rsid w:val="004E1E24"/>
    <w:rsid w:val="004E4E6E"/>
    <w:rsid w:val="004E6B11"/>
    <w:rsid w:val="004F0E2B"/>
    <w:rsid w:val="004F4BBA"/>
    <w:rsid w:val="004F7E5D"/>
    <w:rsid w:val="00532FA0"/>
    <w:rsid w:val="005343CF"/>
    <w:rsid w:val="00544B03"/>
    <w:rsid w:val="005476FE"/>
    <w:rsid w:val="00550267"/>
    <w:rsid w:val="00551DDB"/>
    <w:rsid w:val="00553281"/>
    <w:rsid w:val="0055457F"/>
    <w:rsid w:val="005547B3"/>
    <w:rsid w:val="00571F94"/>
    <w:rsid w:val="0057311C"/>
    <w:rsid w:val="005745C1"/>
    <w:rsid w:val="00580DC6"/>
    <w:rsid w:val="00590CC6"/>
    <w:rsid w:val="00596846"/>
    <w:rsid w:val="00597F57"/>
    <w:rsid w:val="005A129C"/>
    <w:rsid w:val="005A205D"/>
    <w:rsid w:val="005A455A"/>
    <w:rsid w:val="005A51F9"/>
    <w:rsid w:val="005A5782"/>
    <w:rsid w:val="005B5CAE"/>
    <w:rsid w:val="005C11B4"/>
    <w:rsid w:val="005C4E0F"/>
    <w:rsid w:val="005C7C6A"/>
    <w:rsid w:val="005D4C7A"/>
    <w:rsid w:val="005D5CF6"/>
    <w:rsid w:val="005E2135"/>
    <w:rsid w:val="005E2EFF"/>
    <w:rsid w:val="005E5091"/>
    <w:rsid w:val="005E6E7D"/>
    <w:rsid w:val="00600AD7"/>
    <w:rsid w:val="006028B3"/>
    <w:rsid w:val="00604BAE"/>
    <w:rsid w:val="00607CB2"/>
    <w:rsid w:val="006112D7"/>
    <w:rsid w:val="00613E17"/>
    <w:rsid w:val="0061604F"/>
    <w:rsid w:val="00616FA4"/>
    <w:rsid w:val="00622054"/>
    <w:rsid w:val="00630AFA"/>
    <w:rsid w:val="006430EF"/>
    <w:rsid w:val="00650B29"/>
    <w:rsid w:val="00661A67"/>
    <w:rsid w:val="00663927"/>
    <w:rsid w:val="00670A87"/>
    <w:rsid w:val="00676B83"/>
    <w:rsid w:val="00677458"/>
    <w:rsid w:val="00684412"/>
    <w:rsid w:val="00685557"/>
    <w:rsid w:val="00685D47"/>
    <w:rsid w:val="006A07A6"/>
    <w:rsid w:val="006A4437"/>
    <w:rsid w:val="006A4757"/>
    <w:rsid w:val="006A721B"/>
    <w:rsid w:val="006A78AA"/>
    <w:rsid w:val="006B134A"/>
    <w:rsid w:val="006B6153"/>
    <w:rsid w:val="006B6A4D"/>
    <w:rsid w:val="006C1B26"/>
    <w:rsid w:val="006C1C9F"/>
    <w:rsid w:val="006D5D16"/>
    <w:rsid w:val="006D7939"/>
    <w:rsid w:val="0070031B"/>
    <w:rsid w:val="007143D7"/>
    <w:rsid w:val="00715911"/>
    <w:rsid w:val="00715FD2"/>
    <w:rsid w:val="00724510"/>
    <w:rsid w:val="00724B15"/>
    <w:rsid w:val="00727042"/>
    <w:rsid w:val="00734711"/>
    <w:rsid w:val="007414FB"/>
    <w:rsid w:val="00743134"/>
    <w:rsid w:val="00743B1C"/>
    <w:rsid w:val="0074789C"/>
    <w:rsid w:val="00750B3B"/>
    <w:rsid w:val="007610D2"/>
    <w:rsid w:val="0076208C"/>
    <w:rsid w:val="00762145"/>
    <w:rsid w:val="00781E62"/>
    <w:rsid w:val="00790E6C"/>
    <w:rsid w:val="0079321D"/>
    <w:rsid w:val="007A122A"/>
    <w:rsid w:val="007A73FD"/>
    <w:rsid w:val="007C05E5"/>
    <w:rsid w:val="007C2992"/>
    <w:rsid w:val="007C51E5"/>
    <w:rsid w:val="007D3E68"/>
    <w:rsid w:val="007D7B33"/>
    <w:rsid w:val="007E33DD"/>
    <w:rsid w:val="007E58B8"/>
    <w:rsid w:val="007F16D5"/>
    <w:rsid w:val="007F3AB6"/>
    <w:rsid w:val="007F5615"/>
    <w:rsid w:val="007F5CDA"/>
    <w:rsid w:val="007F64A9"/>
    <w:rsid w:val="008068B1"/>
    <w:rsid w:val="008074FD"/>
    <w:rsid w:val="008103E8"/>
    <w:rsid w:val="00827CAB"/>
    <w:rsid w:val="00835E55"/>
    <w:rsid w:val="0084182C"/>
    <w:rsid w:val="00842142"/>
    <w:rsid w:val="00843AC8"/>
    <w:rsid w:val="0085094E"/>
    <w:rsid w:val="00855132"/>
    <w:rsid w:val="00865007"/>
    <w:rsid w:val="008708F1"/>
    <w:rsid w:val="00871569"/>
    <w:rsid w:val="008775D6"/>
    <w:rsid w:val="00884690"/>
    <w:rsid w:val="008B0B8A"/>
    <w:rsid w:val="008B151F"/>
    <w:rsid w:val="008B3E4F"/>
    <w:rsid w:val="008D32F7"/>
    <w:rsid w:val="008E313F"/>
    <w:rsid w:val="008F634C"/>
    <w:rsid w:val="008F67E5"/>
    <w:rsid w:val="00904C5B"/>
    <w:rsid w:val="00906E1E"/>
    <w:rsid w:val="009078CE"/>
    <w:rsid w:val="0091451F"/>
    <w:rsid w:val="00922F55"/>
    <w:rsid w:val="00924BDE"/>
    <w:rsid w:val="00930527"/>
    <w:rsid w:val="00930E7D"/>
    <w:rsid w:val="00933D8A"/>
    <w:rsid w:val="00941414"/>
    <w:rsid w:val="00941DDC"/>
    <w:rsid w:val="00945C60"/>
    <w:rsid w:val="009509FC"/>
    <w:rsid w:val="00951BC6"/>
    <w:rsid w:val="009536F6"/>
    <w:rsid w:val="0095512C"/>
    <w:rsid w:val="00955528"/>
    <w:rsid w:val="009670A9"/>
    <w:rsid w:val="00972A2D"/>
    <w:rsid w:val="00977BA2"/>
    <w:rsid w:val="00984AD1"/>
    <w:rsid w:val="00986979"/>
    <w:rsid w:val="00995EFB"/>
    <w:rsid w:val="009B1D6E"/>
    <w:rsid w:val="009C1B44"/>
    <w:rsid w:val="009C3C71"/>
    <w:rsid w:val="009C67E4"/>
    <w:rsid w:val="009C6929"/>
    <w:rsid w:val="009D1588"/>
    <w:rsid w:val="009D3E15"/>
    <w:rsid w:val="009D524C"/>
    <w:rsid w:val="009E1BDF"/>
    <w:rsid w:val="009E7769"/>
    <w:rsid w:val="009F1E01"/>
    <w:rsid w:val="009F5731"/>
    <w:rsid w:val="00A01F0E"/>
    <w:rsid w:val="00A0364C"/>
    <w:rsid w:val="00A07EEF"/>
    <w:rsid w:val="00A14525"/>
    <w:rsid w:val="00A1481D"/>
    <w:rsid w:val="00A15DAA"/>
    <w:rsid w:val="00A24DD5"/>
    <w:rsid w:val="00A300EB"/>
    <w:rsid w:val="00A3044D"/>
    <w:rsid w:val="00A32E15"/>
    <w:rsid w:val="00A434AA"/>
    <w:rsid w:val="00A4420D"/>
    <w:rsid w:val="00A556B4"/>
    <w:rsid w:val="00A57AE3"/>
    <w:rsid w:val="00A6449B"/>
    <w:rsid w:val="00A6657F"/>
    <w:rsid w:val="00A66700"/>
    <w:rsid w:val="00A72BA9"/>
    <w:rsid w:val="00A735C4"/>
    <w:rsid w:val="00A742FE"/>
    <w:rsid w:val="00A74454"/>
    <w:rsid w:val="00A77219"/>
    <w:rsid w:val="00A77BAD"/>
    <w:rsid w:val="00A83970"/>
    <w:rsid w:val="00A90B71"/>
    <w:rsid w:val="00A944BF"/>
    <w:rsid w:val="00AA71CD"/>
    <w:rsid w:val="00AB4E1B"/>
    <w:rsid w:val="00AB7521"/>
    <w:rsid w:val="00AB7966"/>
    <w:rsid w:val="00AC063A"/>
    <w:rsid w:val="00AC4CD6"/>
    <w:rsid w:val="00AE2E02"/>
    <w:rsid w:val="00AE6774"/>
    <w:rsid w:val="00AF08D4"/>
    <w:rsid w:val="00AF3E60"/>
    <w:rsid w:val="00AF4043"/>
    <w:rsid w:val="00B00FB2"/>
    <w:rsid w:val="00B01932"/>
    <w:rsid w:val="00B01DE5"/>
    <w:rsid w:val="00B13500"/>
    <w:rsid w:val="00B13D7C"/>
    <w:rsid w:val="00B14312"/>
    <w:rsid w:val="00B21C78"/>
    <w:rsid w:val="00B240E2"/>
    <w:rsid w:val="00B24737"/>
    <w:rsid w:val="00B25F1E"/>
    <w:rsid w:val="00B30EA5"/>
    <w:rsid w:val="00B31138"/>
    <w:rsid w:val="00B3161B"/>
    <w:rsid w:val="00B33D45"/>
    <w:rsid w:val="00B36A86"/>
    <w:rsid w:val="00B44494"/>
    <w:rsid w:val="00B44F11"/>
    <w:rsid w:val="00B52320"/>
    <w:rsid w:val="00B54BCE"/>
    <w:rsid w:val="00B65670"/>
    <w:rsid w:val="00B75914"/>
    <w:rsid w:val="00B8046E"/>
    <w:rsid w:val="00B8467A"/>
    <w:rsid w:val="00B93E27"/>
    <w:rsid w:val="00B96345"/>
    <w:rsid w:val="00BA4B0E"/>
    <w:rsid w:val="00BA51AE"/>
    <w:rsid w:val="00BA56C0"/>
    <w:rsid w:val="00BB5B95"/>
    <w:rsid w:val="00BB63B1"/>
    <w:rsid w:val="00BB728C"/>
    <w:rsid w:val="00BC7B1E"/>
    <w:rsid w:val="00BD4E61"/>
    <w:rsid w:val="00BE003E"/>
    <w:rsid w:val="00BE180C"/>
    <w:rsid w:val="00BE54F5"/>
    <w:rsid w:val="00BF04E7"/>
    <w:rsid w:val="00BF38B9"/>
    <w:rsid w:val="00BF6178"/>
    <w:rsid w:val="00BF7CEE"/>
    <w:rsid w:val="00C06F2B"/>
    <w:rsid w:val="00C07411"/>
    <w:rsid w:val="00C109A1"/>
    <w:rsid w:val="00C10B5F"/>
    <w:rsid w:val="00C128E9"/>
    <w:rsid w:val="00C15F79"/>
    <w:rsid w:val="00C1776D"/>
    <w:rsid w:val="00C22263"/>
    <w:rsid w:val="00C225E0"/>
    <w:rsid w:val="00C249B5"/>
    <w:rsid w:val="00C27918"/>
    <w:rsid w:val="00C42BFC"/>
    <w:rsid w:val="00C42F45"/>
    <w:rsid w:val="00C44025"/>
    <w:rsid w:val="00C46D5A"/>
    <w:rsid w:val="00C53EB3"/>
    <w:rsid w:val="00C60652"/>
    <w:rsid w:val="00C6251D"/>
    <w:rsid w:val="00C6391F"/>
    <w:rsid w:val="00C72EED"/>
    <w:rsid w:val="00C77A97"/>
    <w:rsid w:val="00C81EF4"/>
    <w:rsid w:val="00C91895"/>
    <w:rsid w:val="00C95FA6"/>
    <w:rsid w:val="00C9620C"/>
    <w:rsid w:val="00CA110D"/>
    <w:rsid w:val="00CA1A1C"/>
    <w:rsid w:val="00CA6675"/>
    <w:rsid w:val="00CB15F5"/>
    <w:rsid w:val="00CD1166"/>
    <w:rsid w:val="00CD1341"/>
    <w:rsid w:val="00CD5F29"/>
    <w:rsid w:val="00CE630C"/>
    <w:rsid w:val="00CF0ECC"/>
    <w:rsid w:val="00CF2E3C"/>
    <w:rsid w:val="00CF38FA"/>
    <w:rsid w:val="00CF4EAF"/>
    <w:rsid w:val="00CF6549"/>
    <w:rsid w:val="00D030C2"/>
    <w:rsid w:val="00D128AB"/>
    <w:rsid w:val="00D16190"/>
    <w:rsid w:val="00D17B77"/>
    <w:rsid w:val="00D24FD2"/>
    <w:rsid w:val="00D308C4"/>
    <w:rsid w:val="00D323CE"/>
    <w:rsid w:val="00D3357B"/>
    <w:rsid w:val="00D52525"/>
    <w:rsid w:val="00D55950"/>
    <w:rsid w:val="00D61F4C"/>
    <w:rsid w:val="00D62A81"/>
    <w:rsid w:val="00D73A5D"/>
    <w:rsid w:val="00D73A6B"/>
    <w:rsid w:val="00D75A52"/>
    <w:rsid w:val="00D826C9"/>
    <w:rsid w:val="00D83B05"/>
    <w:rsid w:val="00D85DB4"/>
    <w:rsid w:val="00D86C7A"/>
    <w:rsid w:val="00D915ED"/>
    <w:rsid w:val="00D95424"/>
    <w:rsid w:val="00DA6490"/>
    <w:rsid w:val="00DC435E"/>
    <w:rsid w:val="00DD697A"/>
    <w:rsid w:val="00DE5247"/>
    <w:rsid w:val="00E11B5F"/>
    <w:rsid w:val="00E12E0C"/>
    <w:rsid w:val="00E152A8"/>
    <w:rsid w:val="00E1798F"/>
    <w:rsid w:val="00E21B4A"/>
    <w:rsid w:val="00E23441"/>
    <w:rsid w:val="00E34031"/>
    <w:rsid w:val="00E34E43"/>
    <w:rsid w:val="00E51522"/>
    <w:rsid w:val="00E55E08"/>
    <w:rsid w:val="00E566AC"/>
    <w:rsid w:val="00E64F83"/>
    <w:rsid w:val="00E65AA0"/>
    <w:rsid w:val="00E67063"/>
    <w:rsid w:val="00E70D30"/>
    <w:rsid w:val="00E80077"/>
    <w:rsid w:val="00E83E1E"/>
    <w:rsid w:val="00E91E65"/>
    <w:rsid w:val="00E9486D"/>
    <w:rsid w:val="00EA03CA"/>
    <w:rsid w:val="00EA297B"/>
    <w:rsid w:val="00EA2FD6"/>
    <w:rsid w:val="00EB6335"/>
    <w:rsid w:val="00EB79AB"/>
    <w:rsid w:val="00EC6760"/>
    <w:rsid w:val="00ED09A9"/>
    <w:rsid w:val="00ED2B3B"/>
    <w:rsid w:val="00ED3369"/>
    <w:rsid w:val="00EE11AF"/>
    <w:rsid w:val="00EE1B88"/>
    <w:rsid w:val="00EF0C71"/>
    <w:rsid w:val="00EF1100"/>
    <w:rsid w:val="00EF49F2"/>
    <w:rsid w:val="00EF5E64"/>
    <w:rsid w:val="00EF6449"/>
    <w:rsid w:val="00EF69A6"/>
    <w:rsid w:val="00EF79DC"/>
    <w:rsid w:val="00F05186"/>
    <w:rsid w:val="00F10F85"/>
    <w:rsid w:val="00F17EB4"/>
    <w:rsid w:val="00F22947"/>
    <w:rsid w:val="00F304C3"/>
    <w:rsid w:val="00F33145"/>
    <w:rsid w:val="00F42CC9"/>
    <w:rsid w:val="00F50316"/>
    <w:rsid w:val="00F562B2"/>
    <w:rsid w:val="00F63352"/>
    <w:rsid w:val="00F64921"/>
    <w:rsid w:val="00F6694D"/>
    <w:rsid w:val="00F708E5"/>
    <w:rsid w:val="00F71C0A"/>
    <w:rsid w:val="00F726D0"/>
    <w:rsid w:val="00F73957"/>
    <w:rsid w:val="00F749D0"/>
    <w:rsid w:val="00F81DB4"/>
    <w:rsid w:val="00F82D86"/>
    <w:rsid w:val="00F9573A"/>
    <w:rsid w:val="00F9698C"/>
    <w:rsid w:val="00F97D73"/>
    <w:rsid w:val="00FA5B57"/>
    <w:rsid w:val="00FB4E59"/>
    <w:rsid w:val="00FC005A"/>
    <w:rsid w:val="00FC20E0"/>
    <w:rsid w:val="00FD2E40"/>
    <w:rsid w:val="00FD7553"/>
    <w:rsid w:val="00FE06C2"/>
    <w:rsid w:val="00FE0CCC"/>
    <w:rsid w:val="00FE23FE"/>
    <w:rsid w:val="00FE36D6"/>
    <w:rsid w:val="00FE5BEB"/>
    <w:rsid w:val="00FE7E9B"/>
    <w:rsid w:val="00FF170C"/>
    <w:rsid w:val="00FF3D3D"/>
    <w:rsid w:val="012D2841"/>
    <w:rsid w:val="01CA5AA7"/>
    <w:rsid w:val="01CB0F87"/>
    <w:rsid w:val="01F82181"/>
    <w:rsid w:val="020974BF"/>
    <w:rsid w:val="026920E1"/>
    <w:rsid w:val="02B141ED"/>
    <w:rsid w:val="02D17605"/>
    <w:rsid w:val="02EA3EFF"/>
    <w:rsid w:val="041153CA"/>
    <w:rsid w:val="042B2638"/>
    <w:rsid w:val="048A7A3B"/>
    <w:rsid w:val="05AC5C7F"/>
    <w:rsid w:val="062264A1"/>
    <w:rsid w:val="07650C94"/>
    <w:rsid w:val="07A8336C"/>
    <w:rsid w:val="08512CDA"/>
    <w:rsid w:val="086375DD"/>
    <w:rsid w:val="08827A5F"/>
    <w:rsid w:val="09334F12"/>
    <w:rsid w:val="09502A8F"/>
    <w:rsid w:val="097138A9"/>
    <w:rsid w:val="098473EA"/>
    <w:rsid w:val="0AB07DD0"/>
    <w:rsid w:val="0AB921B3"/>
    <w:rsid w:val="0AD144A2"/>
    <w:rsid w:val="0AF201D2"/>
    <w:rsid w:val="0AFE246E"/>
    <w:rsid w:val="0B3C0536"/>
    <w:rsid w:val="0B7F2097"/>
    <w:rsid w:val="0BFE0AB1"/>
    <w:rsid w:val="0C2A7120"/>
    <w:rsid w:val="0CB16D4A"/>
    <w:rsid w:val="0D982E44"/>
    <w:rsid w:val="0DDE01D8"/>
    <w:rsid w:val="0DE2658F"/>
    <w:rsid w:val="0E291183"/>
    <w:rsid w:val="0E2A5FDD"/>
    <w:rsid w:val="0E2F3596"/>
    <w:rsid w:val="0E627039"/>
    <w:rsid w:val="0E726A1F"/>
    <w:rsid w:val="0E920981"/>
    <w:rsid w:val="0EB53FC4"/>
    <w:rsid w:val="0EBD0518"/>
    <w:rsid w:val="0F1B1A88"/>
    <w:rsid w:val="0F236029"/>
    <w:rsid w:val="0F455490"/>
    <w:rsid w:val="0F5E5A4B"/>
    <w:rsid w:val="0FCC4A94"/>
    <w:rsid w:val="1021593C"/>
    <w:rsid w:val="10557014"/>
    <w:rsid w:val="106F47EF"/>
    <w:rsid w:val="10AD15FE"/>
    <w:rsid w:val="10E16B69"/>
    <w:rsid w:val="115C0A23"/>
    <w:rsid w:val="120916B1"/>
    <w:rsid w:val="12B44B07"/>
    <w:rsid w:val="12CD5B8C"/>
    <w:rsid w:val="12F04934"/>
    <w:rsid w:val="132E00E8"/>
    <w:rsid w:val="13802324"/>
    <w:rsid w:val="139A7605"/>
    <w:rsid w:val="13B174E6"/>
    <w:rsid w:val="13D04B57"/>
    <w:rsid w:val="13F82ED3"/>
    <w:rsid w:val="140F4407"/>
    <w:rsid w:val="154A08AC"/>
    <w:rsid w:val="161F2886"/>
    <w:rsid w:val="163A1C72"/>
    <w:rsid w:val="16533DBF"/>
    <w:rsid w:val="166E0AE5"/>
    <w:rsid w:val="1732153C"/>
    <w:rsid w:val="183243FE"/>
    <w:rsid w:val="18330C55"/>
    <w:rsid w:val="19481D66"/>
    <w:rsid w:val="1A095C45"/>
    <w:rsid w:val="1A3127C4"/>
    <w:rsid w:val="1AB86D44"/>
    <w:rsid w:val="1AC15A2B"/>
    <w:rsid w:val="1B9E4535"/>
    <w:rsid w:val="1BAD4A55"/>
    <w:rsid w:val="1BBF21C1"/>
    <w:rsid w:val="1C4C3F66"/>
    <w:rsid w:val="1C7B6AEC"/>
    <w:rsid w:val="1C8D10F0"/>
    <w:rsid w:val="1CB97505"/>
    <w:rsid w:val="1D2E5658"/>
    <w:rsid w:val="1D431404"/>
    <w:rsid w:val="1D653575"/>
    <w:rsid w:val="1D6832B3"/>
    <w:rsid w:val="1DCE05C5"/>
    <w:rsid w:val="1E0959BE"/>
    <w:rsid w:val="1EA57852"/>
    <w:rsid w:val="20373C34"/>
    <w:rsid w:val="205258EA"/>
    <w:rsid w:val="20591D02"/>
    <w:rsid w:val="20622971"/>
    <w:rsid w:val="2066429B"/>
    <w:rsid w:val="208F4CFC"/>
    <w:rsid w:val="20A11C1C"/>
    <w:rsid w:val="20B7117E"/>
    <w:rsid w:val="20E46179"/>
    <w:rsid w:val="210C150F"/>
    <w:rsid w:val="2164573B"/>
    <w:rsid w:val="2174531A"/>
    <w:rsid w:val="21791268"/>
    <w:rsid w:val="217A3FF8"/>
    <w:rsid w:val="219F1BC2"/>
    <w:rsid w:val="21C04FFD"/>
    <w:rsid w:val="22237B93"/>
    <w:rsid w:val="225769D1"/>
    <w:rsid w:val="22A33466"/>
    <w:rsid w:val="22BF6CCE"/>
    <w:rsid w:val="22FA4B95"/>
    <w:rsid w:val="23141EE3"/>
    <w:rsid w:val="231D1F95"/>
    <w:rsid w:val="23FD75FB"/>
    <w:rsid w:val="244530C0"/>
    <w:rsid w:val="2451499C"/>
    <w:rsid w:val="24A63430"/>
    <w:rsid w:val="24CF74CC"/>
    <w:rsid w:val="25B538CA"/>
    <w:rsid w:val="25D37BBE"/>
    <w:rsid w:val="260779D1"/>
    <w:rsid w:val="26932913"/>
    <w:rsid w:val="26C3154B"/>
    <w:rsid w:val="26EB09DF"/>
    <w:rsid w:val="26F068FD"/>
    <w:rsid w:val="271B2DF2"/>
    <w:rsid w:val="27F45564"/>
    <w:rsid w:val="28245385"/>
    <w:rsid w:val="28326A1E"/>
    <w:rsid w:val="28604077"/>
    <w:rsid w:val="28A00445"/>
    <w:rsid w:val="28A20992"/>
    <w:rsid w:val="28D27B4F"/>
    <w:rsid w:val="291766B4"/>
    <w:rsid w:val="29333473"/>
    <w:rsid w:val="29363023"/>
    <w:rsid w:val="297C1D6E"/>
    <w:rsid w:val="2AA342DA"/>
    <w:rsid w:val="2AAC4EC2"/>
    <w:rsid w:val="2AC211E9"/>
    <w:rsid w:val="2B125305"/>
    <w:rsid w:val="2CA14BD3"/>
    <w:rsid w:val="2CD74544"/>
    <w:rsid w:val="2CD84C8A"/>
    <w:rsid w:val="2D612D4D"/>
    <w:rsid w:val="2D68648E"/>
    <w:rsid w:val="2D8B6C45"/>
    <w:rsid w:val="2E0111A6"/>
    <w:rsid w:val="2E3B4D07"/>
    <w:rsid w:val="2E462523"/>
    <w:rsid w:val="2E625639"/>
    <w:rsid w:val="2F2556B4"/>
    <w:rsid w:val="2F2B1B43"/>
    <w:rsid w:val="2F4741FE"/>
    <w:rsid w:val="2F4A1233"/>
    <w:rsid w:val="2F4D1799"/>
    <w:rsid w:val="2F880C84"/>
    <w:rsid w:val="2FBB14DF"/>
    <w:rsid w:val="2FE130D0"/>
    <w:rsid w:val="2FFB2D12"/>
    <w:rsid w:val="304342E6"/>
    <w:rsid w:val="30544F60"/>
    <w:rsid w:val="305C7AF7"/>
    <w:rsid w:val="30903685"/>
    <w:rsid w:val="31861CCC"/>
    <w:rsid w:val="31D35693"/>
    <w:rsid w:val="32111079"/>
    <w:rsid w:val="32275A50"/>
    <w:rsid w:val="32441D3F"/>
    <w:rsid w:val="325B2E07"/>
    <w:rsid w:val="32880468"/>
    <w:rsid w:val="32C031E1"/>
    <w:rsid w:val="33446EAD"/>
    <w:rsid w:val="33806CE4"/>
    <w:rsid w:val="338C37FE"/>
    <w:rsid w:val="343D6854"/>
    <w:rsid w:val="34851DF7"/>
    <w:rsid w:val="348B3E0E"/>
    <w:rsid w:val="349B2D79"/>
    <w:rsid w:val="34AB6445"/>
    <w:rsid w:val="34DD16F4"/>
    <w:rsid w:val="35177558"/>
    <w:rsid w:val="35AD4B44"/>
    <w:rsid w:val="360F422A"/>
    <w:rsid w:val="364031BF"/>
    <w:rsid w:val="36577704"/>
    <w:rsid w:val="36794144"/>
    <w:rsid w:val="367F0AF5"/>
    <w:rsid w:val="36943841"/>
    <w:rsid w:val="36A72841"/>
    <w:rsid w:val="36D34A82"/>
    <w:rsid w:val="376740BC"/>
    <w:rsid w:val="37B5171D"/>
    <w:rsid w:val="37F3794C"/>
    <w:rsid w:val="37F715DE"/>
    <w:rsid w:val="381D171D"/>
    <w:rsid w:val="388A7146"/>
    <w:rsid w:val="38B912A5"/>
    <w:rsid w:val="38DC760D"/>
    <w:rsid w:val="38EC0D45"/>
    <w:rsid w:val="3982053F"/>
    <w:rsid w:val="39B44B0C"/>
    <w:rsid w:val="39C24414"/>
    <w:rsid w:val="39EC2E6E"/>
    <w:rsid w:val="3A0178D0"/>
    <w:rsid w:val="3A73680E"/>
    <w:rsid w:val="3A863005"/>
    <w:rsid w:val="3AFD25A9"/>
    <w:rsid w:val="3B0A22A7"/>
    <w:rsid w:val="3B9F1C82"/>
    <w:rsid w:val="3BE2409D"/>
    <w:rsid w:val="3BE86393"/>
    <w:rsid w:val="3BFC6A0A"/>
    <w:rsid w:val="3C1903DC"/>
    <w:rsid w:val="3C1A6D48"/>
    <w:rsid w:val="3C9E7803"/>
    <w:rsid w:val="3CAB14EC"/>
    <w:rsid w:val="3D1E62C3"/>
    <w:rsid w:val="3DDD489C"/>
    <w:rsid w:val="3DFE2BF0"/>
    <w:rsid w:val="3F1F163C"/>
    <w:rsid w:val="3F363821"/>
    <w:rsid w:val="3F92766E"/>
    <w:rsid w:val="3F9B21D3"/>
    <w:rsid w:val="3FAC227A"/>
    <w:rsid w:val="3FB8447F"/>
    <w:rsid w:val="3FD51CD8"/>
    <w:rsid w:val="3FE60E49"/>
    <w:rsid w:val="4037751D"/>
    <w:rsid w:val="4060783A"/>
    <w:rsid w:val="40822175"/>
    <w:rsid w:val="40903165"/>
    <w:rsid w:val="40A36A84"/>
    <w:rsid w:val="410A163C"/>
    <w:rsid w:val="411D57D6"/>
    <w:rsid w:val="415F03A4"/>
    <w:rsid w:val="41F866AE"/>
    <w:rsid w:val="42201A73"/>
    <w:rsid w:val="423052F4"/>
    <w:rsid w:val="42516183"/>
    <w:rsid w:val="42FF35B1"/>
    <w:rsid w:val="42FF6C30"/>
    <w:rsid w:val="433304E3"/>
    <w:rsid w:val="434F0CE7"/>
    <w:rsid w:val="434F7C8C"/>
    <w:rsid w:val="438342A5"/>
    <w:rsid w:val="44185F16"/>
    <w:rsid w:val="44742C5F"/>
    <w:rsid w:val="44BA5C1B"/>
    <w:rsid w:val="45931D75"/>
    <w:rsid w:val="45B8183A"/>
    <w:rsid w:val="46630309"/>
    <w:rsid w:val="46693294"/>
    <w:rsid w:val="46776276"/>
    <w:rsid w:val="46904A17"/>
    <w:rsid w:val="46DA34A2"/>
    <w:rsid w:val="472C7028"/>
    <w:rsid w:val="473D5F81"/>
    <w:rsid w:val="474E0D45"/>
    <w:rsid w:val="476E4E80"/>
    <w:rsid w:val="4783507E"/>
    <w:rsid w:val="47E54273"/>
    <w:rsid w:val="48BD7C54"/>
    <w:rsid w:val="48CA5968"/>
    <w:rsid w:val="48EA1792"/>
    <w:rsid w:val="494E3B36"/>
    <w:rsid w:val="495212C1"/>
    <w:rsid w:val="496F15EA"/>
    <w:rsid w:val="49BD5FA4"/>
    <w:rsid w:val="49F44AE5"/>
    <w:rsid w:val="4A2A570F"/>
    <w:rsid w:val="4A6B5E44"/>
    <w:rsid w:val="4A865F72"/>
    <w:rsid w:val="4AC4455E"/>
    <w:rsid w:val="4AF60DAD"/>
    <w:rsid w:val="4C173357"/>
    <w:rsid w:val="4C3A1CBA"/>
    <w:rsid w:val="4CDF38E8"/>
    <w:rsid w:val="4CED5DE7"/>
    <w:rsid w:val="4D482A35"/>
    <w:rsid w:val="4D7967EE"/>
    <w:rsid w:val="4DB35961"/>
    <w:rsid w:val="4DD375C7"/>
    <w:rsid w:val="4DDD2EF4"/>
    <w:rsid w:val="4E19047C"/>
    <w:rsid w:val="4E1E1B7B"/>
    <w:rsid w:val="4E39577E"/>
    <w:rsid w:val="4E6D4E6A"/>
    <w:rsid w:val="4EF221D7"/>
    <w:rsid w:val="4F003C60"/>
    <w:rsid w:val="4F237F44"/>
    <w:rsid w:val="4F961BEF"/>
    <w:rsid w:val="500433A9"/>
    <w:rsid w:val="50231A95"/>
    <w:rsid w:val="5032689D"/>
    <w:rsid w:val="503616AA"/>
    <w:rsid w:val="505E0277"/>
    <w:rsid w:val="5073782D"/>
    <w:rsid w:val="507919AD"/>
    <w:rsid w:val="50CE7E83"/>
    <w:rsid w:val="50E75EEA"/>
    <w:rsid w:val="511415F8"/>
    <w:rsid w:val="514A2433"/>
    <w:rsid w:val="51820CE0"/>
    <w:rsid w:val="51F54892"/>
    <w:rsid w:val="527C0954"/>
    <w:rsid w:val="52CC4F63"/>
    <w:rsid w:val="52D919E0"/>
    <w:rsid w:val="53367A71"/>
    <w:rsid w:val="53642708"/>
    <w:rsid w:val="53676EF6"/>
    <w:rsid w:val="53B81F75"/>
    <w:rsid w:val="53C6527E"/>
    <w:rsid w:val="53E70DFC"/>
    <w:rsid w:val="54FD7D3D"/>
    <w:rsid w:val="55317BCB"/>
    <w:rsid w:val="55461488"/>
    <w:rsid w:val="55973D01"/>
    <w:rsid w:val="55A37CE1"/>
    <w:rsid w:val="55D0066A"/>
    <w:rsid w:val="55F611F1"/>
    <w:rsid w:val="55FB2F72"/>
    <w:rsid w:val="56430322"/>
    <w:rsid w:val="568A4BA8"/>
    <w:rsid w:val="56AF6241"/>
    <w:rsid w:val="56D25CFF"/>
    <w:rsid w:val="57241DE5"/>
    <w:rsid w:val="57C9023C"/>
    <w:rsid w:val="587B631A"/>
    <w:rsid w:val="58A67E44"/>
    <w:rsid w:val="59103D47"/>
    <w:rsid w:val="5914559E"/>
    <w:rsid w:val="592166D1"/>
    <w:rsid w:val="59453D31"/>
    <w:rsid w:val="5A635740"/>
    <w:rsid w:val="5A6506B4"/>
    <w:rsid w:val="5B396BD1"/>
    <w:rsid w:val="5B4123BD"/>
    <w:rsid w:val="5B421CD9"/>
    <w:rsid w:val="5B6349D5"/>
    <w:rsid w:val="5B6C73EF"/>
    <w:rsid w:val="5B8C0991"/>
    <w:rsid w:val="5BE145B1"/>
    <w:rsid w:val="5D173476"/>
    <w:rsid w:val="5E342DAA"/>
    <w:rsid w:val="5E3E58E4"/>
    <w:rsid w:val="5E9F0039"/>
    <w:rsid w:val="5EBB2844"/>
    <w:rsid w:val="5F0D7A7C"/>
    <w:rsid w:val="5F2643B9"/>
    <w:rsid w:val="5F94014A"/>
    <w:rsid w:val="60362DA2"/>
    <w:rsid w:val="60A93127"/>
    <w:rsid w:val="615D0132"/>
    <w:rsid w:val="616C5569"/>
    <w:rsid w:val="61711449"/>
    <w:rsid w:val="61ED76C5"/>
    <w:rsid w:val="622F4AF9"/>
    <w:rsid w:val="637A1F67"/>
    <w:rsid w:val="63DD0A69"/>
    <w:rsid w:val="63FC669F"/>
    <w:rsid w:val="64191980"/>
    <w:rsid w:val="64496557"/>
    <w:rsid w:val="64EC051F"/>
    <w:rsid w:val="6509072F"/>
    <w:rsid w:val="650F6487"/>
    <w:rsid w:val="6591334C"/>
    <w:rsid w:val="65BA6FD5"/>
    <w:rsid w:val="65EE29FB"/>
    <w:rsid w:val="662F6BAB"/>
    <w:rsid w:val="6690392F"/>
    <w:rsid w:val="669A40DD"/>
    <w:rsid w:val="66A96735"/>
    <w:rsid w:val="670B52C0"/>
    <w:rsid w:val="67624963"/>
    <w:rsid w:val="682E5B30"/>
    <w:rsid w:val="684554FB"/>
    <w:rsid w:val="68AE2FA9"/>
    <w:rsid w:val="68BA2FAB"/>
    <w:rsid w:val="69A14194"/>
    <w:rsid w:val="69AA7014"/>
    <w:rsid w:val="6A316A57"/>
    <w:rsid w:val="6A680D9D"/>
    <w:rsid w:val="6A77043C"/>
    <w:rsid w:val="6A8754A2"/>
    <w:rsid w:val="6B5346DF"/>
    <w:rsid w:val="6B704CBF"/>
    <w:rsid w:val="6B707E4F"/>
    <w:rsid w:val="6B877C7D"/>
    <w:rsid w:val="6C0B2E41"/>
    <w:rsid w:val="6C1141AD"/>
    <w:rsid w:val="6C4A7EF3"/>
    <w:rsid w:val="6CD000B0"/>
    <w:rsid w:val="6CFF008C"/>
    <w:rsid w:val="6D0B6A8F"/>
    <w:rsid w:val="6D0D22CD"/>
    <w:rsid w:val="6D377912"/>
    <w:rsid w:val="6D4B0675"/>
    <w:rsid w:val="6D8E2706"/>
    <w:rsid w:val="6DA43463"/>
    <w:rsid w:val="6E10120D"/>
    <w:rsid w:val="6E236107"/>
    <w:rsid w:val="6E34257C"/>
    <w:rsid w:val="6E455F25"/>
    <w:rsid w:val="6F5663EE"/>
    <w:rsid w:val="6F8B7A26"/>
    <w:rsid w:val="6FB664DF"/>
    <w:rsid w:val="6FEF2BD3"/>
    <w:rsid w:val="703E0BE9"/>
    <w:rsid w:val="70602941"/>
    <w:rsid w:val="70A2520B"/>
    <w:rsid w:val="70F26628"/>
    <w:rsid w:val="715A7788"/>
    <w:rsid w:val="71960F1B"/>
    <w:rsid w:val="71E73FAA"/>
    <w:rsid w:val="720E1B0D"/>
    <w:rsid w:val="721103A8"/>
    <w:rsid w:val="726304C4"/>
    <w:rsid w:val="726D1CA2"/>
    <w:rsid w:val="72793400"/>
    <w:rsid w:val="729478B3"/>
    <w:rsid w:val="73484C5E"/>
    <w:rsid w:val="73C15533"/>
    <w:rsid w:val="74357887"/>
    <w:rsid w:val="748E39D2"/>
    <w:rsid w:val="74E75517"/>
    <w:rsid w:val="74F862DF"/>
    <w:rsid w:val="750C0210"/>
    <w:rsid w:val="750C121C"/>
    <w:rsid w:val="75D14519"/>
    <w:rsid w:val="75EA64B9"/>
    <w:rsid w:val="76005377"/>
    <w:rsid w:val="762C71AC"/>
    <w:rsid w:val="7632504C"/>
    <w:rsid w:val="76416024"/>
    <w:rsid w:val="764A10DD"/>
    <w:rsid w:val="76B6535B"/>
    <w:rsid w:val="76DC5D47"/>
    <w:rsid w:val="770D51F8"/>
    <w:rsid w:val="773F5D8B"/>
    <w:rsid w:val="778B5909"/>
    <w:rsid w:val="77BF4D7C"/>
    <w:rsid w:val="785E7A5F"/>
    <w:rsid w:val="78AB02A8"/>
    <w:rsid w:val="78BB393F"/>
    <w:rsid w:val="78F9465C"/>
    <w:rsid w:val="79A91CCF"/>
    <w:rsid w:val="7A66329B"/>
    <w:rsid w:val="7A9A6AF9"/>
    <w:rsid w:val="7A9F5527"/>
    <w:rsid w:val="7BBF34FB"/>
    <w:rsid w:val="7BCC2E69"/>
    <w:rsid w:val="7BEE5560"/>
    <w:rsid w:val="7BF30E02"/>
    <w:rsid w:val="7C004830"/>
    <w:rsid w:val="7C06663C"/>
    <w:rsid w:val="7C1B0497"/>
    <w:rsid w:val="7C3602F9"/>
    <w:rsid w:val="7C9B0CB6"/>
    <w:rsid w:val="7CA80C24"/>
    <w:rsid w:val="7CCA5A0B"/>
    <w:rsid w:val="7CDC0CD1"/>
    <w:rsid w:val="7D637033"/>
    <w:rsid w:val="7DC31ADF"/>
    <w:rsid w:val="7E034CD3"/>
    <w:rsid w:val="7E3E10B9"/>
    <w:rsid w:val="7EC434EE"/>
    <w:rsid w:val="7EF8579D"/>
    <w:rsid w:val="7F88166E"/>
    <w:rsid w:val="7FD745D6"/>
    <w:rsid w:val="7FDD56E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5">
    <w:name w:val="heading 1"/>
    <w:basedOn w:val="1"/>
    <w:next w:val="1"/>
    <w:link w:val="20"/>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4"/>
    <w:qFormat/>
    <w:uiPriority w:val="0"/>
    <w:pPr>
      <w:spacing w:after="120"/>
    </w:pPr>
  </w:style>
  <w:style w:type="paragraph" w:styleId="4">
    <w:name w:val="toc 5"/>
    <w:basedOn w:val="1"/>
    <w:next w:val="1"/>
    <w:qFormat/>
    <w:uiPriority w:val="0"/>
    <w:pPr>
      <w:ind w:left="1680" w:leftChars="800"/>
    </w:pPr>
  </w:style>
  <w:style w:type="paragraph" w:styleId="6">
    <w:name w:val="Normal Indent"/>
    <w:basedOn w:val="1"/>
    <w:semiHidden/>
    <w:unhideWhenUsed/>
    <w:qFormat/>
    <w:uiPriority w:val="99"/>
    <w:pPr>
      <w:ind w:firstLine="420" w:firstLineChars="200"/>
    </w:pPr>
  </w:style>
  <w:style w:type="paragraph" w:styleId="7">
    <w:name w:val="Body Text Indent"/>
    <w:basedOn w:val="1"/>
    <w:next w:val="1"/>
    <w:qFormat/>
    <w:uiPriority w:val="99"/>
    <w:pPr>
      <w:spacing w:after="120"/>
      <w:ind w:left="420" w:leftChars="200"/>
    </w:pPr>
  </w:style>
  <w:style w:type="paragraph" w:styleId="8">
    <w:name w:val="Balloon Text"/>
    <w:basedOn w:val="1"/>
    <w:link w:val="27"/>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kern w:val="0"/>
      <w:sz w:val="18"/>
      <w:szCs w:val="18"/>
    </w:rPr>
  </w:style>
  <w:style w:type="paragraph" w:styleId="10">
    <w:name w:val="header"/>
    <w:basedOn w:val="1"/>
    <w:link w:val="3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99"/>
    <w:rPr>
      <w:kern w:val="0"/>
    </w:rPr>
  </w:style>
  <w:style w:type="paragraph" w:styleId="12">
    <w:name w:val="Normal (Web)"/>
    <w:basedOn w:val="1"/>
    <w:qFormat/>
    <w:uiPriority w:val="99"/>
    <w:pPr>
      <w:jc w:val="left"/>
    </w:pPr>
    <w:rPr>
      <w:kern w:val="0"/>
      <w:sz w:val="24"/>
    </w:rPr>
  </w:style>
  <w:style w:type="character" w:styleId="14">
    <w:name w:val="Strong"/>
    <w:basedOn w:val="13"/>
    <w:qFormat/>
    <w:uiPriority w:val="22"/>
    <w:rPr>
      <w:b/>
      <w:bCs/>
    </w:rPr>
  </w:style>
  <w:style w:type="character" w:styleId="15">
    <w:name w:val="Emphasis"/>
    <w:basedOn w:val="13"/>
    <w:qFormat/>
    <w:uiPriority w:val="99"/>
    <w:rPr>
      <w:color w:val="auto"/>
    </w:rPr>
  </w:style>
  <w:style w:type="table" w:styleId="17">
    <w:name w:val="Table Grid"/>
    <w:basedOn w:val="16"/>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9">
    <w:name w:val="font81"/>
    <w:basedOn w:val="13"/>
    <w:qFormat/>
    <w:uiPriority w:val="0"/>
    <w:rPr>
      <w:rFonts w:hint="eastAsia" w:ascii="宋体" w:hAnsi="宋体" w:eastAsia="宋体" w:cs="宋体"/>
      <w:color w:val="000000"/>
      <w:sz w:val="20"/>
      <w:szCs w:val="20"/>
      <w:u w:val="none"/>
    </w:rPr>
  </w:style>
  <w:style w:type="character" w:customStyle="1" w:styleId="20">
    <w:name w:val="标题 1 Char"/>
    <w:link w:val="5"/>
    <w:qFormat/>
    <w:uiPriority w:val="9"/>
    <w:rPr>
      <w:rFonts w:ascii="宋体" w:hAnsi="宋体" w:cs="宋体"/>
      <w:b/>
      <w:bCs/>
      <w:kern w:val="36"/>
      <w:sz w:val="48"/>
      <w:szCs w:val="48"/>
    </w:rPr>
  </w:style>
  <w:style w:type="character" w:customStyle="1" w:styleId="21">
    <w:name w:val="font31"/>
    <w:qFormat/>
    <w:uiPriority w:val="0"/>
    <w:rPr>
      <w:rFonts w:hint="eastAsia" w:ascii="仿宋_GB2312" w:eastAsia="仿宋_GB2312" w:cs="仿宋_GB2312"/>
      <w:color w:val="000000"/>
      <w:sz w:val="24"/>
      <w:szCs w:val="24"/>
      <w:u w:val="none"/>
    </w:rPr>
  </w:style>
  <w:style w:type="character" w:customStyle="1" w:styleId="22">
    <w:name w:val="font91"/>
    <w:qFormat/>
    <w:uiPriority w:val="0"/>
    <w:rPr>
      <w:rFonts w:hint="eastAsia" w:ascii="仿宋_GB2312" w:eastAsia="仿宋_GB2312" w:cs="仿宋_GB2312"/>
      <w:color w:val="000000"/>
      <w:sz w:val="24"/>
      <w:szCs w:val="24"/>
      <w:u w:val="none"/>
    </w:rPr>
  </w:style>
  <w:style w:type="character" w:customStyle="1" w:styleId="23">
    <w:name w:val="font131"/>
    <w:basedOn w:val="13"/>
    <w:qFormat/>
    <w:uiPriority w:val="0"/>
    <w:rPr>
      <w:rFonts w:hint="eastAsia" w:ascii="宋体" w:hAnsi="宋体" w:eastAsia="宋体" w:cs="宋体"/>
      <w:color w:val="000000"/>
      <w:sz w:val="20"/>
      <w:szCs w:val="20"/>
      <w:u w:val="none"/>
    </w:rPr>
  </w:style>
  <w:style w:type="character" w:customStyle="1" w:styleId="24">
    <w:name w:val="页脚 Char"/>
    <w:link w:val="9"/>
    <w:qFormat/>
    <w:uiPriority w:val="99"/>
    <w:rPr>
      <w:rFonts w:ascii="Calibri" w:hAnsi="Calibri" w:eastAsia="仿宋_GB2312"/>
      <w:sz w:val="18"/>
      <w:szCs w:val="18"/>
    </w:rPr>
  </w:style>
  <w:style w:type="character" w:customStyle="1" w:styleId="25">
    <w:name w:val="font21"/>
    <w:basedOn w:val="13"/>
    <w:qFormat/>
    <w:uiPriority w:val="0"/>
    <w:rPr>
      <w:rFonts w:hint="eastAsia" w:ascii="仿宋_GB2312" w:eastAsia="仿宋_GB2312" w:cs="仿宋_GB2312"/>
      <w:color w:val="000000"/>
      <w:sz w:val="20"/>
      <w:szCs w:val="20"/>
      <w:u w:val="none"/>
    </w:rPr>
  </w:style>
  <w:style w:type="character" w:customStyle="1" w:styleId="26">
    <w:name w:val="font51"/>
    <w:basedOn w:val="13"/>
    <w:qFormat/>
    <w:uiPriority w:val="0"/>
    <w:rPr>
      <w:rFonts w:hint="eastAsia" w:ascii="仿宋_GB2312" w:eastAsia="仿宋_GB2312" w:cs="仿宋_GB2312"/>
      <w:color w:val="000000"/>
      <w:sz w:val="20"/>
      <w:szCs w:val="20"/>
      <w:u w:val="none"/>
    </w:rPr>
  </w:style>
  <w:style w:type="character" w:customStyle="1" w:styleId="27">
    <w:name w:val="批注框文本 Char"/>
    <w:link w:val="8"/>
    <w:semiHidden/>
    <w:qFormat/>
    <w:uiPriority w:val="99"/>
    <w:rPr>
      <w:rFonts w:eastAsia="仿宋_GB2312"/>
      <w:kern w:val="2"/>
      <w:sz w:val="18"/>
      <w:szCs w:val="18"/>
    </w:rPr>
  </w:style>
  <w:style w:type="character" w:customStyle="1" w:styleId="28">
    <w:name w:val="font121"/>
    <w:basedOn w:val="13"/>
    <w:qFormat/>
    <w:uiPriority w:val="0"/>
    <w:rPr>
      <w:rFonts w:hint="eastAsia" w:ascii="宋体" w:hAnsi="宋体" w:eastAsia="宋体" w:cs="宋体"/>
      <w:color w:val="000000"/>
      <w:sz w:val="20"/>
      <w:szCs w:val="20"/>
      <w:u w:val="none"/>
    </w:rPr>
  </w:style>
  <w:style w:type="character" w:customStyle="1" w:styleId="29">
    <w:name w:val="15"/>
    <w:qFormat/>
    <w:uiPriority w:val="0"/>
    <w:rPr>
      <w:rFonts w:ascii="宋体" w:eastAsia="宋体"/>
      <w:color w:val="000000"/>
      <w:sz w:val="22"/>
    </w:rPr>
  </w:style>
  <w:style w:type="character" w:customStyle="1" w:styleId="30">
    <w:name w:val="font11"/>
    <w:basedOn w:val="13"/>
    <w:qFormat/>
    <w:uiPriority w:val="0"/>
    <w:rPr>
      <w:rFonts w:hint="eastAsia" w:ascii="仿宋_GB2312" w:eastAsia="仿宋_GB2312" w:cs="仿宋_GB2312"/>
      <w:color w:val="000000"/>
      <w:sz w:val="20"/>
      <w:szCs w:val="20"/>
      <w:u w:val="none"/>
    </w:rPr>
  </w:style>
  <w:style w:type="character" w:customStyle="1" w:styleId="31">
    <w:name w:val="font61"/>
    <w:qFormat/>
    <w:uiPriority w:val="0"/>
    <w:rPr>
      <w:rFonts w:hint="eastAsia" w:ascii="仿宋_GB2312" w:eastAsia="仿宋_GB2312" w:cs="仿宋_GB2312"/>
      <w:color w:val="000000"/>
      <w:sz w:val="24"/>
      <w:szCs w:val="24"/>
      <w:u w:val="none"/>
    </w:rPr>
  </w:style>
  <w:style w:type="character" w:customStyle="1" w:styleId="32">
    <w:name w:val="页眉 Char"/>
    <w:link w:val="10"/>
    <w:qFormat/>
    <w:uiPriority w:val="99"/>
    <w:rPr>
      <w:rFonts w:ascii="Calibri" w:hAnsi="Calibri" w:eastAsia="仿宋_GB2312"/>
      <w:sz w:val="18"/>
      <w:szCs w:val="18"/>
    </w:rPr>
  </w:style>
  <w:style w:type="paragraph" w:styleId="33">
    <w:name w:val="List Paragraph"/>
    <w:basedOn w:val="1"/>
    <w:qFormat/>
    <w:uiPriority w:val="34"/>
    <w:pPr>
      <w:ind w:firstLine="420" w:firstLineChars="200"/>
    </w:pPr>
  </w:style>
  <w:style w:type="paragraph" w:customStyle="1" w:styleId="34">
    <w:name w:val="_Style 1"/>
    <w:basedOn w:val="1"/>
    <w:qFormat/>
    <w:uiPriority w:val="0"/>
    <w:pPr>
      <w:spacing w:line="481" w:lineRule="atLeast"/>
      <w:ind w:firstLine="623"/>
      <w:textAlignment w:val="baseline"/>
    </w:pPr>
    <w:rPr>
      <w:rFonts w:ascii="Times New Roman" w:hAnsi="Times New Roman"/>
      <w:color w:val="000000"/>
      <w:sz w:val="31"/>
    </w:rPr>
  </w:style>
  <w:style w:type="paragraph" w:customStyle="1" w:styleId="35">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6">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37">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Table Paragraph"/>
    <w:basedOn w:val="1"/>
    <w:qFormat/>
    <w:uiPriority w:val="99"/>
    <w:pPr>
      <w:spacing w:before="99"/>
      <w:jc w:val="center"/>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1361</Words>
  <Characters>1403</Characters>
  <Lines>70</Lines>
  <Paragraphs>22</Paragraphs>
  <TotalTime>31</TotalTime>
  <ScaleCrop>false</ScaleCrop>
  <LinksUpToDate>false</LinksUpToDate>
  <CharactersWithSpaces>2742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2021-05-14T09:02:00Z</dcterms:created>
  <dc:creator>谢生顺</dc:creator>
  <cp:lastModifiedBy>Administrator</cp:lastModifiedBy>
  <cp:lastPrinted>2021-05-30T02:04:00Z</cp:lastPrinted>
  <dcterms:modified xsi:type="dcterms:W3CDTF">2021-05-30T06:24:15Z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63AFCD2705AC40B7AED5DC87208BE58F</vt:lpwstr>
  </property>
</Properties>
</file>