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20</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eastAsia="zh-CN" w:bidi="ar-SA"/>
        </w:rPr>
        <w:t>湖南华容白鼎山加油站建设项目</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2"/>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eastAsia="zh-CN"/>
        </w:rPr>
        <w:t>中国石化销售股份有限公司湖南岳阳华容石油分公司：</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你单位《湖南华容白鼎山加油站建设项目申请办理环评审批手续的报告》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中国石化销售股份有限公司湖南岳阳华容石油分公司投资1000万元在华容县田家湖生态新区华鲇路与田家湖大道东南角征地2849.78m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建设湖南华容白鼎山加油站项目，该加油站设计为二级加油站。主要经营汽油（92#、95#、98#）、柴油（0#）成品油，工程建设内容主要为加油机、埋地油罐、站房等。本项目不设餐饮、住宿等配套服务，无大型商业场所，只有小型超市。湖南华容白鼎山加油站采用潜油泵加油工艺，设置汽油卸油、加油油气回收系统、配套消防设施、供配电设施等，加油站所经营的成品油运输均采用委托汽车槽车方式运输。</w:t>
      </w:r>
      <w:r>
        <w:rPr>
          <w:rFonts w:hint="eastAsia" w:ascii="仿宋" w:hAnsi="仿宋" w:eastAsia="仿宋"/>
          <w:sz w:val="32"/>
          <w:szCs w:val="32"/>
          <w:lang w:eastAsia="zh-CN"/>
        </w:rPr>
        <w:t>根据《关于加强“未批先建”建设项目环境影响评价管理工作的通知》（环办环评〔2018〕18号）</w:t>
      </w:r>
      <w:r>
        <w:rPr>
          <w:rFonts w:hint="eastAsia" w:ascii="仿宋" w:hAnsi="仿宋" w:eastAsia="仿宋"/>
          <w:sz w:val="32"/>
          <w:szCs w:val="32"/>
          <w:lang w:val="en-US" w:eastAsia="zh-CN"/>
        </w:rPr>
        <w:t>以及《关于建设项目“未批先建”违法行为法律适用问题的意见》（环政法函〔2018〕31号）文件</w:t>
      </w:r>
      <w:r>
        <w:rPr>
          <w:rFonts w:hint="eastAsia" w:ascii="仿宋" w:hAnsi="仿宋" w:eastAsia="仿宋"/>
          <w:sz w:val="32"/>
          <w:szCs w:val="32"/>
          <w:lang w:eastAsia="zh-CN"/>
        </w:rPr>
        <w:t>，中国石化销售股份有限公司湖南岳阳华容石油分公司现申请补办环评手续；根据</w:t>
      </w:r>
      <w:bookmarkStart w:id="2" w:name="OLE_LINK16"/>
      <w:r>
        <w:rPr>
          <w:rFonts w:hint="eastAsia" w:ascii="仿宋" w:hAnsi="仿宋" w:eastAsia="仿宋"/>
          <w:sz w:val="32"/>
          <w:szCs w:val="32"/>
          <w:lang w:val="en-US" w:eastAsia="zh-CN"/>
        </w:rPr>
        <w:t>湖南环美达环保科技有限公司</w:t>
      </w:r>
      <w:r>
        <w:rPr>
          <w:rFonts w:hint="eastAsia" w:ascii="仿宋" w:hAnsi="仿宋" w:eastAsia="仿宋"/>
          <w:sz w:val="32"/>
          <w:szCs w:val="32"/>
          <w:lang w:eastAsia="zh-CN"/>
        </w:rPr>
        <w:t>编制的《湖南华容白鼎山加油站建设项目环境影响报告表（报批稿）》</w:t>
      </w:r>
      <w:bookmarkEnd w:id="2"/>
      <w:r>
        <w:rPr>
          <w:rFonts w:ascii="仿宋" w:hAnsi="仿宋" w:eastAsia="仿宋"/>
          <w:sz w:val="32"/>
          <w:szCs w:val="32"/>
          <w:lang w:eastAsia="zh-CN"/>
        </w:rPr>
        <w:t>基本内容、结论、专家评审意见，从环境保护角度考虑，</w:t>
      </w:r>
      <w:r>
        <w:rPr>
          <w:rFonts w:hint="eastAsia" w:ascii="仿宋" w:hAnsi="仿宋" w:eastAsia="仿宋"/>
          <w:sz w:val="32"/>
          <w:szCs w:val="32"/>
          <w:lang w:eastAsia="zh-CN"/>
        </w:rPr>
        <w:t>我局原则同意你公司环境影响报告表中所列建设项目的性质、规模、工艺、地点和环境保护对策措施</w:t>
      </w:r>
      <w:r>
        <w:rPr>
          <w:rFonts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left="0" w:leftChars="0" w:firstLine="640" w:firstLineChars="200"/>
        <w:jc w:val="both"/>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加强水污染防治措施。项目场区按照雨污分流体制建设，营运期场地内雨水经雨水收集管网收集后，外排至场界外沟渠内。加油站场区采用棚罩，不会被雨水淋而产生污水，其它场地雨水经场区雨水管网收集后进项目配套建设的隔油池隔油沉淀后进入雨水管网。场区内清洗废水（包括洗车废水、场地清洁废水）经隔油沉淀后与经化粪池处理后的生活废水一起排项目北侧华鲇路的市政污水管网，进入华容县麻浬泗污水处理厂处理达《城镇污水处理厂污染物排放标准》(GB18918-2002)中一级标准的A标准后排入华容河。</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加强大气污染治理。严格落实报告表提出的挥发性油气防治措施，加油站采用双层地埋式储油罐，配置卸没、加油油气回收系统，规范操作，确保加油站废气中非甲烷总烃类排放满足《加油站大气污染物排放标准》（GB20952-2007）中相关标准要求，厂界无组织废气满足《大气污染物综合排放标准》（GB16297-1996）表2中无组织排放监控浓度限值要求。厂区的备用发电机产生的废气经自带的烟气净化器处理后外排，满足《非道路移动机械用柴油机排气污染物排放限值及测量方法(中国第三、四阶段）》（GB 20891-2014）中第三阶段标准要求。</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选用低噪声设备，提高安装精度，对加油泵、发电机等产生高噪声的设备采取隔音减震措施，并通过加大场界绿化防护带起到吸音降尘的效果，确保加油站厂界噪声达到《工业企业厂界环境噪声排放标准》（GB12348-2008）2、4类标准要求。</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地下水污染防治工作。严格按设计要求规范落实各项防渗漏措施。地下储油罐周围设防渗漏检查孔或检查通道、监测井等防漏和检漏设施，储油罐周边设防油堤、油罐液位监测系统，运营期开展地下水环境影响跟踪监测，确保不对地下水环境造成影响。</w:t>
      </w:r>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固体废物防治工作。加油站油罐清洗交由具有专业资质单位进行，油罐残渣和隔油沉淀池含油泥沙等危险废物严格按照《危险废物贮存污染控制标准》（G18597-2001）及2013年修改单要求，规范建设暂存场所，油罐定期清理产生残渣和隔油池产生的含油泥沙交由有资质的单位处理；落实转移联单制度并规范建立台帐。废弃的含油抹布、劳保用品等按要求规范处理。生活垃圾集中收集后委托环卫部门定期清运。</w:t>
      </w:r>
      <w:bookmarkStart w:id="5" w:name="_GoBack"/>
      <w:bookmarkEnd w:id="5"/>
    </w:p>
    <w:p>
      <w:pPr>
        <w:widowControl w:val="0"/>
        <w:spacing w:line="52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加强营运期风险防范。加强营运期风险防范。加强对输油管道和加油、储油设备的维护管理，减少跑、冒、滴、漏，制定严格的操作规程，常备安全消防用具。落实各项风险防范措施，制定科学有效的应急事故处理预案，建立健全应急组织实施体系，增强事故防范意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7、加强环境管理，建立健全污染防治设施运行管理台帐，设置专门的环保机构及环保人员，确保各项污染防治设施的正常运行，各类污染物稳定达标排放。</w:t>
      </w:r>
    </w:p>
    <w:p>
      <w:pPr>
        <w:widowControl w:val="0"/>
        <w:spacing w:line="520" w:lineRule="exact"/>
        <w:ind w:left="0" w:leftChars="0"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8、本项目总量控制指标：VOCs≤0.622t/a。</w:t>
      </w:r>
    </w:p>
    <w:bookmarkEnd w:id="3"/>
    <w:bookmarkEnd w:id="4"/>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widowControl w:val="0"/>
        <w:spacing w:line="520" w:lineRule="exact"/>
        <w:ind w:firstLine="640" w:firstLineChars="200"/>
        <w:jc w:val="both"/>
        <w:rPr>
          <w:rFonts w:hint="eastAsia"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pStyle w:val="2"/>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9</w:t>
      </w:r>
      <w:r>
        <w:rPr>
          <w:rFonts w:ascii="仿宋" w:hAnsi="仿宋" w:eastAsia="仿宋"/>
          <w:sz w:val="32"/>
          <w:szCs w:val="32"/>
          <w:lang w:eastAsia="zh-CN"/>
        </w:rPr>
        <w:t>月</w:t>
      </w:r>
      <w:r>
        <w:rPr>
          <w:rFonts w:hint="eastAsia" w:ascii="仿宋" w:hAnsi="仿宋" w:eastAsia="仿宋"/>
          <w:sz w:val="32"/>
          <w:szCs w:val="32"/>
          <w:lang w:val="en-US" w:eastAsia="zh-CN"/>
        </w:rPr>
        <w:t>28</w:t>
      </w:r>
      <w:r>
        <w:rPr>
          <w:rFonts w:ascii="仿宋" w:hAnsi="仿宋" w:eastAsia="仿宋"/>
          <w:sz w:val="32"/>
          <w:szCs w:val="32"/>
          <w:lang w:eastAsia="zh-CN"/>
        </w:rPr>
        <w:t>日</w:t>
      </w:r>
    </w:p>
    <w:p>
      <w:pPr>
        <w:pStyle w:val="14"/>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tbl>
      <w:tblPr>
        <w:tblStyle w:val="20"/>
        <w:tblpPr w:leftFromText="180" w:rightFromText="180" w:vertAnchor="text" w:horzAnchor="page" w:tblpX="1900" w:tblpY="1930"/>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829" w:hanging="828" w:hangingChars="259"/>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湖南环美达环保科技有限公司</w:t>
            </w:r>
          </w:p>
        </w:tc>
      </w:tr>
    </w:tbl>
    <w:p>
      <w:pPr>
        <w:ind w:left="0" w:leftChars="0" w:firstLine="0" w:firstLineChars="0"/>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3</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303B7E"/>
    <w:rsid w:val="004F0446"/>
    <w:rsid w:val="00680217"/>
    <w:rsid w:val="00A751E9"/>
    <w:rsid w:val="00DF34C0"/>
    <w:rsid w:val="00E305B0"/>
    <w:rsid w:val="015E2352"/>
    <w:rsid w:val="01F21DF7"/>
    <w:rsid w:val="030F5D48"/>
    <w:rsid w:val="0310708E"/>
    <w:rsid w:val="03AD0C42"/>
    <w:rsid w:val="04CF5F31"/>
    <w:rsid w:val="04F96B29"/>
    <w:rsid w:val="04FC7225"/>
    <w:rsid w:val="05492309"/>
    <w:rsid w:val="055927EB"/>
    <w:rsid w:val="0577127F"/>
    <w:rsid w:val="05D32D7D"/>
    <w:rsid w:val="06485613"/>
    <w:rsid w:val="0667504B"/>
    <w:rsid w:val="06D454B6"/>
    <w:rsid w:val="07627BE0"/>
    <w:rsid w:val="07D00092"/>
    <w:rsid w:val="07E83251"/>
    <w:rsid w:val="08BE5DE5"/>
    <w:rsid w:val="095273E5"/>
    <w:rsid w:val="0AAC7209"/>
    <w:rsid w:val="0C7B4F4A"/>
    <w:rsid w:val="0E911D51"/>
    <w:rsid w:val="125F458B"/>
    <w:rsid w:val="126B75A1"/>
    <w:rsid w:val="12AD6D1E"/>
    <w:rsid w:val="13151EDD"/>
    <w:rsid w:val="13C80755"/>
    <w:rsid w:val="152B1936"/>
    <w:rsid w:val="17580286"/>
    <w:rsid w:val="176E618B"/>
    <w:rsid w:val="1791017D"/>
    <w:rsid w:val="179D4F43"/>
    <w:rsid w:val="18467D23"/>
    <w:rsid w:val="1934374F"/>
    <w:rsid w:val="1A3E03B3"/>
    <w:rsid w:val="1B69490D"/>
    <w:rsid w:val="1BB043A6"/>
    <w:rsid w:val="1BF87646"/>
    <w:rsid w:val="1CF31FFA"/>
    <w:rsid w:val="1D3F233A"/>
    <w:rsid w:val="1DB82B67"/>
    <w:rsid w:val="1DE16A2D"/>
    <w:rsid w:val="1DFA439D"/>
    <w:rsid w:val="1E015F20"/>
    <w:rsid w:val="1E5142F1"/>
    <w:rsid w:val="1E742D0F"/>
    <w:rsid w:val="1EC2302D"/>
    <w:rsid w:val="1EF04FA7"/>
    <w:rsid w:val="20CD0914"/>
    <w:rsid w:val="210C743C"/>
    <w:rsid w:val="21443D99"/>
    <w:rsid w:val="2223050D"/>
    <w:rsid w:val="23961356"/>
    <w:rsid w:val="251003ED"/>
    <w:rsid w:val="2546427C"/>
    <w:rsid w:val="25661477"/>
    <w:rsid w:val="25D97276"/>
    <w:rsid w:val="26206248"/>
    <w:rsid w:val="26D35860"/>
    <w:rsid w:val="275F5B53"/>
    <w:rsid w:val="27BB4D0A"/>
    <w:rsid w:val="27C67DD2"/>
    <w:rsid w:val="27EC3DA6"/>
    <w:rsid w:val="285B0824"/>
    <w:rsid w:val="29A33FE3"/>
    <w:rsid w:val="29EF27C5"/>
    <w:rsid w:val="2A2E7D7C"/>
    <w:rsid w:val="2C484A8B"/>
    <w:rsid w:val="2CD73F2F"/>
    <w:rsid w:val="2D820019"/>
    <w:rsid w:val="2E091795"/>
    <w:rsid w:val="2E1D701B"/>
    <w:rsid w:val="2E853DFF"/>
    <w:rsid w:val="2EDD4448"/>
    <w:rsid w:val="2F8300EE"/>
    <w:rsid w:val="300D6709"/>
    <w:rsid w:val="303554BB"/>
    <w:rsid w:val="30A242C0"/>
    <w:rsid w:val="31691448"/>
    <w:rsid w:val="326D5414"/>
    <w:rsid w:val="33120DFC"/>
    <w:rsid w:val="33487338"/>
    <w:rsid w:val="3358441A"/>
    <w:rsid w:val="33C8571E"/>
    <w:rsid w:val="33D81101"/>
    <w:rsid w:val="3434152B"/>
    <w:rsid w:val="35E86C98"/>
    <w:rsid w:val="3645474C"/>
    <w:rsid w:val="369D6A7A"/>
    <w:rsid w:val="36EF248B"/>
    <w:rsid w:val="376F6FFD"/>
    <w:rsid w:val="379124D5"/>
    <w:rsid w:val="37C2540C"/>
    <w:rsid w:val="37C95479"/>
    <w:rsid w:val="388D3512"/>
    <w:rsid w:val="39C86077"/>
    <w:rsid w:val="3B1A7659"/>
    <w:rsid w:val="3B342E13"/>
    <w:rsid w:val="3BEB36EC"/>
    <w:rsid w:val="3D394CE7"/>
    <w:rsid w:val="3E467BF9"/>
    <w:rsid w:val="3EAC48C9"/>
    <w:rsid w:val="401035FD"/>
    <w:rsid w:val="4078021F"/>
    <w:rsid w:val="40922810"/>
    <w:rsid w:val="414A09E3"/>
    <w:rsid w:val="424C5161"/>
    <w:rsid w:val="4320273A"/>
    <w:rsid w:val="433E7E95"/>
    <w:rsid w:val="440515CF"/>
    <w:rsid w:val="449854CC"/>
    <w:rsid w:val="45B56B44"/>
    <w:rsid w:val="461C402D"/>
    <w:rsid w:val="46A50D87"/>
    <w:rsid w:val="46CF0191"/>
    <w:rsid w:val="47C11BD0"/>
    <w:rsid w:val="48263FE6"/>
    <w:rsid w:val="499045AD"/>
    <w:rsid w:val="49BA360D"/>
    <w:rsid w:val="49DC7192"/>
    <w:rsid w:val="4A1359DE"/>
    <w:rsid w:val="4AED164A"/>
    <w:rsid w:val="4B276986"/>
    <w:rsid w:val="4B2F5BF6"/>
    <w:rsid w:val="4B3623B0"/>
    <w:rsid w:val="4BAC0E59"/>
    <w:rsid w:val="4BCD58B3"/>
    <w:rsid w:val="4C376E29"/>
    <w:rsid w:val="4D8F4DA3"/>
    <w:rsid w:val="4DC22511"/>
    <w:rsid w:val="4E417180"/>
    <w:rsid w:val="50F640E4"/>
    <w:rsid w:val="51851AD6"/>
    <w:rsid w:val="53320D8A"/>
    <w:rsid w:val="54872994"/>
    <w:rsid w:val="54F34CA9"/>
    <w:rsid w:val="54F379A1"/>
    <w:rsid w:val="557F3EA4"/>
    <w:rsid w:val="56A00A1C"/>
    <w:rsid w:val="57D01406"/>
    <w:rsid w:val="58A32094"/>
    <w:rsid w:val="58F973FA"/>
    <w:rsid w:val="5BA567CD"/>
    <w:rsid w:val="5BE77D58"/>
    <w:rsid w:val="5C971F21"/>
    <w:rsid w:val="5F3A41A5"/>
    <w:rsid w:val="60FE44EB"/>
    <w:rsid w:val="626966A4"/>
    <w:rsid w:val="627B514C"/>
    <w:rsid w:val="62E74A7F"/>
    <w:rsid w:val="63044559"/>
    <w:rsid w:val="637264E3"/>
    <w:rsid w:val="63784354"/>
    <w:rsid w:val="64452AE4"/>
    <w:rsid w:val="649C7890"/>
    <w:rsid w:val="649E41DB"/>
    <w:rsid w:val="6520197B"/>
    <w:rsid w:val="658173C8"/>
    <w:rsid w:val="672F3DCF"/>
    <w:rsid w:val="67FF4957"/>
    <w:rsid w:val="6AC5479A"/>
    <w:rsid w:val="6AE01D49"/>
    <w:rsid w:val="6B813319"/>
    <w:rsid w:val="6CD12683"/>
    <w:rsid w:val="6E5D732F"/>
    <w:rsid w:val="6F7F15DF"/>
    <w:rsid w:val="70F33585"/>
    <w:rsid w:val="710F180E"/>
    <w:rsid w:val="71B31285"/>
    <w:rsid w:val="71E31AE7"/>
    <w:rsid w:val="72BC7FED"/>
    <w:rsid w:val="73B17DA8"/>
    <w:rsid w:val="76CA2B1C"/>
    <w:rsid w:val="77D70E43"/>
    <w:rsid w:val="77DE1E11"/>
    <w:rsid w:val="793C27CE"/>
    <w:rsid w:val="798551AB"/>
    <w:rsid w:val="79D37596"/>
    <w:rsid w:val="7A034826"/>
    <w:rsid w:val="7A1B5C2F"/>
    <w:rsid w:val="7B261EA3"/>
    <w:rsid w:val="7CB41712"/>
    <w:rsid w:val="7CD01E3F"/>
    <w:rsid w:val="7DAF74C2"/>
    <w:rsid w:val="7E905819"/>
    <w:rsid w:val="7F3A0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25"/>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26"/>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27"/>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28"/>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29"/>
    <w:qFormat/>
    <w:uiPriority w:val="9"/>
    <w:pPr>
      <w:spacing w:before="200" w:after="80"/>
      <w:ind w:firstLine="0"/>
      <w:outlineLvl w:val="4"/>
    </w:pPr>
    <w:rPr>
      <w:rFonts w:ascii="Cambria" w:hAnsi="Cambria"/>
      <w:color w:val="4F81BD"/>
    </w:rPr>
  </w:style>
  <w:style w:type="paragraph" w:styleId="8">
    <w:name w:val="heading 6"/>
    <w:basedOn w:val="1"/>
    <w:next w:val="1"/>
    <w:link w:val="30"/>
    <w:qFormat/>
    <w:uiPriority w:val="9"/>
    <w:pPr>
      <w:spacing w:before="280" w:after="100"/>
      <w:ind w:firstLine="0"/>
      <w:outlineLvl w:val="5"/>
    </w:pPr>
    <w:rPr>
      <w:rFonts w:ascii="Cambria" w:hAnsi="Cambria"/>
      <w:i/>
      <w:iCs/>
      <w:color w:val="4F81BD"/>
    </w:rPr>
  </w:style>
  <w:style w:type="paragraph" w:styleId="9">
    <w:name w:val="heading 7"/>
    <w:basedOn w:val="1"/>
    <w:next w:val="1"/>
    <w:link w:val="31"/>
    <w:qFormat/>
    <w:uiPriority w:val="9"/>
    <w:pPr>
      <w:spacing w:before="320" w:after="100"/>
      <w:ind w:firstLine="0"/>
      <w:outlineLvl w:val="6"/>
    </w:pPr>
    <w:rPr>
      <w:rFonts w:ascii="Cambria" w:hAnsi="Cambria"/>
      <w:b/>
      <w:bCs/>
      <w:color w:val="9BBB59"/>
      <w:sz w:val="20"/>
      <w:szCs w:val="20"/>
    </w:rPr>
  </w:style>
  <w:style w:type="paragraph" w:styleId="10">
    <w:name w:val="heading 8"/>
    <w:basedOn w:val="1"/>
    <w:next w:val="1"/>
    <w:link w:val="32"/>
    <w:qFormat/>
    <w:uiPriority w:val="9"/>
    <w:pPr>
      <w:spacing w:before="320" w:after="100"/>
      <w:ind w:firstLine="0"/>
      <w:outlineLvl w:val="7"/>
    </w:pPr>
    <w:rPr>
      <w:rFonts w:ascii="Cambria" w:hAnsi="Cambria"/>
      <w:b/>
      <w:bCs/>
      <w:i/>
      <w:iCs/>
      <w:color w:val="9BBB59"/>
      <w:sz w:val="20"/>
      <w:szCs w:val="20"/>
    </w:rPr>
  </w:style>
  <w:style w:type="paragraph" w:styleId="11">
    <w:name w:val="heading 9"/>
    <w:basedOn w:val="1"/>
    <w:next w:val="1"/>
    <w:link w:val="33"/>
    <w:qFormat/>
    <w:uiPriority w:val="9"/>
    <w:pPr>
      <w:spacing w:before="320" w:after="100"/>
      <w:ind w:firstLine="0"/>
      <w:outlineLvl w:val="8"/>
    </w:pPr>
    <w:rPr>
      <w:rFonts w:ascii="Cambria" w:hAnsi="Cambria"/>
      <w:i/>
      <w:iCs/>
      <w:color w:val="9BBB59"/>
      <w:sz w:val="20"/>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400" w:lineRule="atLeast"/>
    </w:pPr>
    <w:rPr>
      <w:sz w:val="30"/>
    </w:rPr>
  </w:style>
  <w:style w:type="paragraph" w:styleId="12">
    <w:name w:val="caption"/>
    <w:basedOn w:val="1"/>
    <w:next w:val="1"/>
    <w:qFormat/>
    <w:uiPriority w:val="35"/>
    <w:rPr>
      <w:b/>
      <w:bCs/>
      <w:sz w:val="18"/>
      <w:szCs w:val="18"/>
    </w:rPr>
  </w:style>
  <w:style w:type="paragraph" w:styleId="13">
    <w:name w:val="Body Text Indent"/>
    <w:basedOn w:val="1"/>
    <w:next w:val="14"/>
    <w:qFormat/>
    <w:uiPriority w:val="99"/>
    <w:pPr>
      <w:ind w:left="420" w:leftChars="200"/>
    </w:pPr>
  </w:style>
  <w:style w:type="paragraph" w:styleId="14">
    <w:name w:val="Body Text First Indent 2"/>
    <w:basedOn w:val="13"/>
    <w:next w:val="1"/>
    <w:qFormat/>
    <w:uiPriority w:val="99"/>
    <w:pPr>
      <w:ind w:firstLine="420"/>
    </w:pPr>
  </w:style>
  <w:style w:type="paragraph" w:styleId="15">
    <w:name w:val="Balloon Text"/>
    <w:basedOn w:val="1"/>
    <w:link w:val="53"/>
    <w:qFormat/>
    <w:uiPriority w:val="99"/>
    <w:rPr>
      <w:sz w:val="18"/>
      <w:szCs w:val="18"/>
    </w:rPr>
  </w:style>
  <w:style w:type="paragraph" w:styleId="16">
    <w:name w:val="footer"/>
    <w:basedOn w:val="1"/>
    <w:link w:val="52"/>
    <w:qFormat/>
    <w:uiPriority w:val="99"/>
    <w:pPr>
      <w:tabs>
        <w:tab w:val="center" w:pos="4153"/>
        <w:tab w:val="right" w:pos="8306"/>
      </w:tabs>
      <w:snapToGrid w:val="0"/>
    </w:pPr>
    <w:rPr>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5"/>
    <w:qFormat/>
    <w:uiPriority w:val="11"/>
    <w:pPr>
      <w:spacing w:before="200" w:after="900"/>
      <w:ind w:firstLine="0"/>
      <w:jc w:val="right"/>
    </w:pPr>
    <w:rPr>
      <w:i/>
      <w:iCs/>
      <w:sz w:val="24"/>
      <w:szCs w:val="24"/>
    </w:rPr>
  </w:style>
  <w:style w:type="paragraph" w:styleId="19">
    <w:name w:val="Title"/>
    <w:basedOn w:val="1"/>
    <w:next w:val="1"/>
    <w:link w:val="34"/>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2">
    <w:name w:val="Strong"/>
    <w:basedOn w:val="21"/>
    <w:qFormat/>
    <w:uiPriority w:val="22"/>
    <w:rPr>
      <w:b/>
      <w:bCs/>
      <w:spacing w:val="0"/>
    </w:rPr>
  </w:style>
  <w:style w:type="character" w:styleId="23">
    <w:name w:val="Emphasis"/>
    <w:qFormat/>
    <w:uiPriority w:val="20"/>
    <w:rPr>
      <w:b/>
      <w:bCs/>
      <w:i/>
      <w:iCs/>
      <w:color w:val="595959"/>
    </w:rPr>
  </w:style>
  <w:style w:type="paragraph" w:customStyle="1" w:styleId="2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25">
    <w:name w:val="标题 1 Char"/>
    <w:basedOn w:val="21"/>
    <w:link w:val="3"/>
    <w:qFormat/>
    <w:uiPriority w:val="9"/>
    <w:rPr>
      <w:rFonts w:ascii="Cambria" w:hAnsi="Cambria" w:eastAsia="宋体" w:cs="宋体"/>
      <w:b/>
      <w:bCs/>
      <w:color w:val="376092"/>
      <w:sz w:val="24"/>
      <w:szCs w:val="24"/>
    </w:rPr>
  </w:style>
  <w:style w:type="character" w:customStyle="1" w:styleId="26">
    <w:name w:val="标题 2 Char"/>
    <w:basedOn w:val="21"/>
    <w:link w:val="4"/>
    <w:qFormat/>
    <w:uiPriority w:val="9"/>
    <w:rPr>
      <w:rFonts w:ascii="Cambria" w:hAnsi="Cambria" w:eastAsia="宋体" w:cs="宋体"/>
      <w:color w:val="376092"/>
      <w:sz w:val="24"/>
      <w:szCs w:val="24"/>
    </w:rPr>
  </w:style>
  <w:style w:type="character" w:customStyle="1" w:styleId="27">
    <w:name w:val="标题 3 Char"/>
    <w:basedOn w:val="21"/>
    <w:link w:val="5"/>
    <w:qFormat/>
    <w:uiPriority w:val="9"/>
    <w:rPr>
      <w:rFonts w:ascii="Cambria" w:hAnsi="Cambria" w:eastAsia="宋体" w:cs="宋体"/>
      <w:color w:val="4F81BD"/>
      <w:sz w:val="24"/>
      <w:szCs w:val="24"/>
    </w:rPr>
  </w:style>
  <w:style w:type="character" w:customStyle="1" w:styleId="28">
    <w:name w:val="标题 4 Char"/>
    <w:basedOn w:val="21"/>
    <w:link w:val="6"/>
    <w:qFormat/>
    <w:uiPriority w:val="9"/>
    <w:rPr>
      <w:rFonts w:ascii="Cambria" w:hAnsi="Cambria" w:eastAsia="宋体" w:cs="宋体"/>
      <w:i/>
      <w:iCs/>
      <w:color w:val="4F81BD"/>
      <w:sz w:val="24"/>
      <w:szCs w:val="24"/>
    </w:rPr>
  </w:style>
  <w:style w:type="character" w:customStyle="1" w:styleId="29">
    <w:name w:val="标题 5 Char"/>
    <w:basedOn w:val="21"/>
    <w:link w:val="7"/>
    <w:qFormat/>
    <w:uiPriority w:val="9"/>
    <w:rPr>
      <w:rFonts w:ascii="Cambria" w:hAnsi="Cambria" w:eastAsia="宋体" w:cs="宋体"/>
      <w:color w:val="4F81BD"/>
    </w:rPr>
  </w:style>
  <w:style w:type="character" w:customStyle="1" w:styleId="30">
    <w:name w:val="标题 6 Char"/>
    <w:basedOn w:val="21"/>
    <w:link w:val="8"/>
    <w:qFormat/>
    <w:uiPriority w:val="9"/>
    <w:rPr>
      <w:rFonts w:ascii="Cambria" w:hAnsi="Cambria" w:eastAsia="宋体" w:cs="宋体"/>
      <w:i/>
      <w:iCs/>
      <w:color w:val="4F81BD"/>
    </w:rPr>
  </w:style>
  <w:style w:type="character" w:customStyle="1" w:styleId="31">
    <w:name w:val="标题 7 Char"/>
    <w:basedOn w:val="21"/>
    <w:link w:val="9"/>
    <w:qFormat/>
    <w:uiPriority w:val="9"/>
    <w:rPr>
      <w:rFonts w:ascii="Cambria" w:hAnsi="Cambria" w:eastAsia="宋体" w:cs="宋体"/>
      <w:b/>
      <w:bCs/>
      <w:color w:val="9BBB59"/>
      <w:sz w:val="20"/>
      <w:szCs w:val="20"/>
    </w:rPr>
  </w:style>
  <w:style w:type="character" w:customStyle="1" w:styleId="32">
    <w:name w:val="标题 8 Char"/>
    <w:basedOn w:val="21"/>
    <w:link w:val="10"/>
    <w:qFormat/>
    <w:uiPriority w:val="9"/>
    <w:rPr>
      <w:rFonts w:ascii="Cambria" w:hAnsi="Cambria" w:eastAsia="宋体" w:cs="宋体"/>
      <w:b/>
      <w:bCs/>
      <w:i/>
      <w:iCs/>
      <w:color w:val="9BBB59"/>
      <w:sz w:val="20"/>
      <w:szCs w:val="20"/>
    </w:rPr>
  </w:style>
  <w:style w:type="character" w:customStyle="1" w:styleId="33">
    <w:name w:val="标题 9 Char"/>
    <w:basedOn w:val="21"/>
    <w:link w:val="11"/>
    <w:qFormat/>
    <w:uiPriority w:val="9"/>
    <w:rPr>
      <w:rFonts w:ascii="Cambria" w:hAnsi="Cambria" w:eastAsia="宋体" w:cs="宋体"/>
      <w:i/>
      <w:iCs/>
      <w:color w:val="9BBB59"/>
      <w:sz w:val="20"/>
      <w:szCs w:val="20"/>
    </w:rPr>
  </w:style>
  <w:style w:type="character" w:customStyle="1" w:styleId="34">
    <w:name w:val="标题 Char"/>
    <w:basedOn w:val="21"/>
    <w:link w:val="19"/>
    <w:qFormat/>
    <w:uiPriority w:val="10"/>
    <w:rPr>
      <w:rFonts w:ascii="Cambria" w:hAnsi="Cambria" w:eastAsia="宋体" w:cs="宋体"/>
      <w:i/>
      <w:iCs/>
      <w:color w:val="254061"/>
      <w:sz w:val="60"/>
      <w:szCs w:val="60"/>
    </w:rPr>
  </w:style>
  <w:style w:type="character" w:customStyle="1" w:styleId="35">
    <w:name w:val="副标题 Char"/>
    <w:basedOn w:val="21"/>
    <w:link w:val="18"/>
    <w:qFormat/>
    <w:uiPriority w:val="11"/>
    <w:rPr>
      <w:rFonts w:ascii="Calibri"/>
      <w:i/>
      <w:iCs/>
      <w:sz w:val="24"/>
      <w:szCs w:val="24"/>
    </w:rPr>
  </w:style>
  <w:style w:type="paragraph" w:styleId="36">
    <w:name w:val="No Spacing"/>
    <w:basedOn w:val="1"/>
    <w:link w:val="37"/>
    <w:qFormat/>
    <w:uiPriority w:val="1"/>
    <w:pPr>
      <w:ind w:firstLine="0"/>
    </w:pPr>
  </w:style>
  <w:style w:type="character" w:customStyle="1" w:styleId="37">
    <w:name w:val="无间隔 Char"/>
    <w:basedOn w:val="21"/>
    <w:link w:val="36"/>
    <w:qFormat/>
    <w:uiPriority w:val="1"/>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rFonts w:ascii="Cambria" w:hAnsi="Cambria"/>
      <w:i/>
      <w:iCs/>
      <w:color w:val="595959"/>
    </w:rPr>
  </w:style>
  <w:style w:type="character" w:customStyle="1" w:styleId="40">
    <w:name w:val="引用 Char"/>
    <w:basedOn w:val="21"/>
    <w:link w:val="39"/>
    <w:qFormat/>
    <w:uiPriority w:val="29"/>
    <w:rPr>
      <w:rFonts w:ascii="Cambria" w:hAnsi="Cambria" w:eastAsia="宋体" w:cs="宋体"/>
      <w:i/>
      <w:iCs/>
      <w:color w:val="595959"/>
    </w:rPr>
  </w:style>
  <w:style w:type="paragraph" w:styleId="41">
    <w:name w:val="Intense Quote"/>
    <w:basedOn w:val="1"/>
    <w:next w:val="1"/>
    <w:link w:val="42"/>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2">
    <w:name w:val="明显引用 Char"/>
    <w:basedOn w:val="21"/>
    <w:link w:val="41"/>
    <w:qFormat/>
    <w:uiPriority w:val="30"/>
    <w:rPr>
      <w:rFonts w:ascii="Cambria" w:hAnsi="Cambria" w:eastAsia="宋体" w:cs="宋体"/>
      <w:i/>
      <w:iCs/>
      <w:color w:val="FFFFFF"/>
      <w:sz w:val="24"/>
      <w:szCs w:val="24"/>
      <w:shd w:val="clear" w:color="auto" w:fill="4F81BD"/>
    </w:rPr>
  </w:style>
  <w:style w:type="character" w:customStyle="1" w:styleId="43">
    <w:name w:val="不明显强调1"/>
    <w:qFormat/>
    <w:uiPriority w:val="19"/>
    <w:rPr>
      <w:i/>
      <w:iCs/>
      <w:color w:val="595959"/>
    </w:rPr>
  </w:style>
  <w:style w:type="character" w:customStyle="1" w:styleId="44">
    <w:name w:val="明显强调1"/>
    <w:qFormat/>
    <w:uiPriority w:val="21"/>
    <w:rPr>
      <w:b/>
      <w:bCs/>
      <w:i/>
      <w:iCs/>
      <w:color w:val="4F81BD"/>
      <w:sz w:val="22"/>
      <w:szCs w:val="22"/>
    </w:rPr>
  </w:style>
  <w:style w:type="character" w:customStyle="1" w:styleId="45">
    <w:name w:val="不明显参考1"/>
    <w:qFormat/>
    <w:uiPriority w:val="31"/>
    <w:rPr>
      <w:color w:val="auto"/>
      <w:u w:val="single" w:color="9BBB59"/>
    </w:rPr>
  </w:style>
  <w:style w:type="character" w:customStyle="1" w:styleId="46">
    <w:name w:val="明显参考1"/>
    <w:basedOn w:val="21"/>
    <w:qFormat/>
    <w:uiPriority w:val="32"/>
    <w:rPr>
      <w:b/>
      <w:bCs/>
      <w:color w:val="77933C"/>
      <w:u w:val="single" w:color="9BBB59"/>
    </w:rPr>
  </w:style>
  <w:style w:type="character" w:customStyle="1" w:styleId="47">
    <w:name w:val="书籍标题1"/>
    <w:basedOn w:val="21"/>
    <w:qFormat/>
    <w:uiPriority w:val="33"/>
    <w:rPr>
      <w:rFonts w:ascii="Cambria" w:hAnsi="Cambria" w:eastAsia="宋体" w:cs="宋体"/>
      <w:b/>
      <w:bCs/>
      <w:i/>
      <w:iCs/>
      <w:color w:val="auto"/>
    </w:rPr>
  </w:style>
  <w:style w:type="paragraph" w:customStyle="1" w:styleId="48">
    <w:name w:val="TOC 标题1"/>
    <w:basedOn w:val="3"/>
    <w:next w:val="1"/>
    <w:qFormat/>
    <w:uiPriority w:val="39"/>
    <w:pPr>
      <w:outlineLvl w:val="9"/>
    </w:pPr>
  </w:style>
  <w:style w:type="paragraph" w:customStyle="1" w:styleId="49">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0">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1">
    <w:name w:val="页眉 Char"/>
    <w:basedOn w:val="21"/>
    <w:link w:val="17"/>
    <w:qFormat/>
    <w:uiPriority w:val="99"/>
    <w:rPr>
      <w:sz w:val="18"/>
      <w:szCs w:val="18"/>
    </w:rPr>
  </w:style>
  <w:style w:type="character" w:customStyle="1" w:styleId="52">
    <w:name w:val="页脚 Char"/>
    <w:basedOn w:val="21"/>
    <w:link w:val="16"/>
    <w:qFormat/>
    <w:uiPriority w:val="99"/>
    <w:rPr>
      <w:sz w:val="18"/>
      <w:szCs w:val="18"/>
    </w:rPr>
  </w:style>
  <w:style w:type="character" w:customStyle="1" w:styleId="53">
    <w:name w:val="批注框文本 Char"/>
    <w:basedOn w:val="21"/>
    <w:link w:val="15"/>
    <w:qFormat/>
    <w:uiPriority w:val="99"/>
    <w:rPr>
      <w:sz w:val="18"/>
      <w:szCs w:val="18"/>
      <w:lang w:eastAsia="en-US" w:bidi="en-US"/>
    </w:rPr>
  </w:style>
  <w:style w:type="paragraph" w:customStyle="1" w:styleId="54">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2020-04-27T01:27:00Z</cp:lastPrinted>
  <dcterms:modified xsi:type="dcterms:W3CDTF">2020-09-27T01:52:27Z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