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rPr>
          <w:rFonts w:ascii="宋体" w:hAnsi="宋体" w:cs="宋体"/>
          <w:b/>
          <w:bCs/>
          <w:sz w:val="28"/>
          <w:szCs w:val="28"/>
        </w:rPr>
      </w:pPr>
      <w:r>
        <w:rPr>
          <w:rFonts w:hint="eastAsia" w:ascii="宋体" w:hAnsi="宋体" w:cs="宋体"/>
          <w:b/>
          <w:bCs/>
          <w:sz w:val="28"/>
          <w:szCs w:val="28"/>
        </w:rPr>
        <w:t>表一、建设项目基本情况</w:t>
      </w:r>
    </w:p>
    <w:tbl>
      <w:tblPr>
        <w:tblStyle w:val="28"/>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729"/>
        <w:gridCol w:w="541"/>
        <w:gridCol w:w="875"/>
        <w:gridCol w:w="1534"/>
        <w:gridCol w:w="891"/>
        <w:gridCol w:w="179"/>
        <w:gridCol w:w="13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adjustRightInd w:val="0"/>
              <w:snapToGrid w:val="0"/>
              <w:jc w:val="center"/>
              <w:rPr>
                <w:sz w:val="24"/>
              </w:rPr>
            </w:pPr>
            <w:r>
              <w:rPr>
                <w:sz w:val="24"/>
              </w:rPr>
              <w:t>项目名称</w:t>
            </w:r>
          </w:p>
        </w:tc>
        <w:tc>
          <w:tcPr>
            <w:tcW w:w="7096" w:type="dxa"/>
            <w:gridSpan w:val="7"/>
            <w:vAlign w:val="center"/>
          </w:tcPr>
          <w:p>
            <w:pPr>
              <w:jc w:val="center"/>
              <w:rPr>
                <w:sz w:val="24"/>
              </w:rPr>
            </w:pPr>
            <w:r>
              <w:rPr>
                <w:rFonts w:hint="eastAsia"/>
                <w:bCs/>
                <w:sz w:val="24"/>
                <w:szCs w:val="21"/>
              </w:rPr>
              <w:t>60万吨/年机制砂建设项目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adjustRightInd w:val="0"/>
              <w:snapToGrid w:val="0"/>
              <w:jc w:val="center"/>
              <w:rPr>
                <w:sz w:val="24"/>
              </w:rPr>
            </w:pPr>
            <w:r>
              <w:rPr>
                <w:sz w:val="24"/>
              </w:rPr>
              <w:t>建设单位</w:t>
            </w:r>
          </w:p>
        </w:tc>
        <w:tc>
          <w:tcPr>
            <w:tcW w:w="7096" w:type="dxa"/>
            <w:gridSpan w:val="7"/>
            <w:vAlign w:val="center"/>
          </w:tcPr>
          <w:p>
            <w:pPr>
              <w:jc w:val="center"/>
              <w:rPr>
                <w:rFonts w:hint="eastAsia" w:eastAsia="宋体"/>
                <w:sz w:val="24"/>
                <w:lang w:eastAsia="zh-CN"/>
              </w:rPr>
            </w:pPr>
            <w:r>
              <w:rPr>
                <w:rFonts w:hint="eastAsia" w:ascii="宋体" w:hAnsi="宋体"/>
                <w:bCs/>
                <w:sz w:val="24"/>
                <w:szCs w:val="28"/>
                <w:lang w:eastAsia="zh-CN"/>
              </w:rPr>
              <w:t>华容县万庾村砂石加工厂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adjustRightInd w:val="0"/>
              <w:snapToGrid w:val="0"/>
              <w:jc w:val="center"/>
              <w:rPr>
                <w:sz w:val="24"/>
              </w:rPr>
            </w:pPr>
            <w:r>
              <w:rPr>
                <w:sz w:val="24"/>
              </w:rPr>
              <w:t>法人代表</w:t>
            </w:r>
          </w:p>
        </w:tc>
        <w:tc>
          <w:tcPr>
            <w:tcW w:w="3145" w:type="dxa"/>
            <w:gridSpan w:val="3"/>
            <w:vAlign w:val="center"/>
          </w:tcPr>
          <w:p>
            <w:pPr>
              <w:jc w:val="center"/>
              <w:rPr>
                <w:rFonts w:hint="eastAsia" w:eastAsia="宋体"/>
                <w:sz w:val="24"/>
                <w:lang w:eastAsia="zh-CN"/>
              </w:rPr>
            </w:pPr>
            <w:r>
              <w:rPr>
                <w:rFonts w:hint="eastAsia"/>
                <w:sz w:val="24"/>
                <w:lang w:eastAsia="zh-CN"/>
              </w:rPr>
              <w:t>张劲</w:t>
            </w:r>
          </w:p>
        </w:tc>
        <w:tc>
          <w:tcPr>
            <w:tcW w:w="1534" w:type="dxa"/>
            <w:vAlign w:val="center"/>
          </w:tcPr>
          <w:p>
            <w:pPr>
              <w:jc w:val="center"/>
              <w:rPr>
                <w:sz w:val="24"/>
              </w:rPr>
            </w:pPr>
            <w:r>
              <w:rPr>
                <w:sz w:val="24"/>
              </w:rPr>
              <w:t>联系人</w:t>
            </w:r>
          </w:p>
        </w:tc>
        <w:tc>
          <w:tcPr>
            <w:tcW w:w="2417" w:type="dxa"/>
            <w:gridSpan w:val="3"/>
            <w:vAlign w:val="center"/>
          </w:tcPr>
          <w:p>
            <w:pPr>
              <w:jc w:val="center"/>
              <w:rPr>
                <w:sz w:val="24"/>
              </w:rPr>
            </w:pPr>
            <w:r>
              <w:rPr>
                <w:rFonts w:hint="eastAsia"/>
                <w:sz w:val="24"/>
              </w:rPr>
              <w:t>王亮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adjustRightInd w:val="0"/>
              <w:snapToGrid w:val="0"/>
              <w:jc w:val="center"/>
              <w:rPr>
                <w:sz w:val="24"/>
              </w:rPr>
            </w:pPr>
            <w:r>
              <w:rPr>
                <w:sz w:val="24"/>
              </w:rPr>
              <w:t>通讯地址</w:t>
            </w:r>
          </w:p>
        </w:tc>
        <w:tc>
          <w:tcPr>
            <w:tcW w:w="7096" w:type="dxa"/>
            <w:gridSpan w:val="7"/>
            <w:vAlign w:val="center"/>
          </w:tcPr>
          <w:p>
            <w:pPr>
              <w:jc w:val="center"/>
              <w:rPr>
                <w:rFonts w:hint="default" w:ascii="Basemic Times" w:hAnsi="Basemic Times" w:eastAsia="宋体" w:cs="宋体"/>
                <w:sz w:val="24"/>
                <w:lang w:val="en-US" w:eastAsia="zh-CN"/>
              </w:rPr>
            </w:pPr>
            <w:r>
              <w:rPr>
                <w:rFonts w:hint="eastAsia" w:ascii="Basemic Times" w:hAnsi="Basemic Times" w:cs="宋体"/>
                <w:sz w:val="24"/>
              </w:rPr>
              <w:t>华容县万庾镇万庾村</w:t>
            </w:r>
            <w:r>
              <w:rPr>
                <w:rFonts w:hint="eastAsia" w:ascii="Basemic Times" w:hAnsi="Basemic Times" w:cs="宋体"/>
                <w:sz w:val="24"/>
                <w:lang w:eastAsia="zh-CN"/>
              </w:rPr>
              <w:t>苍台</w:t>
            </w:r>
            <w:r>
              <w:rPr>
                <w:rFonts w:hint="eastAsia" w:ascii="Basemic Times" w:hAnsi="Basemic Times" w:cs="宋体"/>
                <w:sz w:val="24"/>
                <w:lang w:val="en-US" w:eastAsia="zh-CN"/>
              </w:rPr>
              <w:t>七组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adjustRightInd w:val="0"/>
              <w:snapToGrid w:val="0"/>
              <w:jc w:val="center"/>
              <w:rPr>
                <w:color w:val="FF0000"/>
                <w:sz w:val="24"/>
              </w:rPr>
            </w:pPr>
            <w:r>
              <w:rPr>
                <w:sz w:val="24"/>
              </w:rPr>
              <w:t>联系电话</w:t>
            </w:r>
          </w:p>
        </w:tc>
        <w:tc>
          <w:tcPr>
            <w:tcW w:w="2270" w:type="dxa"/>
            <w:gridSpan w:val="2"/>
            <w:vAlign w:val="center"/>
          </w:tcPr>
          <w:p>
            <w:pPr>
              <w:jc w:val="center"/>
              <w:rPr>
                <w:color w:val="FF0000"/>
                <w:sz w:val="24"/>
              </w:rPr>
            </w:pPr>
            <w:r>
              <w:rPr>
                <w:rFonts w:hint="eastAsia"/>
                <w:sz w:val="24"/>
              </w:rPr>
              <w:t>13469257188</w:t>
            </w:r>
          </w:p>
        </w:tc>
        <w:tc>
          <w:tcPr>
            <w:tcW w:w="875" w:type="dxa"/>
            <w:vAlign w:val="center"/>
          </w:tcPr>
          <w:p>
            <w:pPr>
              <w:jc w:val="center"/>
              <w:rPr>
                <w:color w:val="FF0000"/>
                <w:sz w:val="24"/>
              </w:rPr>
            </w:pPr>
            <w:r>
              <w:rPr>
                <w:sz w:val="24"/>
              </w:rPr>
              <w:t>传 真</w:t>
            </w:r>
          </w:p>
        </w:tc>
        <w:tc>
          <w:tcPr>
            <w:tcW w:w="1534" w:type="dxa"/>
            <w:vAlign w:val="center"/>
          </w:tcPr>
          <w:p>
            <w:pPr>
              <w:jc w:val="center"/>
              <w:rPr>
                <w:color w:val="FF0000"/>
                <w:sz w:val="24"/>
              </w:rPr>
            </w:pPr>
            <w:r>
              <w:rPr>
                <w:rFonts w:hint="eastAsia"/>
                <w:sz w:val="24"/>
              </w:rPr>
              <w:t>-</w:t>
            </w:r>
          </w:p>
        </w:tc>
        <w:tc>
          <w:tcPr>
            <w:tcW w:w="891" w:type="dxa"/>
            <w:vAlign w:val="center"/>
          </w:tcPr>
          <w:p>
            <w:pPr>
              <w:jc w:val="center"/>
              <w:rPr>
                <w:color w:val="FF0000"/>
                <w:sz w:val="24"/>
              </w:rPr>
            </w:pPr>
            <w:r>
              <w:rPr>
                <w:rFonts w:hint="eastAsia"/>
                <w:sz w:val="24"/>
              </w:rPr>
              <w:t>邮政编码</w:t>
            </w:r>
          </w:p>
        </w:tc>
        <w:tc>
          <w:tcPr>
            <w:tcW w:w="1526" w:type="dxa"/>
            <w:gridSpan w:val="2"/>
            <w:vAlign w:val="center"/>
          </w:tcPr>
          <w:p>
            <w:pPr>
              <w:jc w:val="center"/>
              <w:rPr>
                <w:color w:val="FF0000"/>
                <w:sz w:val="24"/>
              </w:rPr>
            </w:pPr>
            <w:r>
              <w:rPr>
                <w:rFonts w:hint="eastAsia"/>
                <w:sz w:val="24"/>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adjustRightInd w:val="0"/>
              <w:snapToGrid w:val="0"/>
              <w:jc w:val="center"/>
              <w:rPr>
                <w:sz w:val="24"/>
              </w:rPr>
            </w:pPr>
            <w:r>
              <w:rPr>
                <w:sz w:val="24"/>
              </w:rPr>
              <w:t>建设地点</w:t>
            </w:r>
          </w:p>
        </w:tc>
        <w:tc>
          <w:tcPr>
            <w:tcW w:w="7096" w:type="dxa"/>
            <w:gridSpan w:val="7"/>
            <w:vAlign w:val="center"/>
          </w:tcPr>
          <w:p>
            <w:pPr>
              <w:jc w:val="center"/>
              <w:rPr>
                <w:rFonts w:hint="eastAsia" w:ascii="Basemic Times" w:hAnsi="Basemic Times" w:eastAsia="宋体" w:cs="宋体"/>
                <w:sz w:val="24"/>
                <w:lang w:eastAsia="zh-CN"/>
              </w:rPr>
            </w:pPr>
            <w:r>
              <w:rPr>
                <w:rFonts w:hint="eastAsia" w:ascii="Basemic Times" w:hAnsi="Basemic Times" w:cs="宋体"/>
                <w:sz w:val="24"/>
                <w:lang w:eastAsia="zh-CN"/>
              </w:rPr>
              <w:t>华容县万庾镇万庾村苍台七组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adjustRightInd w:val="0"/>
              <w:snapToGrid w:val="0"/>
              <w:jc w:val="center"/>
              <w:rPr>
                <w:sz w:val="24"/>
              </w:rPr>
            </w:pPr>
            <w:r>
              <w:rPr>
                <w:sz w:val="24"/>
              </w:rPr>
              <w:t>立项审批部门</w:t>
            </w:r>
          </w:p>
        </w:tc>
        <w:tc>
          <w:tcPr>
            <w:tcW w:w="3145" w:type="dxa"/>
            <w:gridSpan w:val="3"/>
            <w:vAlign w:val="center"/>
          </w:tcPr>
          <w:p>
            <w:pPr>
              <w:tabs>
                <w:tab w:val="center" w:pos="1524"/>
                <w:tab w:val="left" w:pos="2052"/>
              </w:tabs>
              <w:jc w:val="left"/>
              <w:rPr>
                <w:sz w:val="24"/>
              </w:rPr>
            </w:pPr>
            <w:r>
              <w:rPr>
                <w:rFonts w:hint="eastAsia"/>
                <w:sz w:val="24"/>
              </w:rPr>
              <w:tab/>
            </w:r>
            <w:r>
              <w:rPr>
                <w:rFonts w:hint="eastAsia"/>
                <w:sz w:val="24"/>
              </w:rPr>
              <w:t>-</w:t>
            </w:r>
            <w:r>
              <w:rPr>
                <w:rFonts w:hint="eastAsia"/>
                <w:sz w:val="24"/>
              </w:rPr>
              <w:tab/>
            </w:r>
          </w:p>
        </w:tc>
        <w:tc>
          <w:tcPr>
            <w:tcW w:w="1534" w:type="dxa"/>
            <w:vAlign w:val="center"/>
          </w:tcPr>
          <w:p>
            <w:pPr>
              <w:jc w:val="center"/>
              <w:rPr>
                <w:sz w:val="24"/>
              </w:rPr>
            </w:pPr>
            <w:r>
              <w:rPr>
                <w:sz w:val="24"/>
              </w:rPr>
              <w:t>批准文号</w:t>
            </w:r>
          </w:p>
        </w:tc>
        <w:tc>
          <w:tcPr>
            <w:tcW w:w="2417" w:type="dxa"/>
            <w:gridSpan w:val="3"/>
            <w:vAlign w:val="center"/>
          </w:tcPr>
          <w:p>
            <w:pPr>
              <w:jc w:val="center"/>
              <w:rPr>
                <w:sz w:val="24"/>
              </w:rPr>
            </w:pP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adjustRightInd w:val="0"/>
              <w:snapToGrid w:val="0"/>
              <w:jc w:val="center"/>
              <w:rPr>
                <w:sz w:val="24"/>
              </w:rPr>
            </w:pPr>
            <w:r>
              <w:rPr>
                <w:sz w:val="24"/>
              </w:rPr>
              <w:t>建设性质</w:t>
            </w:r>
          </w:p>
        </w:tc>
        <w:tc>
          <w:tcPr>
            <w:tcW w:w="3145" w:type="dxa"/>
            <w:gridSpan w:val="3"/>
            <w:vAlign w:val="center"/>
          </w:tcPr>
          <w:p>
            <w:pPr>
              <w:jc w:val="center"/>
              <w:rPr>
                <w:sz w:val="24"/>
              </w:rPr>
            </w:pPr>
            <w:r>
              <w:rPr>
                <w:sz w:val="24"/>
              </w:rPr>
              <w:t>新建■改扩建□技改□</w:t>
            </w:r>
          </w:p>
        </w:tc>
        <w:tc>
          <w:tcPr>
            <w:tcW w:w="1534" w:type="dxa"/>
            <w:vAlign w:val="center"/>
          </w:tcPr>
          <w:p>
            <w:pPr>
              <w:jc w:val="center"/>
              <w:rPr>
                <w:sz w:val="24"/>
                <w:szCs w:val="22"/>
              </w:rPr>
            </w:pPr>
            <w:r>
              <w:rPr>
                <w:sz w:val="24"/>
                <w:szCs w:val="22"/>
              </w:rPr>
              <w:t>行业类别</w:t>
            </w:r>
          </w:p>
          <w:p>
            <w:pPr>
              <w:jc w:val="center"/>
              <w:rPr>
                <w:sz w:val="24"/>
                <w:szCs w:val="22"/>
              </w:rPr>
            </w:pPr>
            <w:r>
              <w:rPr>
                <w:sz w:val="24"/>
                <w:szCs w:val="22"/>
              </w:rPr>
              <w:t>及代码</w:t>
            </w:r>
          </w:p>
        </w:tc>
        <w:tc>
          <w:tcPr>
            <w:tcW w:w="2417" w:type="dxa"/>
            <w:gridSpan w:val="3"/>
            <w:vAlign w:val="center"/>
          </w:tcPr>
          <w:p>
            <w:pPr>
              <w:jc w:val="center"/>
              <w:rPr>
                <w:sz w:val="24"/>
                <w:szCs w:val="22"/>
              </w:rPr>
            </w:pPr>
            <w:bookmarkStart w:id="0" w:name="OLE_LINK41"/>
          </w:p>
          <w:p>
            <w:pPr>
              <w:jc w:val="center"/>
              <w:rPr>
                <w:sz w:val="24"/>
                <w:szCs w:val="22"/>
              </w:rPr>
            </w:pPr>
            <w:r>
              <w:rPr>
                <w:sz w:val="24"/>
                <w:szCs w:val="22"/>
              </w:rPr>
              <w:t>C3039</w:t>
            </w:r>
            <w:r>
              <w:rPr>
                <w:rFonts w:hint="eastAsia"/>
                <w:sz w:val="24"/>
                <w:szCs w:val="22"/>
              </w:rPr>
              <w:t>-其他建筑材料制造</w:t>
            </w:r>
          </w:p>
          <w:bookmarkEnd w:id="0"/>
          <w:p>
            <w:pPr>
              <w:jc w:val="center"/>
              <w:rPr>
                <w:sz w:val="24"/>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jc w:val="center"/>
              <w:rPr>
                <w:sz w:val="24"/>
              </w:rPr>
            </w:pPr>
            <w:r>
              <w:rPr>
                <w:sz w:val="24"/>
              </w:rPr>
              <w:t>总</w:t>
            </w:r>
            <w:r>
              <w:rPr>
                <w:rFonts w:hint="eastAsia"/>
                <w:sz w:val="24"/>
              </w:rPr>
              <w:t>面积</w:t>
            </w:r>
          </w:p>
          <w:p>
            <w:pPr>
              <w:jc w:val="center"/>
              <w:rPr>
                <w:sz w:val="24"/>
              </w:rPr>
            </w:pPr>
            <w:r>
              <w:rPr>
                <w:rFonts w:hint="eastAsia"/>
                <w:sz w:val="24"/>
              </w:rPr>
              <w:t>（m</w:t>
            </w:r>
            <w:r>
              <w:rPr>
                <w:rFonts w:hint="eastAsia"/>
                <w:sz w:val="24"/>
                <w:vertAlign w:val="superscript"/>
              </w:rPr>
              <w:t>2</w:t>
            </w:r>
            <w:r>
              <w:rPr>
                <w:rFonts w:hint="eastAsia"/>
                <w:sz w:val="24"/>
              </w:rPr>
              <w:t>）</w:t>
            </w:r>
          </w:p>
        </w:tc>
        <w:tc>
          <w:tcPr>
            <w:tcW w:w="3145" w:type="dxa"/>
            <w:gridSpan w:val="3"/>
            <w:vAlign w:val="center"/>
          </w:tcPr>
          <w:p>
            <w:pPr>
              <w:jc w:val="center"/>
              <w:rPr>
                <w:sz w:val="24"/>
              </w:rPr>
            </w:pPr>
            <w:r>
              <w:rPr>
                <w:rFonts w:hint="eastAsia"/>
                <w:sz w:val="24"/>
              </w:rPr>
              <w:t>6668</w:t>
            </w:r>
          </w:p>
        </w:tc>
        <w:tc>
          <w:tcPr>
            <w:tcW w:w="1534" w:type="dxa"/>
            <w:vAlign w:val="center"/>
          </w:tcPr>
          <w:p>
            <w:pPr>
              <w:jc w:val="center"/>
              <w:rPr>
                <w:sz w:val="24"/>
              </w:rPr>
            </w:pPr>
            <w:r>
              <w:rPr>
                <w:rFonts w:hint="eastAsia"/>
                <w:sz w:val="24"/>
              </w:rPr>
              <w:t>绿化面积（m</w:t>
            </w:r>
            <w:r>
              <w:rPr>
                <w:rFonts w:hint="eastAsia"/>
                <w:sz w:val="24"/>
                <w:vertAlign w:val="superscript"/>
              </w:rPr>
              <w:t>2</w:t>
            </w:r>
            <w:r>
              <w:rPr>
                <w:rFonts w:hint="eastAsia"/>
                <w:sz w:val="24"/>
              </w:rPr>
              <w:t>）</w:t>
            </w:r>
          </w:p>
        </w:tc>
        <w:tc>
          <w:tcPr>
            <w:tcW w:w="2417" w:type="dxa"/>
            <w:gridSpan w:val="3"/>
            <w:vAlign w:val="center"/>
          </w:tcPr>
          <w:p>
            <w:pPr>
              <w:jc w:val="center"/>
              <w:rPr>
                <w:sz w:val="24"/>
              </w:rPr>
            </w:pPr>
            <w:r>
              <w:rPr>
                <w:rFonts w:hint="eastAsia"/>
                <w:sz w:val="24"/>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jc w:val="center"/>
              <w:rPr>
                <w:sz w:val="24"/>
              </w:rPr>
            </w:pPr>
            <w:r>
              <w:rPr>
                <w:sz w:val="24"/>
              </w:rPr>
              <w:t>总投资</w:t>
            </w:r>
          </w:p>
          <w:p>
            <w:pPr>
              <w:jc w:val="center"/>
              <w:rPr>
                <w:sz w:val="24"/>
              </w:rPr>
            </w:pPr>
            <w:r>
              <w:rPr>
                <w:rFonts w:hint="eastAsia"/>
                <w:sz w:val="24"/>
              </w:rPr>
              <w:t>（</w:t>
            </w:r>
            <w:r>
              <w:rPr>
                <w:sz w:val="24"/>
              </w:rPr>
              <w:t>万元</w:t>
            </w:r>
            <w:r>
              <w:rPr>
                <w:rFonts w:hint="eastAsia"/>
                <w:sz w:val="24"/>
              </w:rPr>
              <w:t>）</w:t>
            </w:r>
          </w:p>
        </w:tc>
        <w:tc>
          <w:tcPr>
            <w:tcW w:w="1729" w:type="dxa"/>
            <w:vAlign w:val="center"/>
          </w:tcPr>
          <w:p>
            <w:pPr>
              <w:jc w:val="center"/>
              <w:rPr>
                <w:sz w:val="24"/>
              </w:rPr>
            </w:pPr>
            <w:r>
              <w:rPr>
                <w:rFonts w:hint="eastAsia"/>
                <w:sz w:val="24"/>
              </w:rPr>
              <w:t>280</w:t>
            </w:r>
          </w:p>
        </w:tc>
        <w:tc>
          <w:tcPr>
            <w:tcW w:w="1416" w:type="dxa"/>
            <w:gridSpan w:val="2"/>
            <w:vAlign w:val="center"/>
          </w:tcPr>
          <w:p>
            <w:pPr>
              <w:jc w:val="center"/>
              <w:rPr>
                <w:sz w:val="24"/>
              </w:rPr>
            </w:pPr>
            <w:r>
              <w:rPr>
                <w:rFonts w:hint="eastAsia"/>
                <w:sz w:val="24"/>
              </w:rPr>
              <w:t>其中</w:t>
            </w:r>
            <w:r>
              <w:rPr>
                <w:sz w:val="24"/>
              </w:rPr>
              <w:t>环保投资</w:t>
            </w:r>
            <w:r>
              <w:rPr>
                <w:rFonts w:hint="eastAsia"/>
                <w:sz w:val="24"/>
              </w:rPr>
              <w:t>（</w:t>
            </w:r>
            <w:r>
              <w:rPr>
                <w:sz w:val="24"/>
              </w:rPr>
              <w:t>万</w:t>
            </w:r>
            <w:r>
              <w:rPr>
                <w:rFonts w:hint="eastAsia"/>
                <w:sz w:val="24"/>
              </w:rPr>
              <w:t>）</w:t>
            </w:r>
          </w:p>
        </w:tc>
        <w:tc>
          <w:tcPr>
            <w:tcW w:w="1534" w:type="dxa"/>
            <w:vAlign w:val="center"/>
          </w:tcPr>
          <w:p>
            <w:pPr>
              <w:jc w:val="center"/>
              <w:rPr>
                <w:sz w:val="24"/>
              </w:rPr>
            </w:pPr>
            <w:r>
              <w:rPr>
                <w:rFonts w:hint="eastAsia"/>
                <w:sz w:val="24"/>
              </w:rPr>
              <w:t>30</w:t>
            </w:r>
          </w:p>
        </w:tc>
        <w:tc>
          <w:tcPr>
            <w:tcW w:w="1070" w:type="dxa"/>
            <w:gridSpan w:val="2"/>
            <w:vAlign w:val="center"/>
          </w:tcPr>
          <w:p>
            <w:pPr>
              <w:jc w:val="center"/>
              <w:rPr>
                <w:sz w:val="24"/>
              </w:rPr>
            </w:pPr>
            <w:r>
              <w:rPr>
                <w:sz w:val="24"/>
              </w:rPr>
              <w:t>环保投资占总投资比例</w:t>
            </w:r>
          </w:p>
        </w:tc>
        <w:tc>
          <w:tcPr>
            <w:tcW w:w="1347" w:type="dxa"/>
            <w:vAlign w:val="center"/>
          </w:tcPr>
          <w:p>
            <w:pPr>
              <w:jc w:val="center"/>
              <w:rPr>
                <w:sz w:val="24"/>
              </w:rPr>
            </w:pPr>
            <w:r>
              <w:rPr>
                <w:rFonts w:hint="eastAsia"/>
                <w:sz w:val="24"/>
              </w:rPr>
              <w:t>10.7</w:t>
            </w: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26" w:type="dxa"/>
            <w:vAlign w:val="center"/>
          </w:tcPr>
          <w:p>
            <w:pPr>
              <w:jc w:val="center"/>
              <w:rPr>
                <w:sz w:val="24"/>
              </w:rPr>
            </w:pPr>
            <w:r>
              <w:rPr>
                <w:sz w:val="24"/>
              </w:rPr>
              <w:t>评价经费</w:t>
            </w:r>
          </w:p>
          <w:p>
            <w:pPr>
              <w:jc w:val="center"/>
              <w:rPr>
                <w:sz w:val="24"/>
              </w:rPr>
            </w:pPr>
            <w:r>
              <w:rPr>
                <w:rFonts w:hint="eastAsia"/>
                <w:sz w:val="24"/>
              </w:rPr>
              <w:t>（</w:t>
            </w:r>
            <w:r>
              <w:rPr>
                <w:sz w:val="24"/>
              </w:rPr>
              <w:t>万元</w:t>
            </w:r>
            <w:r>
              <w:rPr>
                <w:rFonts w:hint="eastAsia"/>
                <w:sz w:val="24"/>
              </w:rPr>
              <w:t>）</w:t>
            </w:r>
          </w:p>
        </w:tc>
        <w:tc>
          <w:tcPr>
            <w:tcW w:w="1729" w:type="dxa"/>
            <w:vAlign w:val="center"/>
          </w:tcPr>
          <w:p>
            <w:pPr>
              <w:jc w:val="center"/>
              <w:rPr>
                <w:sz w:val="24"/>
              </w:rPr>
            </w:pPr>
            <w:r>
              <w:rPr>
                <w:rFonts w:hint="eastAsia"/>
                <w:sz w:val="24"/>
              </w:rPr>
              <w:t>-</w:t>
            </w:r>
          </w:p>
        </w:tc>
        <w:tc>
          <w:tcPr>
            <w:tcW w:w="1416" w:type="dxa"/>
            <w:gridSpan w:val="2"/>
            <w:vAlign w:val="center"/>
          </w:tcPr>
          <w:p>
            <w:pPr>
              <w:jc w:val="center"/>
              <w:rPr>
                <w:sz w:val="24"/>
              </w:rPr>
            </w:pPr>
            <w:r>
              <w:rPr>
                <w:sz w:val="24"/>
              </w:rPr>
              <w:t>预期投产</w:t>
            </w:r>
          </w:p>
          <w:p>
            <w:pPr>
              <w:jc w:val="center"/>
              <w:rPr>
                <w:sz w:val="24"/>
              </w:rPr>
            </w:pPr>
            <w:r>
              <w:rPr>
                <w:sz w:val="24"/>
              </w:rPr>
              <w:t>日  期</w:t>
            </w:r>
          </w:p>
        </w:tc>
        <w:tc>
          <w:tcPr>
            <w:tcW w:w="3951" w:type="dxa"/>
            <w:gridSpan w:val="4"/>
            <w:vAlign w:val="center"/>
          </w:tcPr>
          <w:p>
            <w:pPr>
              <w:jc w:val="center"/>
              <w:rPr>
                <w:sz w:val="24"/>
              </w:rPr>
            </w:pPr>
            <w:r>
              <w:rPr>
                <w:rFonts w:hint="eastAsia"/>
                <w:sz w:val="24"/>
              </w:rPr>
              <w:t>20</w:t>
            </w:r>
            <w:r>
              <w:rPr>
                <w:rFonts w:hint="eastAsia"/>
                <w:sz w:val="24"/>
                <w:lang w:val="en-US" w:eastAsia="zh-CN"/>
              </w:rPr>
              <w:t>20</w:t>
            </w:r>
            <w:r>
              <w:rPr>
                <w:sz w:val="24"/>
              </w:rPr>
              <w:t>年</w:t>
            </w:r>
            <w:r>
              <w:rPr>
                <w:rFonts w:hint="eastAsia"/>
                <w:sz w:val="24"/>
              </w:rPr>
              <w:t>12</w:t>
            </w:r>
            <w:r>
              <w:rPr>
                <w:sz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66" w:hRule="atLeast"/>
          <w:jc w:val="center"/>
        </w:trPr>
        <w:tc>
          <w:tcPr>
            <w:tcW w:w="8522" w:type="dxa"/>
            <w:gridSpan w:val="8"/>
          </w:tcPr>
          <w:p>
            <w:pPr>
              <w:spacing w:line="360" w:lineRule="auto"/>
              <w:rPr>
                <w:b/>
                <w:bCs/>
                <w:sz w:val="24"/>
              </w:rPr>
            </w:pPr>
            <w:bookmarkStart w:id="1" w:name="OLE_LINK51"/>
            <w:r>
              <w:rPr>
                <w:rFonts w:hint="eastAsia"/>
                <w:b/>
                <w:bCs/>
                <w:sz w:val="24"/>
              </w:rPr>
              <w:t>工程内容及规模</w:t>
            </w:r>
          </w:p>
          <w:bookmarkEnd w:id="1"/>
          <w:p>
            <w:pPr>
              <w:spacing w:line="360" w:lineRule="auto"/>
              <w:ind w:firstLine="482" w:firstLineChars="200"/>
              <w:rPr>
                <w:b/>
                <w:bCs/>
                <w:sz w:val="24"/>
              </w:rPr>
            </w:pPr>
            <w:r>
              <w:rPr>
                <w:rFonts w:hint="eastAsia"/>
                <w:b/>
                <w:bCs/>
                <w:sz w:val="24"/>
              </w:rPr>
              <w:t>1.</w:t>
            </w:r>
            <w:r>
              <w:rPr>
                <w:b/>
                <w:bCs/>
                <w:sz w:val="24"/>
              </w:rPr>
              <w:t>项目</w:t>
            </w:r>
            <w:r>
              <w:rPr>
                <w:rFonts w:hint="eastAsia"/>
                <w:b/>
                <w:bCs/>
                <w:sz w:val="24"/>
              </w:rPr>
              <w:t>由来</w:t>
            </w:r>
          </w:p>
          <w:p>
            <w:pPr>
              <w:spacing w:line="360" w:lineRule="auto"/>
              <w:ind w:firstLine="480" w:firstLineChars="200"/>
              <w:rPr>
                <w:rFonts w:hAnsi="宋体"/>
                <w:sz w:val="24"/>
              </w:rPr>
            </w:pPr>
            <w:r>
              <w:rPr>
                <w:rFonts w:hint="eastAsia" w:hAnsi="宋体"/>
                <w:sz w:val="24"/>
              </w:rPr>
              <w:t>随着我国经济的快速发展，基础建设和各项建筑蓬勃发展，砂石作为一种天然建筑材，价格也一路上涨，由于利益驱使，河道非法及过度采砂问题日益严重，已经成为了一个全国普遍性问题，而因此造成了堤防破坏、损毁农田、威胁防洪安全，甚至引起社会不安定因素，与我国可持续发展的基本战略背道而驰。近年来我市洞庭湖流域过度开采砂石以致湖水水位下降，生态环境遭到破坏，由于黄沙及砂石资源开采的无序、失控，造成资源废弃、江湖淤阻、河道行洪能力下降、航船安全隐患增加等诸多原因而禁采，从而导致整个建筑行业砂石价格猛涨，建设成本大大提高，百姓怨声载道。盗采砂石者比比皆是，为争夺利益打架斗殴的现象时有发生。环境遭到破坏，沿河基本农田被挖已屡见不鲜。为避免以上情况发生，缓解供需关系，稳定物价，根据市场需求，破碎制砂洗沙环保建材深加工产业势在必行。本项目抢抓国家在建筑用碎石、砂的生产经营调整过渡期机遇，不以河道非法挖取河砂来获取原料，而是利用</w:t>
            </w:r>
            <w:r>
              <w:rPr>
                <w:rFonts w:hint="eastAsia"/>
                <w:bCs/>
                <w:sz w:val="24"/>
                <w:szCs w:val="22"/>
                <w:lang w:eastAsia="zh-CN"/>
              </w:rPr>
              <w:t>宜昌楚航商贸有限公司</w:t>
            </w:r>
            <w:r>
              <w:rPr>
                <w:rFonts w:hint="eastAsia"/>
                <w:bCs/>
                <w:sz w:val="24"/>
                <w:szCs w:val="22"/>
              </w:rPr>
              <w:t>（供货协议详见附件</w:t>
            </w:r>
            <w:r>
              <w:rPr>
                <w:rFonts w:hint="eastAsia"/>
                <w:bCs/>
                <w:sz w:val="24"/>
                <w:szCs w:val="22"/>
                <w:lang w:val="en-US" w:eastAsia="zh-CN"/>
              </w:rPr>
              <w:t>3</w:t>
            </w:r>
            <w:r>
              <w:rPr>
                <w:rFonts w:hint="eastAsia"/>
                <w:bCs/>
                <w:sz w:val="24"/>
                <w:szCs w:val="22"/>
              </w:rPr>
              <w:t>）</w:t>
            </w:r>
            <w:r>
              <w:rPr>
                <w:rFonts w:hint="eastAsia" w:hAnsi="宋体"/>
                <w:sz w:val="24"/>
              </w:rPr>
              <w:t>提供的鹅卵石毛料为原料，采用先进的破碎、分筛等技术和设备，</w:t>
            </w:r>
            <w:r>
              <w:rPr>
                <w:rFonts w:hint="eastAsia" w:ascii="宋体" w:hAnsi="宋体"/>
                <w:bCs/>
                <w:sz w:val="24"/>
                <w:szCs w:val="28"/>
              </w:rPr>
              <w:t>拟在</w:t>
            </w:r>
            <w:r>
              <w:rPr>
                <w:rFonts w:hint="eastAsia" w:ascii="Basemic Times" w:hAnsi="Basemic Times" w:cs="宋体"/>
                <w:sz w:val="24"/>
              </w:rPr>
              <w:t>华容县万庾镇万</w:t>
            </w:r>
            <w:r>
              <w:rPr>
                <w:rFonts w:hint="eastAsia" w:ascii="Basemic Times" w:hAnsi="Basemic Times" w:cs="宋体"/>
                <w:sz w:val="24"/>
                <w:szCs w:val="22"/>
              </w:rPr>
              <w:t>庾村苍苔七组建设年生产</w:t>
            </w:r>
            <w:r>
              <w:rPr>
                <w:sz w:val="24"/>
                <w:szCs w:val="22"/>
              </w:rPr>
              <w:t>60</w:t>
            </w:r>
            <w:r>
              <w:rPr>
                <w:rFonts w:hint="eastAsia" w:ascii="Basemic Times" w:hAnsi="Basemic Times" w:cs="宋体"/>
                <w:sz w:val="24"/>
                <w:szCs w:val="22"/>
              </w:rPr>
              <w:t>万吨机制砂。本项目建成运营后，成品外售华容县城及周边地区，水运承载、运费经济实惠，此举将大大缓解建筑市场砂石的供需关系，稳定了</w:t>
            </w:r>
            <w:r>
              <w:rPr>
                <w:rFonts w:hint="eastAsia" w:hAnsi="宋体"/>
                <w:sz w:val="24"/>
              </w:rPr>
              <w:t>砂石价格，同时，项目的建设与运营进一步地改善了原料产地与加工地劳动力资源的合理安置，增加了农民收入，带动华容县及周边地区其它产业的迅速发展，增加地方的财政收入，加强对当地生态环境的保护，同时对加快基础设施建设，促进经济可持续发展。</w:t>
            </w:r>
          </w:p>
          <w:p>
            <w:pPr>
              <w:spacing w:line="360" w:lineRule="auto"/>
              <w:ind w:firstLine="480" w:firstLineChars="200"/>
              <w:rPr>
                <w:sz w:val="24"/>
              </w:rPr>
            </w:pPr>
            <w:r>
              <w:rPr>
                <w:rFonts w:hint="eastAsia"/>
                <w:sz w:val="24"/>
              </w:rPr>
              <w:t>根据</w:t>
            </w:r>
            <w:r>
              <w:rPr>
                <w:sz w:val="24"/>
              </w:rPr>
              <w:t>《中华人民共和国环境保护法》、《中华人民共和国环境影响评价法》（</w:t>
            </w:r>
            <w:r>
              <w:rPr>
                <w:rFonts w:hint="eastAsia"/>
                <w:sz w:val="24"/>
              </w:rPr>
              <w:t>2018年修正</w:t>
            </w:r>
            <w:r>
              <w:rPr>
                <w:sz w:val="24"/>
              </w:rPr>
              <w:t>）</w:t>
            </w:r>
            <w:r>
              <w:rPr>
                <w:rFonts w:hint="eastAsia"/>
                <w:sz w:val="24"/>
              </w:rPr>
              <w:t>、《建设项目环境保护管理条例》（国务院令第682号）、《建设项目环境影响评价分类管理名录》（2017版，2018年修订）</w:t>
            </w:r>
            <w:r>
              <w:rPr>
                <w:sz w:val="24"/>
              </w:rPr>
              <w:t>中的有关规定，</w:t>
            </w:r>
            <w:r>
              <w:rPr>
                <w:rFonts w:hint="eastAsia" w:ascii="宋体" w:hAnsi="宋体"/>
                <w:bCs/>
                <w:sz w:val="24"/>
                <w:szCs w:val="28"/>
                <w:lang w:eastAsia="zh-CN"/>
              </w:rPr>
              <w:t>华容县万庾村砂石加工厂</w:t>
            </w:r>
            <w:r>
              <w:rPr>
                <w:rFonts w:hint="eastAsia" w:hAnsi="宋体"/>
                <w:sz w:val="24"/>
              </w:rPr>
              <w:t>60万吨/年机制砂建设项目</w:t>
            </w:r>
            <w:r>
              <w:rPr>
                <w:sz w:val="24"/>
                <w:szCs w:val="21"/>
              </w:rPr>
              <w:t>属于“四十五、非金属矿采选业”类别中的 “137 土砂石、石材开采加工，其他”类</w:t>
            </w:r>
            <w:r>
              <w:rPr>
                <w:rFonts w:hint="eastAsia"/>
                <w:sz w:val="24"/>
                <w:szCs w:val="21"/>
              </w:rPr>
              <w:t>，</w:t>
            </w:r>
            <w:r>
              <w:rPr>
                <w:rFonts w:hint="eastAsia"/>
                <w:sz w:val="24"/>
              </w:rPr>
              <w:t>需编制环境影响评价报告表。</w:t>
            </w:r>
            <w:r>
              <w:rPr>
                <w:sz w:val="24"/>
              </w:rPr>
              <w:t>我</w:t>
            </w:r>
            <w:r>
              <w:rPr>
                <w:rFonts w:hint="eastAsia"/>
                <w:sz w:val="24"/>
              </w:rPr>
              <w:t>公司</w:t>
            </w:r>
            <w:r>
              <w:rPr>
                <w:sz w:val="24"/>
              </w:rPr>
              <w:t>在接受委托后，对建设地进行了现场踏勘、调查，收集了有关该项目的资料，结合建设项目的具体内容，根据国家环保法规、标准和环境影响评价技术导则编制了本项目环境影响报告表。</w:t>
            </w:r>
          </w:p>
          <w:p>
            <w:pPr>
              <w:spacing w:line="360" w:lineRule="auto"/>
              <w:ind w:firstLine="482" w:firstLineChars="200"/>
              <w:rPr>
                <w:b/>
                <w:color w:val="auto"/>
                <w:sz w:val="24"/>
              </w:rPr>
            </w:pPr>
            <w:r>
              <w:rPr>
                <w:b/>
                <w:color w:val="auto"/>
                <w:sz w:val="24"/>
              </w:rPr>
              <w:t>1.</w:t>
            </w:r>
            <w:r>
              <w:rPr>
                <w:rFonts w:hint="eastAsia"/>
                <w:b/>
                <w:color w:val="auto"/>
                <w:sz w:val="24"/>
              </w:rPr>
              <w:t>2</w:t>
            </w:r>
            <w:r>
              <w:rPr>
                <w:b/>
                <w:color w:val="auto"/>
                <w:sz w:val="24"/>
              </w:rPr>
              <w:t>评价等级</w:t>
            </w:r>
          </w:p>
          <w:p>
            <w:pPr>
              <w:spacing w:line="360" w:lineRule="auto"/>
              <w:ind w:firstLine="482" w:firstLineChars="200"/>
              <w:rPr>
                <w:b/>
                <w:color w:val="auto"/>
                <w:sz w:val="24"/>
              </w:rPr>
            </w:pPr>
            <w:r>
              <w:rPr>
                <w:rFonts w:hint="eastAsia"/>
                <w:b/>
                <w:color w:val="auto"/>
                <w:sz w:val="24"/>
                <w:lang w:val="en-US" w:eastAsia="zh-CN"/>
              </w:rPr>
              <w:t>1.2.1</w:t>
            </w:r>
            <w:r>
              <w:rPr>
                <w:b/>
                <w:color w:val="auto"/>
                <w:sz w:val="24"/>
              </w:rPr>
              <w:t>大气环境评价等级</w:t>
            </w:r>
          </w:p>
          <w:p>
            <w:pPr>
              <w:spacing w:line="360" w:lineRule="auto"/>
              <w:ind w:firstLine="480" w:firstLineChars="200"/>
              <w:rPr>
                <w:color w:val="auto"/>
                <w:sz w:val="24"/>
              </w:rPr>
            </w:pPr>
            <w:r>
              <w:rPr>
                <w:color w:val="auto"/>
                <w:sz w:val="24"/>
              </w:rPr>
              <w:t>根据《环境影响评价技术导则 大气环境》（HJ2.2-2018），选择项目污染源正常排放的主要污染物及排放参数，采用导则推荐的估算模型AERSCREEN，分别计算项目排放主要污染物的最大地面空气质量浓度占标率P</w:t>
            </w:r>
            <w:r>
              <w:rPr>
                <w:color w:val="auto"/>
                <w:sz w:val="24"/>
                <w:vertAlign w:val="subscript"/>
              </w:rPr>
              <w:t>i</w:t>
            </w:r>
            <w:r>
              <w:rPr>
                <w:color w:val="auto"/>
                <w:sz w:val="24"/>
              </w:rPr>
              <w:t>，及第i个污染物的地面空气质量浓度达到标准值的10%时所对应的最远距离D</w:t>
            </w:r>
            <w:r>
              <w:rPr>
                <w:color w:val="auto"/>
                <w:sz w:val="24"/>
                <w:vertAlign w:val="subscript"/>
              </w:rPr>
              <w:t>10%</w:t>
            </w:r>
            <w:r>
              <w:rPr>
                <w:color w:val="auto"/>
                <w:sz w:val="24"/>
              </w:rPr>
              <w:t>。其中P</w:t>
            </w:r>
            <w:r>
              <w:rPr>
                <w:color w:val="auto"/>
                <w:sz w:val="24"/>
                <w:vertAlign w:val="subscript"/>
              </w:rPr>
              <w:t>i</w:t>
            </w:r>
            <w:r>
              <w:rPr>
                <w:color w:val="auto"/>
                <w:sz w:val="24"/>
              </w:rPr>
              <w:t>定义见下式：</w:t>
            </w:r>
          </w:p>
          <w:p>
            <w:pPr>
              <w:spacing w:line="360" w:lineRule="auto"/>
              <w:jc w:val="center"/>
              <w:rPr>
                <w:snapToGrid w:val="0"/>
                <w:color w:val="auto"/>
                <w:sz w:val="24"/>
              </w:rPr>
            </w:pPr>
            <w:r>
              <w:rPr>
                <w:color w:val="auto"/>
              </w:rPr>
              <w:drawing>
                <wp:inline distT="0" distB="0" distL="114300" distR="114300">
                  <wp:extent cx="941705" cy="402590"/>
                  <wp:effectExtent l="0" t="0" r="10795" b="1651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941705" cy="402590"/>
                          </a:xfrm>
                          <a:prstGeom prst="rect">
                            <a:avLst/>
                          </a:prstGeom>
                          <a:noFill/>
                          <a:ln>
                            <a:noFill/>
                          </a:ln>
                        </pic:spPr>
                      </pic:pic>
                    </a:graphicData>
                  </a:graphic>
                </wp:inline>
              </w:drawing>
            </w:r>
          </w:p>
          <w:p>
            <w:pPr>
              <w:spacing w:line="360" w:lineRule="auto"/>
              <w:ind w:firstLine="480" w:firstLineChars="200"/>
              <w:rPr>
                <w:color w:val="auto"/>
                <w:sz w:val="24"/>
              </w:rPr>
            </w:pPr>
            <w:r>
              <w:rPr>
                <w:color w:val="auto"/>
                <w:sz w:val="24"/>
              </w:rPr>
              <w:t>式中：P</w:t>
            </w:r>
            <w:r>
              <w:rPr>
                <w:color w:val="auto"/>
                <w:sz w:val="24"/>
                <w:vertAlign w:val="subscript"/>
              </w:rPr>
              <w:t>i</w:t>
            </w:r>
            <w:r>
              <w:rPr>
                <w:color w:val="auto"/>
                <w:sz w:val="24"/>
              </w:rPr>
              <w:t>——第i个污染物的最大地面空气质量浓度占标率，%；</w:t>
            </w:r>
          </w:p>
          <w:p>
            <w:pPr>
              <w:spacing w:line="360" w:lineRule="auto"/>
              <w:ind w:firstLine="1200" w:firstLineChars="500"/>
              <w:rPr>
                <w:color w:val="auto"/>
                <w:sz w:val="24"/>
              </w:rPr>
            </w:pPr>
            <w:r>
              <w:rPr>
                <w:color w:val="auto"/>
                <w:sz w:val="24"/>
              </w:rPr>
              <w:t>C</w:t>
            </w:r>
            <w:r>
              <w:rPr>
                <w:color w:val="auto"/>
                <w:sz w:val="24"/>
                <w:vertAlign w:val="subscript"/>
              </w:rPr>
              <w:t>i</w:t>
            </w:r>
            <w:r>
              <w:rPr>
                <w:color w:val="auto"/>
                <w:sz w:val="24"/>
              </w:rPr>
              <w:t>——采用估算模型计算出的第i个污染物的最大1h地面空气质量浓度，μg/m</w:t>
            </w:r>
            <w:r>
              <w:rPr>
                <w:color w:val="auto"/>
                <w:sz w:val="24"/>
                <w:vertAlign w:val="superscript"/>
              </w:rPr>
              <w:t>3</w:t>
            </w:r>
            <w:r>
              <w:rPr>
                <w:color w:val="auto"/>
                <w:sz w:val="24"/>
              </w:rPr>
              <w:t>；</w:t>
            </w:r>
          </w:p>
          <w:p>
            <w:pPr>
              <w:spacing w:line="360" w:lineRule="auto"/>
              <w:ind w:firstLine="1200" w:firstLineChars="500"/>
              <w:rPr>
                <w:color w:val="auto"/>
                <w:sz w:val="24"/>
              </w:rPr>
            </w:pPr>
            <w:r>
              <w:rPr>
                <w:color w:val="auto"/>
                <w:sz w:val="24"/>
              </w:rPr>
              <w:t>C</w:t>
            </w:r>
            <w:r>
              <w:rPr>
                <w:color w:val="auto"/>
                <w:sz w:val="24"/>
                <w:vertAlign w:val="subscript"/>
              </w:rPr>
              <w:t>oi</w:t>
            </w:r>
            <w:r>
              <w:rPr>
                <w:color w:val="auto"/>
                <w:sz w:val="24"/>
              </w:rPr>
              <w:t>——第i个污染物的环境空气质量浓度标准，μg/m</w:t>
            </w:r>
            <w:r>
              <w:rPr>
                <w:color w:val="auto"/>
                <w:sz w:val="24"/>
                <w:vertAlign w:val="superscript"/>
              </w:rPr>
              <w:t>3</w:t>
            </w:r>
            <w:r>
              <w:rPr>
                <w:color w:val="auto"/>
                <w:sz w:val="24"/>
              </w:rPr>
              <w:t>。</w:t>
            </w:r>
          </w:p>
          <w:p>
            <w:pPr>
              <w:spacing w:line="360" w:lineRule="auto"/>
              <w:ind w:firstLine="480" w:firstLineChars="200"/>
              <w:rPr>
                <w:color w:val="auto"/>
                <w:sz w:val="24"/>
              </w:rPr>
            </w:pPr>
            <w:r>
              <w:rPr>
                <w:color w:val="auto"/>
                <w:sz w:val="24"/>
              </w:rPr>
              <w:t>本项目主要污染源估算模型计算结果见下表。</w:t>
            </w:r>
          </w:p>
          <w:p>
            <w:pPr>
              <w:spacing w:line="360" w:lineRule="auto"/>
              <w:jc w:val="center"/>
              <w:rPr>
                <w:b/>
                <w:color w:val="auto"/>
                <w:szCs w:val="21"/>
              </w:rPr>
            </w:pPr>
            <w:r>
              <w:rPr>
                <w:b/>
                <w:color w:val="auto"/>
                <w:szCs w:val="21"/>
              </w:rPr>
              <w:t>表1-1  建设项目主要污染物最大地面空气质量浓度占标率</w:t>
            </w:r>
          </w:p>
          <w:tbl>
            <w:tblPr>
              <w:tblStyle w:val="28"/>
              <w:tblW w:w="497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32"/>
              <w:gridCol w:w="38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2690" w:type="pct"/>
                  <w:tcBorders>
                    <w:top w:val="single" w:color="auto" w:sz="12"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污染源</w:t>
                  </w:r>
                </w:p>
              </w:tc>
              <w:tc>
                <w:tcPr>
                  <w:tcW w:w="2309" w:type="pct"/>
                  <w:tcBorders>
                    <w:top w:val="single" w:color="auto" w:sz="12" w:space="0"/>
                    <w:left w:val="single" w:color="auto" w:sz="4"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厂区无组织面源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90" w:type="pct"/>
                  <w:tcBorders>
                    <w:top w:val="single" w:color="auto" w:sz="6"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污染物</w:t>
                  </w:r>
                </w:p>
              </w:tc>
              <w:tc>
                <w:tcPr>
                  <w:tcW w:w="2309" w:type="pct"/>
                  <w:tcBorders>
                    <w:top w:val="single" w:color="auto" w:sz="6" w:space="0"/>
                    <w:left w:val="single" w:color="auto" w:sz="4"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rFonts w:hint="eastAsia"/>
                      <w:color w:val="auto"/>
                      <w:szCs w:val="21"/>
                    </w:rPr>
                    <w:t>颗粒物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2690" w:type="pct"/>
                  <w:tcBorders>
                    <w:top w:val="single" w:color="auto" w:sz="6" w:space="0"/>
                    <w:left w:val="single" w:color="auto" w:sz="12" w:space="0"/>
                    <w:bottom w:val="single" w:color="auto" w:sz="12" w:space="0"/>
                    <w:right w:val="single" w:color="auto" w:sz="6" w:space="0"/>
                  </w:tcBorders>
                  <w:noWrap/>
                  <w:vAlign w:val="center"/>
                </w:tcPr>
                <w:p>
                  <w:pPr>
                    <w:autoSpaceDE w:val="0"/>
                    <w:autoSpaceDN w:val="0"/>
                    <w:jc w:val="center"/>
                    <w:textAlignment w:val="baseline"/>
                    <w:rPr>
                      <w:color w:val="auto"/>
                      <w:szCs w:val="21"/>
                    </w:rPr>
                  </w:pPr>
                  <w:r>
                    <w:rPr>
                      <w:color w:val="auto"/>
                      <w:szCs w:val="21"/>
                    </w:rPr>
                    <w:t>最大占标率%</w:t>
                  </w:r>
                </w:p>
              </w:tc>
              <w:tc>
                <w:tcPr>
                  <w:tcW w:w="2309" w:type="pct"/>
                  <w:tcBorders>
                    <w:top w:val="single" w:color="auto" w:sz="6" w:space="0"/>
                    <w:left w:val="single" w:color="auto" w:sz="4" w:space="0"/>
                    <w:bottom w:val="single" w:color="auto" w:sz="12" w:space="0"/>
                    <w:right w:val="single" w:color="auto" w:sz="12" w:space="0"/>
                  </w:tcBorders>
                  <w:noWrap/>
                  <w:vAlign w:val="center"/>
                </w:tcPr>
                <w:p>
                  <w:pPr>
                    <w:autoSpaceDE w:val="0"/>
                    <w:autoSpaceDN w:val="0"/>
                    <w:jc w:val="center"/>
                    <w:textAlignment w:val="baseline"/>
                    <w:rPr>
                      <w:rFonts w:hint="default" w:eastAsia="宋体"/>
                      <w:b/>
                      <w:color w:val="auto"/>
                      <w:lang w:val="en-US" w:eastAsia="zh-CN"/>
                    </w:rPr>
                  </w:pPr>
                  <w:r>
                    <w:rPr>
                      <w:rFonts w:hint="eastAsia"/>
                      <w:b/>
                      <w:color w:val="auto"/>
                      <w:lang w:val="en-US" w:eastAsia="zh-CN"/>
                    </w:rPr>
                    <w:t>6.57</w:t>
                  </w:r>
                </w:p>
              </w:tc>
            </w:tr>
          </w:tbl>
          <w:p>
            <w:pPr>
              <w:spacing w:line="360" w:lineRule="auto"/>
              <w:ind w:firstLine="480" w:firstLineChars="200"/>
              <w:rPr>
                <w:color w:val="auto"/>
                <w:sz w:val="24"/>
              </w:rPr>
            </w:pPr>
            <w:r>
              <w:rPr>
                <w:color w:val="auto"/>
                <w:sz w:val="24"/>
              </w:rPr>
              <w:t>本项目主要污染物最大地面空气质量浓度占标率为</w:t>
            </w:r>
            <w:r>
              <w:rPr>
                <w:rFonts w:hint="eastAsia"/>
                <w:color w:val="auto"/>
                <w:sz w:val="24"/>
                <w:lang w:val="en-US" w:eastAsia="zh-CN"/>
              </w:rPr>
              <w:t>6.57</w:t>
            </w:r>
            <w:r>
              <w:rPr>
                <w:color w:val="auto"/>
                <w:sz w:val="24"/>
              </w:rPr>
              <w:t>%，评价等级按下表的分级判据进行划分，确定本项目大气环境影响评价等级为</w:t>
            </w:r>
            <w:r>
              <w:rPr>
                <w:rFonts w:hint="eastAsia"/>
                <w:color w:val="auto"/>
                <w:sz w:val="24"/>
                <w:lang w:eastAsia="zh-CN"/>
              </w:rPr>
              <w:t>二</w:t>
            </w:r>
            <w:r>
              <w:rPr>
                <w:color w:val="auto"/>
                <w:sz w:val="24"/>
              </w:rPr>
              <w:t>级评价。</w:t>
            </w:r>
            <w:r>
              <w:rPr>
                <w:color w:val="auto"/>
                <w:kern w:val="24"/>
                <w:sz w:val="24"/>
              </w:rPr>
              <w:t>根据导则要求</w:t>
            </w:r>
            <w:r>
              <w:rPr>
                <w:rFonts w:hint="eastAsia"/>
                <w:color w:val="auto"/>
                <w:kern w:val="24"/>
                <w:sz w:val="24"/>
                <w:lang w:eastAsia="zh-CN"/>
              </w:rPr>
              <w:t>二</w:t>
            </w:r>
            <w:r>
              <w:rPr>
                <w:color w:val="auto"/>
                <w:kern w:val="24"/>
                <w:sz w:val="24"/>
              </w:rPr>
              <w:t>级评价项目不进行一步预测与评价。</w:t>
            </w:r>
          </w:p>
          <w:p>
            <w:pPr>
              <w:spacing w:line="360" w:lineRule="auto"/>
              <w:jc w:val="center"/>
              <w:rPr>
                <w:b/>
                <w:color w:val="auto"/>
                <w:szCs w:val="21"/>
              </w:rPr>
            </w:pPr>
            <w:r>
              <w:rPr>
                <w:b/>
                <w:color w:val="auto"/>
                <w:szCs w:val="21"/>
              </w:rPr>
              <w:t>表1-2  评价等级判别表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38"/>
              <w:gridCol w:w="41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2500" w:type="pct"/>
                  <w:tcBorders>
                    <w:top w:val="single" w:color="auto" w:sz="12"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评价工作等级</w:t>
                  </w:r>
                </w:p>
              </w:tc>
              <w:tc>
                <w:tcPr>
                  <w:tcW w:w="2500" w:type="pct"/>
                  <w:tcBorders>
                    <w:top w:val="single" w:color="auto" w:sz="12"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0" w:type="pct"/>
                  <w:tcBorders>
                    <w:top w:val="single" w:color="auto" w:sz="6"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一级评价</w:t>
                  </w:r>
                </w:p>
              </w:tc>
              <w:tc>
                <w:tcPr>
                  <w:tcW w:w="2500" w:type="pct"/>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P</w:t>
                  </w:r>
                  <w:r>
                    <w:rPr>
                      <w:color w:val="auto"/>
                      <w:szCs w:val="21"/>
                      <w:vertAlign w:val="subscript"/>
                    </w:rPr>
                    <w:t>max</w:t>
                  </w:r>
                  <w:r>
                    <w:rPr>
                      <w:color w:val="auto"/>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0" w:type="pct"/>
                  <w:tcBorders>
                    <w:top w:val="single" w:color="auto" w:sz="6"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二级评价</w:t>
                  </w:r>
                </w:p>
              </w:tc>
              <w:tc>
                <w:tcPr>
                  <w:tcW w:w="2500" w:type="pct"/>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1%≤P</w:t>
                  </w:r>
                  <w:r>
                    <w:rPr>
                      <w:color w:val="auto"/>
                      <w:szCs w:val="21"/>
                      <w:vertAlign w:val="subscript"/>
                    </w:rPr>
                    <w:t>max</w:t>
                  </w:r>
                  <w:r>
                    <w:rPr>
                      <w:color w:val="auto"/>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0" w:type="pct"/>
                  <w:tcBorders>
                    <w:top w:val="single" w:color="auto" w:sz="6" w:space="0"/>
                    <w:left w:val="single" w:color="auto" w:sz="12" w:space="0"/>
                    <w:bottom w:val="single" w:color="auto" w:sz="12" w:space="0"/>
                    <w:right w:val="single" w:color="auto" w:sz="6" w:space="0"/>
                  </w:tcBorders>
                  <w:noWrap/>
                  <w:vAlign w:val="center"/>
                </w:tcPr>
                <w:p>
                  <w:pPr>
                    <w:autoSpaceDE w:val="0"/>
                    <w:autoSpaceDN w:val="0"/>
                    <w:jc w:val="center"/>
                    <w:textAlignment w:val="baseline"/>
                    <w:rPr>
                      <w:color w:val="auto"/>
                      <w:szCs w:val="21"/>
                    </w:rPr>
                  </w:pPr>
                  <w:r>
                    <w:rPr>
                      <w:color w:val="auto"/>
                      <w:szCs w:val="21"/>
                    </w:rPr>
                    <w:t>三级评价</w:t>
                  </w:r>
                </w:p>
              </w:tc>
              <w:tc>
                <w:tcPr>
                  <w:tcW w:w="2500" w:type="pct"/>
                  <w:tcBorders>
                    <w:top w:val="single" w:color="auto" w:sz="6" w:space="0"/>
                    <w:left w:val="single" w:color="auto" w:sz="6" w:space="0"/>
                    <w:bottom w:val="single" w:color="auto" w:sz="12" w:space="0"/>
                    <w:right w:val="single" w:color="auto" w:sz="12" w:space="0"/>
                  </w:tcBorders>
                  <w:noWrap/>
                  <w:vAlign w:val="center"/>
                </w:tcPr>
                <w:p>
                  <w:pPr>
                    <w:autoSpaceDE w:val="0"/>
                    <w:autoSpaceDN w:val="0"/>
                    <w:jc w:val="center"/>
                    <w:textAlignment w:val="baseline"/>
                    <w:rPr>
                      <w:color w:val="auto"/>
                      <w:szCs w:val="21"/>
                    </w:rPr>
                  </w:pPr>
                  <w:r>
                    <w:rPr>
                      <w:color w:val="auto"/>
                      <w:szCs w:val="21"/>
                    </w:rPr>
                    <w:t>P</w:t>
                  </w:r>
                  <w:r>
                    <w:rPr>
                      <w:color w:val="auto"/>
                      <w:szCs w:val="21"/>
                      <w:vertAlign w:val="subscript"/>
                    </w:rPr>
                    <w:t>max</w:t>
                  </w:r>
                  <w:r>
                    <w:rPr>
                      <w:color w:val="auto"/>
                      <w:szCs w:val="21"/>
                    </w:rPr>
                    <w:t>＜1%</w:t>
                  </w:r>
                </w:p>
              </w:tc>
            </w:tr>
          </w:tbl>
          <w:p>
            <w:pPr>
              <w:spacing w:line="360" w:lineRule="auto"/>
              <w:ind w:firstLine="595" w:firstLineChars="247"/>
              <w:rPr>
                <w:b/>
                <w:color w:val="auto"/>
                <w:sz w:val="24"/>
              </w:rPr>
            </w:pPr>
            <w:r>
              <w:rPr>
                <w:rFonts w:hint="eastAsia"/>
                <w:b/>
                <w:color w:val="auto"/>
                <w:sz w:val="24"/>
                <w:lang w:val="en-US" w:eastAsia="zh-CN"/>
              </w:rPr>
              <w:t>1.</w:t>
            </w:r>
            <w:r>
              <w:rPr>
                <w:rFonts w:hint="eastAsia"/>
                <w:b/>
                <w:color w:val="auto"/>
                <w:sz w:val="24"/>
              </w:rPr>
              <w:t>2</w:t>
            </w:r>
            <w:r>
              <w:rPr>
                <w:b/>
                <w:color w:val="auto"/>
                <w:sz w:val="24"/>
              </w:rPr>
              <w:t>.2地表水环境评价等级</w:t>
            </w:r>
          </w:p>
          <w:p>
            <w:pPr>
              <w:spacing w:line="360" w:lineRule="auto"/>
              <w:ind w:firstLine="480" w:firstLineChars="200"/>
              <w:rPr>
                <w:color w:val="auto"/>
                <w:sz w:val="24"/>
              </w:rPr>
            </w:pPr>
            <w:r>
              <w:rPr>
                <w:color w:val="auto"/>
                <w:sz w:val="24"/>
              </w:rPr>
              <w:t>根据《环境影响评价技术导则  地表水环境》（HJ2.3-2018），水污染影响型建设项目根据排放方式和废水排放量划分评价等级，详见下表。</w:t>
            </w:r>
          </w:p>
          <w:p>
            <w:pPr>
              <w:spacing w:line="360" w:lineRule="auto"/>
              <w:jc w:val="center"/>
              <w:rPr>
                <w:b/>
                <w:color w:val="auto"/>
                <w:szCs w:val="21"/>
              </w:rPr>
            </w:pPr>
          </w:p>
          <w:p>
            <w:pPr>
              <w:spacing w:line="360" w:lineRule="auto"/>
              <w:jc w:val="center"/>
              <w:rPr>
                <w:b/>
                <w:color w:val="auto"/>
                <w:szCs w:val="21"/>
              </w:rPr>
            </w:pPr>
          </w:p>
          <w:p>
            <w:pPr>
              <w:spacing w:line="360" w:lineRule="auto"/>
              <w:jc w:val="center"/>
              <w:rPr>
                <w:b/>
                <w:color w:val="auto"/>
                <w:szCs w:val="21"/>
              </w:rPr>
            </w:pPr>
            <w:r>
              <w:rPr>
                <w:b/>
                <w:color w:val="auto"/>
                <w:szCs w:val="21"/>
              </w:rPr>
              <w:t>表1-3  评价等级判定</w:t>
            </w:r>
          </w:p>
          <w:tbl>
            <w:tblPr>
              <w:tblStyle w:val="28"/>
              <w:tblW w:w="827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7"/>
              <w:gridCol w:w="1642"/>
              <w:gridCol w:w="51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1487" w:type="dxa"/>
                  <w:vMerge w:val="restart"/>
                  <w:tcBorders>
                    <w:top w:val="single" w:color="auto" w:sz="12"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评价等级</w:t>
                  </w:r>
                </w:p>
              </w:tc>
              <w:tc>
                <w:tcPr>
                  <w:tcW w:w="6792" w:type="dxa"/>
                  <w:gridSpan w:val="2"/>
                  <w:tcBorders>
                    <w:top w:val="single" w:color="auto" w:sz="12"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1487" w:type="dxa"/>
                  <w:vMerge w:val="continue"/>
                  <w:tcBorders>
                    <w:top w:val="single" w:color="auto" w:sz="12" w:space="0"/>
                    <w:left w:val="single" w:color="auto" w:sz="12" w:space="0"/>
                    <w:bottom w:val="single" w:color="auto" w:sz="6" w:space="0"/>
                    <w:right w:val="single" w:color="auto" w:sz="6" w:space="0"/>
                  </w:tcBorders>
                  <w:noWrap/>
                  <w:vAlign w:val="center"/>
                </w:tcPr>
                <w:p>
                  <w:pPr>
                    <w:widowControl/>
                    <w:jc w:val="left"/>
                    <w:rPr>
                      <w:color w:val="auto"/>
                      <w:szCs w:val="21"/>
                    </w:rPr>
                  </w:pPr>
                </w:p>
              </w:tc>
              <w:tc>
                <w:tcPr>
                  <w:tcW w:w="1642"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排放方式</w:t>
                  </w:r>
                </w:p>
              </w:tc>
              <w:tc>
                <w:tcPr>
                  <w:tcW w:w="5150" w:type="dxa"/>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废水排放量Q/（m</w:t>
                  </w:r>
                  <w:r>
                    <w:rPr>
                      <w:color w:val="auto"/>
                      <w:szCs w:val="21"/>
                      <w:vertAlign w:val="superscript"/>
                    </w:rPr>
                    <w:t>3</w:t>
                  </w:r>
                  <w:r>
                    <w:rPr>
                      <w:color w:val="auto"/>
                      <w:szCs w:val="21"/>
                    </w:rPr>
                    <w:t>/d），水污染物当量数W/（无量纲）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87" w:type="dxa"/>
                  <w:tcBorders>
                    <w:top w:val="single" w:color="auto" w:sz="6"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一级</w:t>
                  </w:r>
                </w:p>
              </w:tc>
              <w:tc>
                <w:tcPr>
                  <w:tcW w:w="1642"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直接排放</w:t>
                  </w:r>
                </w:p>
              </w:tc>
              <w:tc>
                <w:tcPr>
                  <w:tcW w:w="5150" w:type="dxa"/>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Q≥20000或W≥600000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87" w:type="dxa"/>
                  <w:tcBorders>
                    <w:top w:val="single" w:color="auto" w:sz="6"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二级</w:t>
                  </w:r>
                </w:p>
              </w:tc>
              <w:tc>
                <w:tcPr>
                  <w:tcW w:w="1642"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直接排放</w:t>
                  </w:r>
                </w:p>
              </w:tc>
              <w:tc>
                <w:tcPr>
                  <w:tcW w:w="5150" w:type="dxa"/>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87" w:type="dxa"/>
                  <w:tcBorders>
                    <w:top w:val="single" w:color="auto" w:sz="6"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三级A</w:t>
                  </w:r>
                </w:p>
              </w:tc>
              <w:tc>
                <w:tcPr>
                  <w:tcW w:w="1642"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直接排放</w:t>
                  </w:r>
                </w:p>
              </w:tc>
              <w:tc>
                <w:tcPr>
                  <w:tcW w:w="5150" w:type="dxa"/>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Q＜200且W＜6000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1487" w:type="dxa"/>
                  <w:tcBorders>
                    <w:top w:val="single" w:color="auto" w:sz="6" w:space="0"/>
                    <w:left w:val="single" w:color="auto" w:sz="12" w:space="0"/>
                    <w:bottom w:val="single" w:color="auto" w:sz="12" w:space="0"/>
                    <w:right w:val="single" w:color="auto" w:sz="6" w:space="0"/>
                  </w:tcBorders>
                  <w:noWrap/>
                  <w:vAlign w:val="center"/>
                </w:tcPr>
                <w:p>
                  <w:pPr>
                    <w:autoSpaceDE w:val="0"/>
                    <w:autoSpaceDN w:val="0"/>
                    <w:jc w:val="center"/>
                    <w:textAlignment w:val="baseline"/>
                    <w:rPr>
                      <w:color w:val="auto"/>
                      <w:szCs w:val="21"/>
                    </w:rPr>
                  </w:pPr>
                  <w:r>
                    <w:rPr>
                      <w:color w:val="auto"/>
                      <w:szCs w:val="21"/>
                    </w:rPr>
                    <w:t>三级B</w:t>
                  </w:r>
                </w:p>
              </w:tc>
              <w:tc>
                <w:tcPr>
                  <w:tcW w:w="1642" w:type="dxa"/>
                  <w:tcBorders>
                    <w:top w:val="single" w:color="auto" w:sz="6" w:space="0"/>
                    <w:left w:val="single" w:color="auto" w:sz="6" w:space="0"/>
                    <w:bottom w:val="single" w:color="auto" w:sz="12" w:space="0"/>
                    <w:right w:val="single" w:color="auto" w:sz="6" w:space="0"/>
                  </w:tcBorders>
                  <w:noWrap/>
                  <w:vAlign w:val="center"/>
                </w:tcPr>
                <w:p>
                  <w:pPr>
                    <w:autoSpaceDE w:val="0"/>
                    <w:autoSpaceDN w:val="0"/>
                    <w:jc w:val="center"/>
                    <w:textAlignment w:val="baseline"/>
                    <w:rPr>
                      <w:color w:val="auto"/>
                      <w:szCs w:val="21"/>
                    </w:rPr>
                  </w:pPr>
                  <w:r>
                    <w:rPr>
                      <w:color w:val="auto"/>
                      <w:szCs w:val="21"/>
                    </w:rPr>
                    <w:t>间接排放</w:t>
                  </w:r>
                </w:p>
              </w:tc>
              <w:tc>
                <w:tcPr>
                  <w:tcW w:w="5150" w:type="dxa"/>
                  <w:tcBorders>
                    <w:top w:val="single" w:color="auto" w:sz="6" w:space="0"/>
                    <w:left w:val="single" w:color="auto" w:sz="6" w:space="0"/>
                    <w:bottom w:val="single" w:color="auto" w:sz="12" w:space="0"/>
                    <w:right w:val="single" w:color="auto" w:sz="12" w:space="0"/>
                  </w:tcBorders>
                  <w:noWrap/>
                  <w:vAlign w:val="center"/>
                </w:tcPr>
                <w:p>
                  <w:pPr>
                    <w:autoSpaceDE w:val="0"/>
                    <w:autoSpaceDN w:val="0"/>
                    <w:jc w:val="center"/>
                    <w:textAlignment w:val="baseline"/>
                    <w:rPr>
                      <w:color w:val="auto"/>
                      <w:szCs w:val="21"/>
                    </w:rPr>
                  </w:pPr>
                  <w:r>
                    <w:rPr>
                      <w:color w:val="auto"/>
                      <w:szCs w:val="21"/>
                    </w:rPr>
                    <w:t>/</w:t>
                  </w:r>
                </w:p>
              </w:tc>
            </w:tr>
          </w:tbl>
          <w:p>
            <w:pPr>
              <w:spacing w:line="360" w:lineRule="auto"/>
              <w:ind w:firstLine="480" w:firstLineChars="200"/>
              <w:rPr>
                <w:color w:val="auto"/>
                <w:sz w:val="24"/>
              </w:rPr>
            </w:pPr>
            <w:r>
              <w:rPr>
                <w:color w:val="auto"/>
                <w:sz w:val="24"/>
              </w:rPr>
              <w:t>本项目</w:t>
            </w:r>
            <w:r>
              <w:rPr>
                <w:rFonts w:hint="eastAsia"/>
                <w:color w:val="auto"/>
                <w:sz w:val="24"/>
              </w:rPr>
              <w:t>生产废水为</w:t>
            </w:r>
            <w:r>
              <w:rPr>
                <w:rFonts w:hint="eastAsia"/>
                <w:color w:val="auto"/>
                <w:sz w:val="24"/>
                <w:lang w:eastAsia="zh-CN"/>
              </w:rPr>
              <w:t>洗砂</w:t>
            </w:r>
            <w:r>
              <w:rPr>
                <w:rFonts w:hint="eastAsia"/>
                <w:color w:val="auto"/>
                <w:sz w:val="24"/>
              </w:rPr>
              <w:t>废水，</w:t>
            </w:r>
            <w:r>
              <w:rPr>
                <w:rFonts w:hint="eastAsia"/>
                <w:color w:val="auto"/>
                <w:sz w:val="24"/>
                <w:lang w:eastAsia="zh-CN"/>
              </w:rPr>
              <w:t>经循环塔处理沉淀后循环使用，不外排</w:t>
            </w:r>
            <w:r>
              <w:rPr>
                <w:color w:val="auto"/>
                <w:sz w:val="24"/>
              </w:rPr>
              <w:t>；生活污水</w:t>
            </w:r>
            <w:r>
              <w:rPr>
                <w:rFonts w:hint="eastAsia"/>
                <w:color w:val="auto"/>
                <w:sz w:val="24"/>
              </w:rPr>
              <w:t>用于周边农田施肥，不外排</w:t>
            </w:r>
            <w:r>
              <w:rPr>
                <w:color w:val="auto"/>
                <w:sz w:val="24"/>
              </w:rPr>
              <w:t>。根据上表，确定本项目地表水环境影响评价等级为三级B。</w:t>
            </w:r>
          </w:p>
          <w:p>
            <w:pPr>
              <w:spacing w:line="360" w:lineRule="auto"/>
              <w:ind w:firstLine="595" w:firstLineChars="247"/>
              <w:rPr>
                <w:b/>
                <w:color w:val="auto"/>
                <w:sz w:val="24"/>
              </w:rPr>
            </w:pPr>
            <w:r>
              <w:rPr>
                <w:rFonts w:hint="eastAsia"/>
                <w:b/>
                <w:color w:val="auto"/>
                <w:sz w:val="24"/>
                <w:lang w:val="en-US" w:eastAsia="zh-CN"/>
              </w:rPr>
              <w:t>1.</w:t>
            </w:r>
            <w:r>
              <w:rPr>
                <w:rFonts w:hint="eastAsia"/>
                <w:b/>
                <w:color w:val="auto"/>
                <w:sz w:val="24"/>
              </w:rPr>
              <w:t>2</w:t>
            </w:r>
            <w:r>
              <w:rPr>
                <w:b/>
                <w:color w:val="auto"/>
                <w:sz w:val="24"/>
              </w:rPr>
              <w:t>.3地下水环境评价工作等级</w:t>
            </w:r>
          </w:p>
          <w:p>
            <w:pPr>
              <w:spacing w:line="360" w:lineRule="auto"/>
              <w:ind w:firstLine="480" w:firstLineChars="200"/>
              <w:rPr>
                <w:color w:val="auto"/>
                <w:sz w:val="24"/>
              </w:rPr>
            </w:pPr>
            <w:r>
              <w:rPr>
                <w:color w:val="auto"/>
                <w:sz w:val="24"/>
              </w:rPr>
              <w:t>根据《环境影响评价技术导则  地下水环境》（HJ610-2016）附录A，本项目行业类别为“</w:t>
            </w:r>
            <w:r>
              <w:rPr>
                <w:rFonts w:hint="eastAsia"/>
                <w:color w:val="auto"/>
                <w:sz w:val="24"/>
                <w:lang w:val="en-US" w:eastAsia="zh-CN"/>
              </w:rPr>
              <w:t>J</w:t>
            </w:r>
            <w:r>
              <w:rPr>
                <w:rFonts w:hint="eastAsia"/>
                <w:color w:val="auto"/>
                <w:sz w:val="24"/>
                <w:lang w:eastAsia="zh-CN"/>
              </w:rPr>
              <w:t>非金属矿采选及制品制造</w:t>
            </w:r>
            <w:r>
              <w:rPr>
                <w:rFonts w:hint="eastAsia"/>
                <w:color w:val="auto"/>
                <w:sz w:val="24"/>
                <w:lang w:val="en-US" w:eastAsia="zh-CN"/>
              </w:rPr>
              <w:t>62</w:t>
            </w:r>
            <w:r>
              <w:rPr>
                <w:rFonts w:hint="eastAsia"/>
                <w:color w:val="auto"/>
                <w:sz w:val="24"/>
                <w:lang w:eastAsia="zh-CN"/>
              </w:rPr>
              <w:t>石材加工</w:t>
            </w:r>
            <w:r>
              <w:rPr>
                <w:color w:val="auto"/>
                <w:sz w:val="24"/>
              </w:rPr>
              <w:t>”，环评类别为报告表，则地下水环境影响评价项目类别为“</w:t>
            </w:r>
            <w:r>
              <w:rPr>
                <w:color w:val="auto"/>
                <w:szCs w:val="21"/>
              </w:rPr>
              <w:t>Ⅳ</w:t>
            </w:r>
            <w:r>
              <w:rPr>
                <w:color w:val="auto"/>
                <w:sz w:val="24"/>
              </w:rPr>
              <w:t>类”。</w:t>
            </w:r>
          </w:p>
          <w:p>
            <w:pPr>
              <w:spacing w:line="360" w:lineRule="auto"/>
              <w:ind w:firstLine="480" w:firstLineChars="200"/>
              <w:rPr>
                <w:color w:val="auto"/>
                <w:sz w:val="24"/>
              </w:rPr>
            </w:pPr>
            <w:r>
              <w:rPr>
                <w:color w:val="auto"/>
                <w:sz w:val="24"/>
              </w:rPr>
              <w:t>根据《环境影响评价技术导则  地下水环境》（HJ610-2016），根据导则要求确定本项目</w:t>
            </w:r>
            <w:r>
              <w:rPr>
                <w:rFonts w:hint="eastAsia"/>
                <w:color w:val="auto"/>
                <w:sz w:val="24"/>
                <w:lang w:eastAsia="zh-CN"/>
              </w:rPr>
              <w:t>不开展地下水环境影响评价</w:t>
            </w:r>
            <w:r>
              <w:rPr>
                <w:color w:val="auto"/>
                <w:sz w:val="24"/>
              </w:rPr>
              <w:t>。</w:t>
            </w:r>
          </w:p>
          <w:p>
            <w:pPr>
              <w:spacing w:line="360" w:lineRule="auto"/>
              <w:ind w:firstLine="482" w:firstLineChars="200"/>
              <w:rPr>
                <w:b/>
                <w:color w:val="auto"/>
                <w:sz w:val="24"/>
              </w:rPr>
            </w:pPr>
            <w:r>
              <w:rPr>
                <w:rFonts w:hint="eastAsia"/>
                <w:b/>
                <w:color w:val="auto"/>
                <w:sz w:val="24"/>
                <w:lang w:val="en-US" w:eastAsia="zh-CN"/>
              </w:rPr>
              <w:t>1.</w:t>
            </w:r>
            <w:r>
              <w:rPr>
                <w:rFonts w:hint="eastAsia"/>
                <w:b/>
                <w:color w:val="auto"/>
                <w:sz w:val="24"/>
              </w:rPr>
              <w:t>2</w:t>
            </w:r>
            <w:r>
              <w:rPr>
                <w:b/>
                <w:color w:val="auto"/>
                <w:sz w:val="24"/>
              </w:rPr>
              <w:t>.4声环境影响评价工作等级</w:t>
            </w:r>
          </w:p>
          <w:p>
            <w:pPr>
              <w:spacing w:line="360" w:lineRule="auto"/>
              <w:ind w:firstLine="480" w:firstLineChars="200"/>
              <w:rPr>
                <w:color w:val="auto"/>
                <w:sz w:val="24"/>
                <w:highlight w:val="yellow"/>
              </w:rPr>
            </w:pPr>
            <w:r>
              <w:rPr>
                <w:color w:val="auto"/>
                <w:sz w:val="24"/>
              </w:rPr>
              <w:t>根据《环境影响评价技术导则  声环境》（HJ2.4-2009），本项目所处的声环境功能区为GB3096规定的</w:t>
            </w:r>
            <w:r>
              <w:rPr>
                <w:rFonts w:hint="eastAsia"/>
                <w:color w:val="auto"/>
                <w:sz w:val="24"/>
              </w:rPr>
              <w:t>2</w:t>
            </w:r>
            <w:r>
              <w:rPr>
                <w:color w:val="auto"/>
                <w:sz w:val="24"/>
              </w:rPr>
              <w:t>类地区，且受影响人口数量变化不大，按</w:t>
            </w:r>
            <w:r>
              <w:rPr>
                <w:rFonts w:hint="eastAsia"/>
                <w:color w:val="auto"/>
                <w:sz w:val="24"/>
              </w:rPr>
              <w:t>二</w:t>
            </w:r>
            <w:r>
              <w:rPr>
                <w:color w:val="auto"/>
                <w:sz w:val="24"/>
              </w:rPr>
              <w:t>级评价。</w:t>
            </w:r>
          </w:p>
          <w:p>
            <w:pPr>
              <w:spacing w:line="360" w:lineRule="auto"/>
              <w:ind w:firstLine="480" w:firstLineChars="200"/>
              <w:rPr>
                <w:color w:val="auto"/>
                <w:sz w:val="24"/>
              </w:rPr>
            </w:pPr>
            <w:r>
              <w:rPr>
                <w:color w:val="auto"/>
                <w:sz w:val="24"/>
              </w:rPr>
              <w:t>本项目声环境影响评价范围：项目边界向外延伸200m范围内。</w:t>
            </w:r>
          </w:p>
          <w:p>
            <w:pPr>
              <w:spacing w:line="360" w:lineRule="auto"/>
              <w:ind w:firstLine="482" w:firstLineChars="200"/>
              <w:rPr>
                <w:b/>
                <w:color w:val="auto"/>
                <w:sz w:val="24"/>
              </w:rPr>
            </w:pPr>
            <w:r>
              <w:rPr>
                <w:rFonts w:hint="eastAsia"/>
                <w:b/>
                <w:color w:val="auto"/>
                <w:sz w:val="24"/>
                <w:lang w:val="en-US" w:eastAsia="zh-CN"/>
              </w:rPr>
              <w:t>1.</w:t>
            </w:r>
            <w:r>
              <w:rPr>
                <w:rFonts w:hint="eastAsia"/>
                <w:b/>
                <w:color w:val="auto"/>
                <w:sz w:val="24"/>
              </w:rPr>
              <w:t>2</w:t>
            </w:r>
            <w:r>
              <w:rPr>
                <w:b/>
                <w:color w:val="auto"/>
                <w:sz w:val="24"/>
              </w:rPr>
              <w:t>.5生态影响评价工作等级</w:t>
            </w:r>
          </w:p>
          <w:p>
            <w:pPr>
              <w:spacing w:line="360" w:lineRule="auto"/>
              <w:ind w:firstLine="480" w:firstLineChars="200"/>
              <w:rPr>
                <w:color w:val="auto"/>
                <w:sz w:val="24"/>
              </w:rPr>
            </w:pPr>
            <w:r>
              <w:rPr>
                <w:color w:val="auto"/>
                <w:sz w:val="24"/>
              </w:rPr>
              <w:t>根据《环境影响评价技术导则  生态影响》（HJ19-2011），评价工作分级原则如下。</w:t>
            </w:r>
          </w:p>
          <w:p>
            <w:pPr>
              <w:spacing w:line="360" w:lineRule="auto"/>
              <w:jc w:val="center"/>
              <w:rPr>
                <w:b/>
                <w:color w:val="auto"/>
                <w:szCs w:val="21"/>
              </w:rPr>
            </w:pPr>
            <w:r>
              <w:rPr>
                <w:b/>
                <w:color w:val="auto"/>
                <w:szCs w:val="21"/>
              </w:rPr>
              <w:t>表1-</w:t>
            </w:r>
            <w:r>
              <w:rPr>
                <w:rFonts w:hint="eastAsia"/>
                <w:b/>
                <w:color w:val="auto"/>
                <w:szCs w:val="21"/>
                <w:lang w:val="en-US" w:eastAsia="zh-CN"/>
              </w:rPr>
              <w:t>4</w:t>
            </w:r>
            <w:r>
              <w:rPr>
                <w:b/>
                <w:color w:val="auto"/>
                <w:szCs w:val="21"/>
              </w:rPr>
              <w:t xml:space="preserve">  评价等级判定</w:t>
            </w: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82"/>
              <w:gridCol w:w="1855"/>
              <w:gridCol w:w="2286"/>
              <w:gridCol w:w="17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2382" w:type="dxa"/>
                  <w:vMerge w:val="restart"/>
                  <w:tcBorders>
                    <w:top w:val="single" w:color="auto" w:sz="12"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影响区域生态敏感性</w:t>
                  </w:r>
                </w:p>
              </w:tc>
              <w:tc>
                <w:tcPr>
                  <w:tcW w:w="5877" w:type="dxa"/>
                  <w:gridSpan w:val="3"/>
                  <w:tcBorders>
                    <w:top w:val="single" w:color="auto" w:sz="12"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工程占地（水域）范围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trPr>
              <w:tc>
                <w:tcPr>
                  <w:tcW w:w="2382" w:type="dxa"/>
                  <w:vMerge w:val="continue"/>
                  <w:tcBorders>
                    <w:top w:val="single" w:color="auto" w:sz="12" w:space="0"/>
                    <w:left w:val="single" w:color="auto" w:sz="12" w:space="0"/>
                    <w:bottom w:val="single" w:color="auto" w:sz="6" w:space="0"/>
                    <w:right w:val="single" w:color="auto" w:sz="6" w:space="0"/>
                  </w:tcBorders>
                  <w:noWrap/>
                  <w:vAlign w:val="center"/>
                </w:tcPr>
                <w:p>
                  <w:pPr>
                    <w:widowControl/>
                    <w:jc w:val="left"/>
                    <w:rPr>
                      <w:color w:val="auto"/>
                      <w:szCs w:val="21"/>
                    </w:rPr>
                  </w:pPr>
                </w:p>
              </w:tc>
              <w:tc>
                <w:tcPr>
                  <w:tcW w:w="1855"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面积≥20km</w:t>
                  </w:r>
                  <w:r>
                    <w:rPr>
                      <w:color w:val="auto"/>
                      <w:szCs w:val="21"/>
                      <w:vertAlign w:val="superscript"/>
                    </w:rPr>
                    <w:t>2</w:t>
                  </w:r>
                </w:p>
                <w:p>
                  <w:pPr>
                    <w:autoSpaceDE w:val="0"/>
                    <w:autoSpaceDN w:val="0"/>
                    <w:jc w:val="center"/>
                    <w:textAlignment w:val="baseline"/>
                    <w:rPr>
                      <w:color w:val="auto"/>
                      <w:szCs w:val="21"/>
                    </w:rPr>
                  </w:pPr>
                  <w:r>
                    <w:rPr>
                      <w:color w:val="auto"/>
                      <w:szCs w:val="21"/>
                    </w:rPr>
                    <w:t>或长度≥100km</w:t>
                  </w:r>
                </w:p>
              </w:tc>
              <w:tc>
                <w:tcPr>
                  <w:tcW w:w="2286"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面积2km</w:t>
                  </w:r>
                  <w:r>
                    <w:rPr>
                      <w:color w:val="auto"/>
                      <w:szCs w:val="21"/>
                      <w:vertAlign w:val="superscript"/>
                    </w:rPr>
                    <w:t>2</w:t>
                  </w:r>
                  <w:r>
                    <w:rPr>
                      <w:color w:val="auto"/>
                      <w:szCs w:val="21"/>
                    </w:rPr>
                    <w:t>~20km</w:t>
                  </w:r>
                  <w:r>
                    <w:rPr>
                      <w:color w:val="auto"/>
                      <w:szCs w:val="21"/>
                      <w:vertAlign w:val="superscript"/>
                    </w:rPr>
                    <w:t>2</w:t>
                  </w:r>
                </w:p>
                <w:p>
                  <w:pPr>
                    <w:autoSpaceDE w:val="0"/>
                    <w:autoSpaceDN w:val="0"/>
                    <w:jc w:val="center"/>
                    <w:textAlignment w:val="baseline"/>
                    <w:rPr>
                      <w:color w:val="auto"/>
                      <w:szCs w:val="21"/>
                    </w:rPr>
                  </w:pPr>
                  <w:r>
                    <w:rPr>
                      <w:color w:val="auto"/>
                      <w:szCs w:val="21"/>
                    </w:rPr>
                    <w:t>或长度50km~100km</w:t>
                  </w:r>
                </w:p>
              </w:tc>
              <w:tc>
                <w:tcPr>
                  <w:tcW w:w="1736" w:type="dxa"/>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面积≤2km</w:t>
                  </w:r>
                  <w:r>
                    <w:rPr>
                      <w:color w:val="auto"/>
                      <w:szCs w:val="21"/>
                      <w:vertAlign w:val="superscript"/>
                    </w:rPr>
                    <w:t>2</w:t>
                  </w:r>
                </w:p>
                <w:p>
                  <w:pPr>
                    <w:autoSpaceDE w:val="0"/>
                    <w:autoSpaceDN w:val="0"/>
                    <w:jc w:val="center"/>
                    <w:textAlignment w:val="baseline"/>
                    <w:rPr>
                      <w:color w:val="auto"/>
                      <w:szCs w:val="21"/>
                    </w:rPr>
                  </w:pPr>
                  <w:r>
                    <w:rPr>
                      <w:color w:val="auto"/>
                      <w:szCs w:val="21"/>
                    </w:rPr>
                    <w:t>或长度≤50km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2382" w:type="dxa"/>
                  <w:tcBorders>
                    <w:top w:val="single" w:color="auto" w:sz="6"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特殊生态敏感区</w:t>
                  </w:r>
                </w:p>
              </w:tc>
              <w:tc>
                <w:tcPr>
                  <w:tcW w:w="1855"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一级</w:t>
                  </w:r>
                </w:p>
              </w:tc>
              <w:tc>
                <w:tcPr>
                  <w:tcW w:w="2286"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一级</w:t>
                  </w:r>
                </w:p>
              </w:tc>
              <w:tc>
                <w:tcPr>
                  <w:tcW w:w="1736" w:type="dxa"/>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2382" w:type="dxa"/>
                  <w:tcBorders>
                    <w:top w:val="single" w:color="auto" w:sz="6" w:space="0"/>
                    <w:left w:val="single" w:color="auto" w:sz="12"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重要生态敏感区</w:t>
                  </w:r>
                </w:p>
              </w:tc>
              <w:tc>
                <w:tcPr>
                  <w:tcW w:w="1855"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一级</w:t>
                  </w:r>
                </w:p>
              </w:tc>
              <w:tc>
                <w:tcPr>
                  <w:tcW w:w="2286" w:type="dxa"/>
                  <w:tcBorders>
                    <w:top w:val="single" w:color="auto" w:sz="6" w:space="0"/>
                    <w:left w:val="single" w:color="auto" w:sz="6" w:space="0"/>
                    <w:bottom w:val="single" w:color="auto" w:sz="6" w:space="0"/>
                    <w:right w:val="single" w:color="auto" w:sz="6" w:space="0"/>
                  </w:tcBorders>
                  <w:noWrap/>
                  <w:vAlign w:val="center"/>
                </w:tcPr>
                <w:p>
                  <w:pPr>
                    <w:autoSpaceDE w:val="0"/>
                    <w:autoSpaceDN w:val="0"/>
                    <w:jc w:val="center"/>
                    <w:textAlignment w:val="baseline"/>
                    <w:rPr>
                      <w:color w:val="auto"/>
                      <w:szCs w:val="21"/>
                    </w:rPr>
                  </w:pPr>
                  <w:r>
                    <w:rPr>
                      <w:color w:val="auto"/>
                      <w:szCs w:val="21"/>
                    </w:rPr>
                    <w:t>二级</w:t>
                  </w:r>
                </w:p>
              </w:tc>
              <w:tc>
                <w:tcPr>
                  <w:tcW w:w="1736" w:type="dxa"/>
                  <w:tcBorders>
                    <w:top w:val="single" w:color="auto" w:sz="6" w:space="0"/>
                    <w:left w:val="single" w:color="auto" w:sz="6" w:space="0"/>
                    <w:bottom w:val="single" w:color="auto" w:sz="6" w:space="0"/>
                    <w:right w:val="single" w:color="auto" w:sz="12" w:space="0"/>
                  </w:tcBorders>
                  <w:noWrap/>
                  <w:vAlign w:val="center"/>
                </w:tcPr>
                <w:p>
                  <w:pPr>
                    <w:autoSpaceDE w:val="0"/>
                    <w:autoSpaceDN w:val="0"/>
                    <w:jc w:val="center"/>
                    <w:textAlignment w:val="baseline"/>
                    <w:rPr>
                      <w:color w:val="auto"/>
                      <w:szCs w:val="21"/>
                    </w:rPr>
                  </w:pPr>
                  <w:r>
                    <w:rPr>
                      <w:color w:val="auto"/>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2382" w:type="dxa"/>
                  <w:tcBorders>
                    <w:top w:val="single" w:color="auto" w:sz="6" w:space="0"/>
                    <w:left w:val="single" w:color="auto" w:sz="12" w:space="0"/>
                    <w:bottom w:val="single" w:color="auto" w:sz="12" w:space="0"/>
                    <w:right w:val="single" w:color="auto" w:sz="6" w:space="0"/>
                  </w:tcBorders>
                  <w:noWrap/>
                  <w:vAlign w:val="center"/>
                </w:tcPr>
                <w:p>
                  <w:pPr>
                    <w:autoSpaceDE w:val="0"/>
                    <w:autoSpaceDN w:val="0"/>
                    <w:jc w:val="center"/>
                    <w:textAlignment w:val="baseline"/>
                    <w:rPr>
                      <w:color w:val="auto"/>
                      <w:szCs w:val="21"/>
                    </w:rPr>
                  </w:pPr>
                  <w:r>
                    <w:rPr>
                      <w:color w:val="auto"/>
                      <w:szCs w:val="21"/>
                    </w:rPr>
                    <w:t>一般区域</w:t>
                  </w:r>
                </w:p>
              </w:tc>
              <w:tc>
                <w:tcPr>
                  <w:tcW w:w="1855" w:type="dxa"/>
                  <w:tcBorders>
                    <w:top w:val="single" w:color="auto" w:sz="6" w:space="0"/>
                    <w:left w:val="single" w:color="auto" w:sz="6" w:space="0"/>
                    <w:bottom w:val="single" w:color="auto" w:sz="12" w:space="0"/>
                    <w:right w:val="single" w:color="auto" w:sz="6" w:space="0"/>
                  </w:tcBorders>
                  <w:noWrap/>
                  <w:vAlign w:val="center"/>
                </w:tcPr>
                <w:p>
                  <w:pPr>
                    <w:autoSpaceDE w:val="0"/>
                    <w:autoSpaceDN w:val="0"/>
                    <w:jc w:val="center"/>
                    <w:textAlignment w:val="baseline"/>
                    <w:rPr>
                      <w:color w:val="auto"/>
                      <w:szCs w:val="21"/>
                    </w:rPr>
                  </w:pPr>
                  <w:r>
                    <w:rPr>
                      <w:color w:val="auto"/>
                      <w:szCs w:val="21"/>
                    </w:rPr>
                    <w:t>二级</w:t>
                  </w:r>
                </w:p>
              </w:tc>
              <w:tc>
                <w:tcPr>
                  <w:tcW w:w="2286" w:type="dxa"/>
                  <w:tcBorders>
                    <w:top w:val="single" w:color="auto" w:sz="6" w:space="0"/>
                    <w:left w:val="single" w:color="auto" w:sz="6" w:space="0"/>
                    <w:bottom w:val="single" w:color="auto" w:sz="12" w:space="0"/>
                    <w:right w:val="single" w:color="auto" w:sz="6" w:space="0"/>
                  </w:tcBorders>
                  <w:noWrap/>
                  <w:vAlign w:val="center"/>
                </w:tcPr>
                <w:p>
                  <w:pPr>
                    <w:autoSpaceDE w:val="0"/>
                    <w:autoSpaceDN w:val="0"/>
                    <w:jc w:val="center"/>
                    <w:textAlignment w:val="baseline"/>
                    <w:rPr>
                      <w:color w:val="auto"/>
                      <w:szCs w:val="21"/>
                    </w:rPr>
                  </w:pPr>
                  <w:r>
                    <w:rPr>
                      <w:color w:val="auto"/>
                      <w:szCs w:val="21"/>
                    </w:rPr>
                    <w:t>三级</w:t>
                  </w:r>
                </w:p>
              </w:tc>
              <w:tc>
                <w:tcPr>
                  <w:tcW w:w="1736" w:type="dxa"/>
                  <w:tcBorders>
                    <w:top w:val="single" w:color="auto" w:sz="6" w:space="0"/>
                    <w:left w:val="single" w:color="auto" w:sz="6" w:space="0"/>
                    <w:bottom w:val="single" w:color="auto" w:sz="12" w:space="0"/>
                    <w:right w:val="single" w:color="auto" w:sz="12" w:space="0"/>
                  </w:tcBorders>
                  <w:noWrap/>
                  <w:vAlign w:val="center"/>
                </w:tcPr>
                <w:p>
                  <w:pPr>
                    <w:autoSpaceDE w:val="0"/>
                    <w:autoSpaceDN w:val="0"/>
                    <w:jc w:val="center"/>
                    <w:textAlignment w:val="baseline"/>
                    <w:rPr>
                      <w:color w:val="auto"/>
                      <w:szCs w:val="21"/>
                    </w:rPr>
                  </w:pPr>
                  <w:r>
                    <w:rPr>
                      <w:color w:val="auto"/>
                      <w:szCs w:val="21"/>
                    </w:rPr>
                    <w:t>三级</w:t>
                  </w:r>
                </w:p>
              </w:tc>
            </w:tr>
          </w:tbl>
          <w:p>
            <w:pPr>
              <w:spacing w:line="360" w:lineRule="auto"/>
              <w:ind w:firstLine="480" w:firstLineChars="200"/>
              <w:rPr>
                <w:color w:val="auto"/>
                <w:sz w:val="24"/>
              </w:rPr>
            </w:pPr>
            <w:r>
              <w:rPr>
                <w:color w:val="auto"/>
                <w:sz w:val="24"/>
              </w:rPr>
              <w:t>本项目用地面积</w:t>
            </w:r>
            <w:r>
              <w:rPr>
                <w:rFonts w:hint="eastAsia"/>
                <w:color w:val="auto"/>
                <w:sz w:val="24"/>
                <w:lang w:val="en-US" w:eastAsia="zh-CN"/>
              </w:rPr>
              <w:t>6668</w:t>
            </w:r>
            <w:r>
              <w:rPr>
                <w:color w:val="auto"/>
                <w:sz w:val="24"/>
              </w:rPr>
              <w:t>m</w:t>
            </w:r>
            <w:r>
              <w:rPr>
                <w:color w:val="auto"/>
                <w:sz w:val="24"/>
                <w:vertAlign w:val="superscript"/>
              </w:rPr>
              <w:t>2</w:t>
            </w:r>
            <w:r>
              <w:rPr>
                <w:color w:val="auto"/>
                <w:sz w:val="24"/>
              </w:rPr>
              <w:t>，小于2km</w:t>
            </w:r>
            <w:r>
              <w:rPr>
                <w:color w:val="auto"/>
                <w:sz w:val="24"/>
                <w:vertAlign w:val="superscript"/>
              </w:rPr>
              <w:t>2</w:t>
            </w:r>
            <w:r>
              <w:rPr>
                <w:color w:val="auto"/>
                <w:sz w:val="24"/>
              </w:rPr>
              <w:t>，影响区域为一般区域。确定本项目生态影响评价工作等级为三级。</w:t>
            </w:r>
          </w:p>
          <w:p>
            <w:pPr>
              <w:spacing w:line="360" w:lineRule="auto"/>
              <w:ind w:firstLine="482" w:firstLineChars="200"/>
              <w:rPr>
                <w:b/>
                <w:color w:val="auto"/>
                <w:sz w:val="24"/>
                <w:u w:val="single"/>
              </w:rPr>
            </w:pPr>
            <w:r>
              <w:rPr>
                <w:rFonts w:hint="eastAsia"/>
                <w:b/>
                <w:color w:val="auto"/>
                <w:sz w:val="24"/>
                <w:u w:val="single"/>
                <w:lang w:val="en-US" w:eastAsia="zh-CN"/>
              </w:rPr>
              <w:t>1.</w:t>
            </w:r>
            <w:r>
              <w:rPr>
                <w:rFonts w:hint="eastAsia"/>
                <w:b/>
                <w:color w:val="auto"/>
                <w:sz w:val="24"/>
                <w:u w:val="single"/>
              </w:rPr>
              <w:t>2</w:t>
            </w:r>
            <w:r>
              <w:rPr>
                <w:b/>
                <w:color w:val="auto"/>
                <w:sz w:val="24"/>
                <w:u w:val="single"/>
              </w:rPr>
              <w:t>.6 土壤环境影响</w:t>
            </w:r>
          </w:p>
          <w:p>
            <w:pPr>
              <w:spacing w:line="360" w:lineRule="auto"/>
              <w:ind w:firstLine="592" w:firstLineChars="247"/>
              <w:rPr>
                <w:color w:val="auto"/>
                <w:sz w:val="24"/>
                <w:u w:val="single"/>
              </w:rPr>
            </w:pPr>
            <w:r>
              <w:rPr>
                <w:color w:val="auto"/>
                <w:sz w:val="24"/>
                <w:u w:val="single"/>
              </w:rPr>
              <w:t>根据《环境影响评价技术导则 土壤环境（试行）》（HJ964-2018）中附录A，评价工作分级原则如下：</w:t>
            </w:r>
          </w:p>
          <w:p>
            <w:pPr>
              <w:widowControl/>
              <w:ind w:firstLine="482" w:firstLineChars="200"/>
              <w:jc w:val="center"/>
              <w:rPr>
                <w:b/>
                <w:color w:val="auto"/>
                <w:sz w:val="24"/>
                <w:u w:val="single"/>
              </w:rPr>
            </w:pPr>
            <w:r>
              <w:rPr>
                <w:b/>
                <w:color w:val="auto"/>
                <w:sz w:val="24"/>
                <w:u w:val="single"/>
              </w:rPr>
              <w:t>表1-</w:t>
            </w:r>
            <w:r>
              <w:rPr>
                <w:rFonts w:hint="eastAsia"/>
                <w:b/>
                <w:color w:val="auto"/>
                <w:sz w:val="24"/>
                <w:u w:val="single"/>
                <w:lang w:val="en-US" w:eastAsia="zh-CN"/>
              </w:rPr>
              <w:t>5</w:t>
            </w:r>
            <w:r>
              <w:rPr>
                <w:b/>
                <w:color w:val="auto"/>
                <w:sz w:val="24"/>
                <w:u w:val="single"/>
              </w:rPr>
              <w:t xml:space="preserve"> 评价工作等级划分</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1"/>
              <w:gridCol w:w="701"/>
              <w:gridCol w:w="704"/>
              <w:gridCol w:w="704"/>
              <w:gridCol w:w="704"/>
              <w:gridCol w:w="704"/>
              <w:gridCol w:w="705"/>
              <w:gridCol w:w="704"/>
              <w:gridCol w:w="704"/>
              <w:gridCol w:w="7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4" w:hRule="atLeast"/>
              </w:trPr>
              <w:tc>
                <w:tcPr>
                  <w:tcW w:w="1173" w:type="pct"/>
                  <w:vMerge w:val="restart"/>
                  <w:tcBorders>
                    <w:top w:val="single" w:color="auto" w:sz="12" w:space="0"/>
                    <w:left w:val="single" w:color="auto" w:sz="12"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rPr>
                    <w:pict>
                      <v:line id="直线 485" o:spid="_x0000_s1517" o:spt="20" style="position:absolute;left:0pt;margin-left:47.65pt;margin-top:2.15pt;height:73.85pt;width:43.75pt;z-index:31744;mso-width-relative:page;mso-height-relative:page;" filled="f" stroked="t" coordsize="21600,21600" o:gfxdata="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UDnYdYAAAAIAQAADwAAAAAAAAAB&#10;ACAAAAAiAAAAZHJzL2Rvd25yZXYueG1sUEsBAhQAFAAAAAgAh07iQID5suPZAQAAogMAAA4AAAAA&#10;AAAAAQAgAAAAJQEAAGRycy9lMm9Eb2MueG1sUEsFBgAAAAAGAAYAWQEAAHAFAAAAAA==&#10;">
                        <v:path arrowok="t"/>
                        <v:fill on="f" focussize="0,0"/>
                        <v:stroke color="#000000"/>
                        <v:imagedata o:title=""/>
                        <o:lock v:ext="edit" aspectratio="f"/>
                      </v:line>
                    </w:pict>
                  </w:r>
                  <w:r>
                    <w:rPr>
                      <w:color w:val="auto"/>
                      <w:u w:val="single"/>
                      <w:lang w:val="zh-CN"/>
                    </w:rPr>
                    <w:t>占地规模</w:t>
                  </w:r>
                </w:p>
                <w:p>
                  <w:pPr>
                    <w:autoSpaceDE w:val="0"/>
                    <w:autoSpaceDN w:val="0"/>
                    <w:adjustRightInd w:val="0"/>
                    <w:rPr>
                      <w:color w:val="auto"/>
                      <w:u w:val="single"/>
                      <w:lang w:val="zh-CN"/>
                    </w:rPr>
                  </w:pPr>
                  <w:r>
                    <w:rPr>
                      <w:color w:val="auto"/>
                      <w:u w:val="single"/>
                    </w:rPr>
                    <w:pict>
                      <v:line id="_x0000_s1518" o:spid="_x0000_s1518" o:spt="20" style="position:absolute;left:0pt;margin-left:-3.65pt;margin-top:13.5pt;height:46.15pt;width:93.75pt;z-index:31744;mso-width-relative:page;mso-height-relative:page;" filled="f" stroked="t" coordsize="21600,21600" o:gfxdata="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aOkQ9cAAAAJAQAADwAAAAAA&#10;AAABACAAAAAiAAAAZHJzL2Rvd25yZXYueG1sUEsBAhQAFAAAAAgAh07iQILRwb3bAQAAowMAAA4A&#10;AAAAAAAAAQAgAAAAJgEAAGRycy9lMm9Eb2MueG1sUEsFBgAAAAAGAAYAWQEAAHMFAAAAAA==&#10;">
                        <v:path arrowok="t"/>
                        <v:fill on="f" focussize="0,0"/>
                        <v:stroke color="#000000"/>
                        <v:imagedata o:title=""/>
                        <o:lock v:ext="edit" aspectratio="f"/>
                      </v:line>
                    </w:pict>
                  </w:r>
                  <w:r>
                    <w:rPr>
                      <w:color w:val="auto"/>
                      <w:u w:val="single"/>
                      <w:lang w:val="zh-CN"/>
                    </w:rPr>
                    <w:t>评价工作等级</w:t>
                  </w:r>
                </w:p>
                <w:p>
                  <w:pPr>
                    <w:autoSpaceDE w:val="0"/>
                    <w:autoSpaceDN w:val="0"/>
                    <w:adjustRightInd w:val="0"/>
                    <w:rPr>
                      <w:color w:val="auto"/>
                      <w:u w:val="single"/>
                      <w:lang w:val="zh-CN"/>
                    </w:rPr>
                  </w:pPr>
                </w:p>
                <w:p>
                  <w:pPr>
                    <w:pStyle w:val="2"/>
                    <w:spacing w:line="360" w:lineRule="auto"/>
                    <w:rPr>
                      <w:color w:val="auto"/>
                      <w:u w:val="single"/>
                      <w:lang w:val="zh-CN"/>
                    </w:rPr>
                  </w:pPr>
                  <w:r>
                    <w:rPr>
                      <w:color w:val="auto"/>
                      <w:u w:val="single"/>
                      <w:lang w:val="zh-CN"/>
                    </w:rPr>
                    <w:t>敏感规模</w:t>
                  </w:r>
                </w:p>
              </w:tc>
              <w:tc>
                <w:tcPr>
                  <w:tcW w:w="1274" w:type="pct"/>
                  <w:gridSpan w:val="3"/>
                  <w:tcBorders>
                    <w:top w:val="single" w:color="auto" w:sz="12"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I类</w:t>
                  </w:r>
                </w:p>
              </w:tc>
              <w:tc>
                <w:tcPr>
                  <w:tcW w:w="1276" w:type="pct"/>
                  <w:gridSpan w:val="3"/>
                  <w:tcBorders>
                    <w:top w:val="single" w:color="auto" w:sz="12"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II类</w:t>
                  </w:r>
                </w:p>
              </w:tc>
              <w:tc>
                <w:tcPr>
                  <w:tcW w:w="1275" w:type="pct"/>
                  <w:gridSpan w:val="3"/>
                  <w:tcBorders>
                    <w:top w:val="single" w:color="auto" w:sz="12" w:space="0"/>
                    <w:left w:val="single" w:color="auto" w:sz="6" w:space="0"/>
                    <w:bottom w:val="single" w:color="auto" w:sz="6" w:space="0"/>
                    <w:right w:val="single" w:color="auto" w:sz="12" w:space="0"/>
                  </w:tcBorders>
                  <w:noWrap/>
                  <w:vAlign w:val="center"/>
                </w:tcPr>
                <w:p>
                  <w:pPr>
                    <w:autoSpaceDE w:val="0"/>
                    <w:autoSpaceDN w:val="0"/>
                    <w:adjustRightInd w:val="0"/>
                    <w:jc w:val="center"/>
                    <w:rPr>
                      <w:color w:val="auto"/>
                      <w:u w:val="single"/>
                      <w:lang w:val="zh-CN"/>
                    </w:rPr>
                  </w:pPr>
                  <w:r>
                    <w:rPr>
                      <w:color w:val="auto"/>
                      <w:u w:val="single"/>
                      <w:lang w:val="zh-CN"/>
                    </w:rPr>
                    <w:t>III类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1173" w:type="pct"/>
                  <w:vMerge w:val="continue"/>
                  <w:tcBorders>
                    <w:top w:val="single" w:color="auto" w:sz="12" w:space="0"/>
                    <w:left w:val="single" w:color="auto" w:sz="12" w:space="0"/>
                    <w:bottom w:val="single" w:color="auto" w:sz="6" w:space="0"/>
                    <w:right w:val="single" w:color="auto" w:sz="6" w:space="0"/>
                  </w:tcBorders>
                  <w:noWrap/>
                  <w:vAlign w:val="center"/>
                </w:tcPr>
                <w:p>
                  <w:pPr>
                    <w:widowControl/>
                    <w:jc w:val="left"/>
                    <w:rPr>
                      <w:color w:val="auto"/>
                      <w:u w:val="single"/>
                      <w:lang w:val="zh-CN"/>
                    </w:rPr>
                  </w:pPr>
                </w:p>
              </w:tc>
              <w:tc>
                <w:tcPr>
                  <w:tcW w:w="424"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大</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中</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小</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大</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中</w:t>
                  </w:r>
                </w:p>
              </w:tc>
              <w:tc>
                <w:tcPr>
                  <w:tcW w:w="426"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小</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大</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中</w:t>
                  </w:r>
                </w:p>
              </w:tc>
              <w:tc>
                <w:tcPr>
                  <w:tcW w:w="425" w:type="pct"/>
                  <w:tcBorders>
                    <w:top w:val="single" w:color="auto" w:sz="6" w:space="0"/>
                    <w:left w:val="single" w:color="auto" w:sz="6" w:space="0"/>
                    <w:bottom w:val="single" w:color="auto" w:sz="6" w:space="0"/>
                    <w:right w:val="single" w:color="auto" w:sz="12" w:space="0"/>
                  </w:tcBorders>
                  <w:noWrap/>
                  <w:vAlign w:val="center"/>
                </w:tcPr>
                <w:p>
                  <w:pPr>
                    <w:autoSpaceDE w:val="0"/>
                    <w:autoSpaceDN w:val="0"/>
                    <w:adjustRightInd w:val="0"/>
                    <w:jc w:val="center"/>
                    <w:rPr>
                      <w:color w:val="auto"/>
                      <w:u w:val="single"/>
                      <w:lang w:val="zh-CN"/>
                    </w:rPr>
                  </w:pPr>
                  <w:r>
                    <w:rPr>
                      <w:color w:val="auto"/>
                      <w:u w:val="single"/>
                      <w:lang w:val="zh-CN"/>
                    </w:rPr>
                    <w:t>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tcBorders>
                    <w:top w:val="single" w:color="auto" w:sz="6" w:space="0"/>
                    <w:left w:val="single" w:color="auto" w:sz="12"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敏感</w:t>
                  </w:r>
                </w:p>
              </w:tc>
              <w:tc>
                <w:tcPr>
                  <w:tcW w:w="424"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一级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一级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一级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二级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二级</w:t>
                  </w:r>
                </w:p>
              </w:tc>
              <w:tc>
                <w:tcPr>
                  <w:tcW w:w="426"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二级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三级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三级</w:t>
                  </w:r>
                </w:p>
              </w:tc>
              <w:tc>
                <w:tcPr>
                  <w:tcW w:w="425" w:type="pct"/>
                  <w:tcBorders>
                    <w:top w:val="single" w:color="auto" w:sz="6" w:space="0"/>
                    <w:left w:val="single" w:color="auto" w:sz="6" w:space="0"/>
                    <w:bottom w:val="single" w:color="auto" w:sz="6" w:space="0"/>
                    <w:right w:val="single" w:color="auto" w:sz="12" w:space="0"/>
                  </w:tcBorders>
                  <w:noWrap/>
                  <w:vAlign w:val="center"/>
                </w:tcPr>
                <w:p>
                  <w:pPr>
                    <w:jc w:val="center"/>
                    <w:rPr>
                      <w:color w:val="auto"/>
                      <w:u w:val="single"/>
                    </w:rPr>
                  </w:pPr>
                  <w:r>
                    <w:rPr>
                      <w:color w:val="auto"/>
                      <w:u w:val="single"/>
                      <w:lang w:val="zh-CN"/>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tcBorders>
                    <w:top w:val="single" w:color="auto" w:sz="6" w:space="0"/>
                    <w:left w:val="single" w:color="auto" w:sz="12"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较敏感</w:t>
                  </w:r>
                </w:p>
              </w:tc>
              <w:tc>
                <w:tcPr>
                  <w:tcW w:w="424"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一级</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一级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二级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二级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二级</w:t>
                  </w:r>
                </w:p>
              </w:tc>
              <w:tc>
                <w:tcPr>
                  <w:tcW w:w="426"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三级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三级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三级</w:t>
                  </w:r>
                </w:p>
              </w:tc>
              <w:tc>
                <w:tcPr>
                  <w:tcW w:w="425" w:type="pct"/>
                  <w:tcBorders>
                    <w:top w:val="single" w:color="auto" w:sz="6" w:space="0"/>
                    <w:left w:val="single" w:color="auto" w:sz="6" w:space="0"/>
                    <w:bottom w:val="single" w:color="auto" w:sz="6" w:space="0"/>
                    <w:right w:val="single" w:color="auto" w:sz="12" w:space="0"/>
                  </w:tcBorders>
                  <w:noWrap/>
                  <w:vAlign w:val="center"/>
                </w:tcPr>
                <w:p>
                  <w:pPr>
                    <w:autoSpaceDE w:val="0"/>
                    <w:autoSpaceDN w:val="0"/>
                    <w:adjustRightInd w:val="0"/>
                    <w:jc w:val="center"/>
                    <w:rPr>
                      <w:color w:val="auto"/>
                      <w:u w:val="single"/>
                      <w:lang w:val="zh-CN"/>
                    </w:rPr>
                  </w:pPr>
                  <w:r>
                    <w:rPr>
                      <w:color w:val="auto"/>
                      <w:u w:val="single"/>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tcBorders>
                    <w:top w:val="single" w:color="auto" w:sz="6" w:space="0"/>
                    <w:left w:val="single" w:color="auto" w:sz="12"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不敏感</w:t>
                  </w:r>
                </w:p>
              </w:tc>
              <w:tc>
                <w:tcPr>
                  <w:tcW w:w="424"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一级</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二级</w:t>
                  </w:r>
                </w:p>
              </w:tc>
              <w:tc>
                <w:tcPr>
                  <w:tcW w:w="425"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二级</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二级</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三级</w:t>
                  </w:r>
                </w:p>
              </w:tc>
              <w:tc>
                <w:tcPr>
                  <w:tcW w:w="426" w:type="pct"/>
                  <w:tcBorders>
                    <w:top w:val="single" w:color="auto" w:sz="6" w:space="0"/>
                    <w:left w:val="single" w:color="auto" w:sz="6" w:space="0"/>
                    <w:bottom w:val="single" w:color="auto" w:sz="6" w:space="0"/>
                    <w:right w:val="single" w:color="auto" w:sz="6" w:space="0"/>
                  </w:tcBorders>
                  <w:noWrap/>
                  <w:vAlign w:val="center"/>
                </w:tcPr>
                <w:p>
                  <w:pPr>
                    <w:jc w:val="center"/>
                    <w:rPr>
                      <w:color w:val="auto"/>
                      <w:u w:val="single"/>
                    </w:rPr>
                  </w:pPr>
                  <w:r>
                    <w:rPr>
                      <w:color w:val="auto"/>
                      <w:u w:val="single"/>
                      <w:lang w:val="zh-CN"/>
                    </w:rPr>
                    <w:t>三级</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三级</w:t>
                  </w:r>
                </w:p>
              </w:tc>
              <w:tc>
                <w:tcPr>
                  <w:tcW w:w="425" w:type="pc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color w:val="auto"/>
                      <w:u w:val="single"/>
                      <w:lang w:val="zh-CN"/>
                    </w:rPr>
                  </w:pPr>
                  <w:r>
                    <w:rPr>
                      <w:color w:val="auto"/>
                      <w:u w:val="single"/>
                      <w:lang w:val="zh-CN"/>
                    </w:rPr>
                    <w:t>-</w:t>
                  </w:r>
                </w:p>
              </w:tc>
              <w:tc>
                <w:tcPr>
                  <w:tcW w:w="425" w:type="pct"/>
                  <w:tcBorders>
                    <w:top w:val="single" w:color="auto" w:sz="6" w:space="0"/>
                    <w:left w:val="single" w:color="auto" w:sz="6" w:space="0"/>
                    <w:bottom w:val="single" w:color="auto" w:sz="6" w:space="0"/>
                    <w:right w:val="single" w:color="auto" w:sz="12" w:space="0"/>
                  </w:tcBorders>
                  <w:noWrap/>
                  <w:vAlign w:val="center"/>
                </w:tcPr>
                <w:p>
                  <w:pPr>
                    <w:autoSpaceDE w:val="0"/>
                    <w:autoSpaceDN w:val="0"/>
                    <w:adjustRightInd w:val="0"/>
                    <w:jc w:val="center"/>
                    <w:rPr>
                      <w:color w:val="auto"/>
                      <w:u w:val="single"/>
                      <w:lang w:val="zh-CN"/>
                    </w:rPr>
                  </w:pPr>
                  <w:r>
                    <w:rPr>
                      <w:color w:val="auto"/>
                      <w:u w:val="single"/>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trPr>
              <w:tc>
                <w:tcPr>
                  <w:tcW w:w="5000" w:type="pct"/>
                  <w:gridSpan w:val="10"/>
                  <w:tcBorders>
                    <w:top w:val="single" w:color="auto" w:sz="6" w:space="0"/>
                    <w:left w:val="single" w:color="auto" w:sz="12" w:space="0"/>
                    <w:bottom w:val="single" w:color="auto" w:sz="12" w:space="0"/>
                    <w:right w:val="single" w:color="auto" w:sz="12" w:space="0"/>
                  </w:tcBorders>
                  <w:noWrap/>
                  <w:vAlign w:val="center"/>
                </w:tcPr>
                <w:p>
                  <w:pPr>
                    <w:pStyle w:val="2"/>
                    <w:jc w:val="center"/>
                    <w:rPr>
                      <w:b/>
                      <w:color w:val="auto"/>
                      <w:u w:val="single"/>
                    </w:rPr>
                  </w:pPr>
                  <w:r>
                    <w:rPr>
                      <w:color w:val="auto"/>
                      <w:szCs w:val="21"/>
                      <w:u w:val="single"/>
                    </w:rPr>
                    <w:t>注：“-”表示可不开展土壤环境影响评价工作</w:t>
                  </w:r>
                </w:p>
              </w:tc>
            </w:tr>
          </w:tbl>
          <w:p>
            <w:pPr>
              <w:spacing w:line="360" w:lineRule="auto"/>
              <w:ind w:firstLine="480" w:firstLineChars="200"/>
              <w:rPr>
                <w:color w:val="auto"/>
                <w:sz w:val="24"/>
                <w:u w:val="single"/>
              </w:rPr>
            </w:pPr>
            <w:r>
              <w:rPr>
                <w:color w:val="auto"/>
                <w:sz w:val="24"/>
                <w:u w:val="single"/>
              </w:rPr>
              <w:t>本项目属于</w:t>
            </w:r>
            <w:r>
              <w:rPr>
                <w:rFonts w:hint="eastAsia"/>
                <w:color w:val="auto"/>
                <w:sz w:val="24"/>
                <w:u w:val="single"/>
              </w:rPr>
              <w:t>“</w:t>
            </w:r>
            <w:r>
              <w:rPr>
                <w:rFonts w:hint="eastAsia"/>
                <w:color w:val="auto"/>
                <w:sz w:val="24"/>
                <w:u w:val="single"/>
                <w:lang w:eastAsia="zh-CN"/>
              </w:rPr>
              <w:t>金属冶炼和压延加工及非金属矿物制品</w:t>
            </w:r>
            <w:r>
              <w:rPr>
                <w:rFonts w:hint="eastAsia"/>
                <w:color w:val="auto"/>
                <w:sz w:val="24"/>
                <w:u w:val="single"/>
              </w:rPr>
              <w:t>”中其他</w:t>
            </w:r>
            <w:r>
              <w:rPr>
                <w:color w:val="auto"/>
                <w:sz w:val="24"/>
                <w:u w:val="single"/>
              </w:rPr>
              <w:t>，属于</w:t>
            </w:r>
            <w:r>
              <w:rPr>
                <w:color w:val="auto"/>
                <w:u w:val="single"/>
                <w:lang w:val="zh-CN"/>
              </w:rPr>
              <w:t>III</w:t>
            </w:r>
            <w:r>
              <w:rPr>
                <w:color w:val="auto"/>
                <w:sz w:val="24"/>
                <w:u w:val="single"/>
              </w:rPr>
              <w:t>类项目且建设项目占地规模为小型（≤5hm</w:t>
            </w:r>
            <w:r>
              <w:rPr>
                <w:color w:val="auto"/>
                <w:sz w:val="24"/>
                <w:u w:val="single"/>
                <w:vertAlign w:val="superscript"/>
              </w:rPr>
              <w:t>2</w:t>
            </w:r>
            <w:r>
              <w:rPr>
                <w:color w:val="auto"/>
                <w:sz w:val="24"/>
                <w:u w:val="single"/>
              </w:rPr>
              <w:t>），建设项目所在地周边的土壤环境</w:t>
            </w:r>
            <w:r>
              <w:rPr>
                <w:rFonts w:hint="eastAsia"/>
                <w:color w:val="auto"/>
                <w:sz w:val="24"/>
                <w:u w:val="single"/>
                <w:lang w:eastAsia="zh-CN"/>
              </w:rPr>
              <w:t>为农田</w:t>
            </w:r>
            <w:r>
              <w:rPr>
                <w:color w:val="auto"/>
                <w:sz w:val="24"/>
                <w:u w:val="single"/>
              </w:rPr>
              <w:t>敏感程度为敏感，根据导则要求确定本项目土壤环境</w:t>
            </w:r>
            <w:r>
              <w:rPr>
                <w:rFonts w:hint="eastAsia"/>
                <w:color w:val="auto"/>
                <w:sz w:val="24"/>
                <w:u w:val="single"/>
                <w:lang w:eastAsia="zh-CN"/>
              </w:rPr>
              <w:t>评价工作等级为三级</w:t>
            </w:r>
            <w:r>
              <w:rPr>
                <w:rFonts w:hint="default" w:ascii="Times New Roman" w:hAnsi="Times New Roman" w:eastAsia="宋体" w:cs="Times New Roman"/>
                <w:sz w:val="24"/>
                <w:u w:val="single"/>
              </w:rPr>
              <w:t>，评价范围为项目所在地块及周边50m范围</w:t>
            </w:r>
            <w:r>
              <w:rPr>
                <w:rFonts w:hint="eastAsia" w:ascii="Times New Roman" w:hAnsi="Times New Roman" w:cs="Times New Roman"/>
                <w:sz w:val="24"/>
                <w:u w:val="single"/>
                <w:lang w:eastAsia="zh-CN"/>
              </w:rPr>
              <w:t>内</w:t>
            </w:r>
            <w:r>
              <w:rPr>
                <w:rFonts w:hint="default" w:ascii="Times New Roman" w:hAnsi="Times New Roman" w:eastAsia="宋体" w:cs="Times New Roman"/>
                <w:sz w:val="24"/>
                <w:u w:val="single"/>
              </w:rPr>
              <w:t>。</w:t>
            </w:r>
          </w:p>
          <w:p>
            <w:pPr>
              <w:spacing w:line="360" w:lineRule="auto"/>
              <w:ind w:firstLine="482" w:firstLineChars="200"/>
              <w:rPr>
                <w:rFonts w:ascii="宋体" w:hAnsi="宋体"/>
                <w:b/>
                <w:bCs/>
                <w:sz w:val="24"/>
              </w:rPr>
            </w:pPr>
            <w:r>
              <w:rPr>
                <w:b/>
                <w:bCs/>
                <w:sz w:val="24"/>
              </w:rPr>
              <w:t>2.</w:t>
            </w:r>
            <w:r>
              <w:rPr>
                <w:rFonts w:hint="eastAsia"/>
                <w:b/>
                <w:bCs/>
                <w:sz w:val="24"/>
              </w:rPr>
              <w:t>工程</w:t>
            </w:r>
            <w:r>
              <w:rPr>
                <w:b/>
                <w:bCs/>
                <w:sz w:val="24"/>
              </w:rPr>
              <w:t>内容及规</w:t>
            </w:r>
            <w:r>
              <w:rPr>
                <w:rFonts w:hint="eastAsia" w:ascii="宋体" w:hAnsi="宋体"/>
                <w:b/>
                <w:bCs/>
                <w:sz w:val="24"/>
              </w:rPr>
              <w:t>模</w:t>
            </w:r>
          </w:p>
          <w:p>
            <w:pPr>
              <w:spacing w:line="360" w:lineRule="auto"/>
              <w:ind w:firstLine="482" w:firstLineChars="200"/>
              <w:rPr>
                <w:sz w:val="24"/>
              </w:rPr>
            </w:pPr>
            <w:r>
              <w:rPr>
                <w:rFonts w:hint="eastAsia" w:hAnsi="宋体"/>
                <w:b/>
                <w:sz w:val="24"/>
              </w:rPr>
              <w:t>2.1</w:t>
            </w:r>
            <w:r>
              <w:rPr>
                <w:b/>
                <w:kern w:val="0"/>
                <w:sz w:val="24"/>
              </w:rPr>
              <w:t>项目名称、地点、</w:t>
            </w:r>
            <w:r>
              <w:rPr>
                <w:rFonts w:hint="eastAsia"/>
                <w:b/>
                <w:kern w:val="0"/>
                <w:sz w:val="24"/>
              </w:rPr>
              <w:t>建设性质</w:t>
            </w:r>
            <w:r>
              <w:rPr>
                <w:b/>
                <w:kern w:val="0"/>
                <w:sz w:val="24"/>
              </w:rPr>
              <w:t>及</w:t>
            </w:r>
            <w:r>
              <w:rPr>
                <w:rFonts w:hint="eastAsia"/>
                <w:b/>
                <w:kern w:val="0"/>
                <w:sz w:val="24"/>
              </w:rPr>
              <w:t>投资</w:t>
            </w:r>
          </w:p>
          <w:p>
            <w:pPr>
              <w:spacing w:line="360" w:lineRule="auto"/>
              <w:ind w:firstLine="480" w:firstLineChars="200"/>
              <w:rPr>
                <w:sz w:val="24"/>
              </w:rPr>
            </w:pPr>
            <w:r>
              <w:rPr>
                <w:rFonts w:hint="eastAsia"/>
                <w:sz w:val="24"/>
              </w:rPr>
              <w:t>（1）</w:t>
            </w:r>
            <w:r>
              <w:rPr>
                <w:sz w:val="24"/>
              </w:rPr>
              <w:t>项目名称：</w:t>
            </w:r>
            <w:r>
              <w:rPr>
                <w:rFonts w:hint="eastAsia" w:hAnsi="宋体"/>
                <w:sz w:val="24"/>
              </w:rPr>
              <w:t>60万吨/年机制砂建设项目</w:t>
            </w:r>
          </w:p>
          <w:p>
            <w:pPr>
              <w:spacing w:line="360" w:lineRule="auto"/>
              <w:ind w:firstLine="480" w:firstLineChars="200"/>
              <w:rPr>
                <w:sz w:val="24"/>
              </w:rPr>
            </w:pPr>
            <w:r>
              <w:rPr>
                <w:rFonts w:hint="eastAsia"/>
                <w:sz w:val="24"/>
              </w:rPr>
              <w:t>（2）项目性质：新建</w:t>
            </w:r>
          </w:p>
          <w:p>
            <w:pPr>
              <w:spacing w:line="360" w:lineRule="auto"/>
              <w:ind w:firstLine="480" w:firstLineChars="200"/>
              <w:rPr>
                <w:sz w:val="24"/>
              </w:rPr>
            </w:pPr>
            <w:r>
              <w:rPr>
                <w:rFonts w:hint="eastAsia"/>
                <w:sz w:val="24"/>
              </w:rPr>
              <w:t>（3）总投资：280万元</w:t>
            </w:r>
          </w:p>
          <w:p>
            <w:pPr>
              <w:spacing w:line="360" w:lineRule="auto"/>
              <w:ind w:firstLine="480" w:firstLineChars="200"/>
              <w:rPr>
                <w:sz w:val="24"/>
              </w:rPr>
            </w:pPr>
            <w:r>
              <w:rPr>
                <w:rFonts w:hint="eastAsia"/>
                <w:sz w:val="24"/>
              </w:rPr>
              <w:t>（4）项目位置：</w:t>
            </w:r>
            <w:r>
              <w:rPr>
                <w:rFonts w:hint="eastAsia" w:ascii="Basemic Times" w:hAnsi="Basemic Times" w:cs="宋体"/>
                <w:sz w:val="24"/>
              </w:rPr>
              <w:t>华容县万庾镇万庾村苍苔七组</w:t>
            </w:r>
            <w:r>
              <w:rPr>
                <w:rFonts w:hint="eastAsia"/>
                <w:sz w:val="24"/>
              </w:rPr>
              <w:t>（详见项目地理位置图）。项目地经度112.497270，纬度29.584766。</w:t>
            </w:r>
          </w:p>
          <w:p>
            <w:pPr>
              <w:spacing w:line="360" w:lineRule="auto"/>
              <w:ind w:firstLine="482" w:firstLineChars="200"/>
              <w:rPr>
                <w:sz w:val="24"/>
              </w:rPr>
            </w:pPr>
            <w:r>
              <w:rPr>
                <w:rFonts w:hint="eastAsia"/>
                <w:b/>
                <w:sz w:val="24"/>
              </w:rPr>
              <w:t>2.2工程内容及规模</w:t>
            </w:r>
          </w:p>
          <w:p>
            <w:pPr>
              <w:widowControl/>
              <w:spacing w:line="360" w:lineRule="auto"/>
              <w:ind w:firstLine="480"/>
              <w:jc w:val="left"/>
              <w:rPr>
                <w:kern w:val="0"/>
                <w:sz w:val="24"/>
              </w:rPr>
            </w:pPr>
            <w:bookmarkStart w:id="2" w:name="OLE_LINK66"/>
            <w:bookmarkStart w:id="3" w:name="OLE_LINK23"/>
            <w:r>
              <w:rPr>
                <w:rFonts w:hint="eastAsia"/>
                <w:kern w:val="0"/>
                <w:sz w:val="24"/>
              </w:rPr>
              <w:t>项目用地为租赁</w:t>
            </w:r>
            <w:r>
              <w:rPr>
                <w:rFonts w:hint="eastAsia" w:ascii="Basemic Times" w:hAnsi="Basemic Times" w:cs="宋体"/>
                <w:sz w:val="24"/>
              </w:rPr>
              <w:t>华容县万庾镇万庾村苍苔七组</w:t>
            </w:r>
            <w:r>
              <w:rPr>
                <w:rFonts w:hint="eastAsia"/>
                <w:kern w:val="0"/>
                <w:sz w:val="24"/>
              </w:rPr>
              <w:t>现有闲置厂区（原为蒙华铁路搅拌场</w:t>
            </w:r>
            <w:r>
              <w:rPr>
                <w:rFonts w:hint="eastAsia"/>
                <w:kern w:val="0"/>
                <w:sz w:val="24"/>
                <w:lang w:eastAsia="zh-CN"/>
              </w:rPr>
              <w:t>，该地块属于万庾村苍台七组集体用地资源，</w:t>
            </w:r>
            <w:r>
              <w:rPr>
                <w:rFonts w:hint="eastAsia"/>
                <w:kern w:val="0"/>
                <w:sz w:val="24"/>
                <w:lang w:val="en-US" w:eastAsia="zh-CN"/>
              </w:rPr>
              <w:t>2019年5月20日，建设单位与华容县万庾镇万庾村签订了入股协议，详见附件6</w:t>
            </w:r>
            <w:r>
              <w:rPr>
                <w:rFonts w:hint="eastAsia"/>
                <w:kern w:val="0"/>
                <w:sz w:val="24"/>
              </w:rPr>
              <w:t>），部分厂房及办公附属房已有，但本项目需在现有厂房及办公楼基础上进行装修及修建，项目总用地面积</w:t>
            </w:r>
            <w:r>
              <w:rPr>
                <w:rFonts w:hint="eastAsia"/>
                <w:sz w:val="24"/>
              </w:rPr>
              <w:t>6668</w:t>
            </w:r>
            <w:r>
              <w:rPr>
                <w:rFonts w:hint="eastAsia"/>
                <w:szCs w:val="21"/>
              </w:rPr>
              <w:t>m</w:t>
            </w:r>
            <w:r>
              <w:rPr>
                <w:rFonts w:hint="eastAsia"/>
                <w:szCs w:val="21"/>
                <w:vertAlign w:val="superscript"/>
              </w:rPr>
              <w:t>2</w:t>
            </w:r>
            <w:r>
              <w:rPr>
                <w:rFonts w:hint="eastAsia"/>
                <w:kern w:val="0"/>
                <w:sz w:val="24"/>
              </w:rPr>
              <w:t>，总建筑面积5540.24</w:t>
            </w:r>
            <w:r>
              <w:rPr>
                <w:rFonts w:hint="eastAsia"/>
                <w:szCs w:val="21"/>
              </w:rPr>
              <w:t>m</w:t>
            </w:r>
            <w:r>
              <w:rPr>
                <w:rFonts w:hint="eastAsia"/>
                <w:szCs w:val="21"/>
                <w:vertAlign w:val="superscript"/>
              </w:rPr>
              <w:t>2</w:t>
            </w:r>
            <w:r>
              <w:rPr>
                <w:rFonts w:hint="eastAsia"/>
                <w:kern w:val="0"/>
                <w:sz w:val="24"/>
              </w:rPr>
              <w:t>，主要建筑物为1栋生产车间（利用现有）、1栋办公大楼（利用现有），1栋食堂（现有）、1栋原料堆场（现有），1栋成品堆场（新建），另本项目设</w:t>
            </w:r>
            <w:r>
              <w:rPr>
                <w:rFonts w:hint="eastAsia"/>
                <w:kern w:val="0"/>
                <w:sz w:val="24"/>
                <w:lang w:val="en-US" w:eastAsia="zh-CN"/>
              </w:rPr>
              <w:t>2</w:t>
            </w:r>
            <w:r>
              <w:rPr>
                <w:rFonts w:hint="eastAsia"/>
                <w:kern w:val="0"/>
                <w:sz w:val="24"/>
              </w:rPr>
              <w:t>个循环</w:t>
            </w:r>
            <w:r>
              <w:rPr>
                <w:rFonts w:hint="eastAsia"/>
                <w:kern w:val="0"/>
                <w:sz w:val="24"/>
                <w:lang w:eastAsia="zh-CN"/>
              </w:rPr>
              <w:t>塔</w:t>
            </w:r>
            <w:r>
              <w:rPr>
                <w:rFonts w:hint="eastAsia"/>
                <w:kern w:val="0"/>
                <w:sz w:val="24"/>
              </w:rPr>
              <w:t>（新建），1个</w:t>
            </w:r>
            <w:r>
              <w:rPr>
                <w:rFonts w:hint="eastAsia"/>
                <w:kern w:val="0"/>
                <w:sz w:val="24"/>
                <w:lang w:eastAsia="zh-CN"/>
              </w:rPr>
              <w:t>清水池</w:t>
            </w:r>
            <w:r>
              <w:rPr>
                <w:rFonts w:hint="eastAsia"/>
                <w:kern w:val="0"/>
                <w:sz w:val="24"/>
              </w:rPr>
              <w:t>（利用现有），</w:t>
            </w:r>
            <w:r>
              <w:rPr>
                <w:rFonts w:hint="eastAsia"/>
                <w:kern w:val="0"/>
                <w:sz w:val="24"/>
                <w:szCs w:val="22"/>
              </w:rPr>
              <w:t>并完善给排水、供配电、道路硬化等公用配套设施</w:t>
            </w:r>
            <w:bookmarkEnd w:id="2"/>
            <w:r>
              <w:rPr>
                <w:rFonts w:hint="eastAsia"/>
                <w:kern w:val="0"/>
                <w:sz w:val="24"/>
                <w:szCs w:val="22"/>
              </w:rPr>
              <w:t>。</w:t>
            </w:r>
            <w:bookmarkEnd w:id="3"/>
            <w:r>
              <w:rPr>
                <w:rFonts w:hint="eastAsia"/>
                <w:kern w:val="0"/>
                <w:sz w:val="24"/>
                <w:szCs w:val="22"/>
              </w:rPr>
              <w:t>建成后达到60万吨/年机制砂建筑</w:t>
            </w:r>
            <w:r>
              <w:rPr>
                <w:rFonts w:hint="eastAsia"/>
                <w:kern w:val="0"/>
                <w:sz w:val="24"/>
              </w:rPr>
              <w:t>材料规模。</w:t>
            </w:r>
          </w:p>
          <w:p>
            <w:pPr>
              <w:widowControl/>
              <w:spacing w:line="360" w:lineRule="auto"/>
              <w:ind w:firstLine="480"/>
              <w:jc w:val="left"/>
              <w:rPr>
                <w:sz w:val="24"/>
              </w:rPr>
            </w:pPr>
            <w:r>
              <w:rPr>
                <w:rFonts w:hint="eastAsia"/>
                <w:sz w:val="24"/>
              </w:rPr>
              <w:t>项目主要经济技术指标见下表1-</w:t>
            </w:r>
            <w:r>
              <w:rPr>
                <w:rFonts w:hint="eastAsia"/>
                <w:sz w:val="24"/>
                <w:lang w:val="en-US" w:eastAsia="zh-CN"/>
              </w:rPr>
              <w:t>6</w:t>
            </w:r>
            <w:r>
              <w:rPr>
                <w:rFonts w:hint="eastAsia"/>
                <w:sz w:val="24"/>
              </w:rPr>
              <w:t>。</w:t>
            </w:r>
          </w:p>
          <w:p>
            <w:pPr>
              <w:spacing w:line="360" w:lineRule="auto"/>
              <w:jc w:val="center"/>
              <w:rPr>
                <w:b/>
                <w:szCs w:val="21"/>
              </w:rPr>
            </w:pPr>
            <w:r>
              <w:rPr>
                <w:rFonts w:hint="eastAsia"/>
                <w:b/>
                <w:szCs w:val="21"/>
              </w:rPr>
              <w:t>表1-</w:t>
            </w:r>
            <w:r>
              <w:rPr>
                <w:rFonts w:hint="eastAsia"/>
                <w:b/>
                <w:szCs w:val="21"/>
                <w:lang w:val="en-US" w:eastAsia="zh-CN"/>
              </w:rPr>
              <w:t>6</w:t>
            </w:r>
            <w:r>
              <w:rPr>
                <w:rFonts w:hint="eastAsia"/>
                <w:b/>
                <w:szCs w:val="21"/>
              </w:rPr>
              <w:t xml:space="preserve">  项目主要经济技术指标一览表</w:t>
            </w:r>
          </w:p>
          <w:tbl>
            <w:tblPr>
              <w:tblStyle w:val="28"/>
              <w:tblW w:w="83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1"/>
              <w:gridCol w:w="1155"/>
              <w:gridCol w:w="2007"/>
              <w:gridCol w:w="966"/>
              <w:gridCol w:w="1472"/>
              <w:gridCol w:w="2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Align w:val="center"/>
                </w:tcPr>
                <w:p>
                  <w:pPr>
                    <w:widowControl/>
                    <w:spacing w:line="360" w:lineRule="auto"/>
                    <w:jc w:val="center"/>
                    <w:rPr>
                      <w:kern w:val="0"/>
                      <w:szCs w:val="21"/>
                    </w:rPr>
                  </w:pPr>
                  <w:r>
                    <w:rPr>
                      <w:kern w:val="0"/>
                      <w:szCs w:val="21"/>
                    </w:rPr>
                    <w:t>序号</w:t>
                  </w:r>
                </w:p>
              </w:tc>
              <w:tc>
                <w:tcPr>
                  <w:tcW w:w="3162" w:type="dxa"/>
                  <w:gridSpan w:val="2"/>
                  <w:vAlign w:val="center"/>
                </w:tcPr>
                <w:p>
                  <w:pPr>
                    <w:widowControl/>
                    <w:spacing w:line="360" w:lineRule="auto"/>
                    <w:jc w:val="center"/>
                    <w:rPr>
                      <w:kern w:val="0"/>
                      <w:szCs w:val="21"/>
                    </w:rPr>
                  </w:pPr>
                  <w:r>
                    <w:rPr>
                      <w:kern w:val="0"/>
                      <w:szCs w:val="21"/>
                    </w:rPr>
                    <w:t>工程名称</w:t>
                  </w:r>
                </w:p>
              </w:tc>
              <w:tc>
                <w:tcPr>
                  <w:tcW w:w="966" w:type="dxa"/>
                  <w:vAlign w:val="center"/>
                </w:tcPr>
                <w:p>
                  <w:pPr>
                    <w:widowControl/>
                    <w:spacing w:line="360" w:lineRule="auto"/>
                    <w:jc w:val="center"/>
                    <w:rPr>
                      <w:kern w:val="0"/>
                      <w:szCs w:val="21"/>
                    </w:rPr>
                  </w:pPr>
                  <w:r>
                    <w:rPr>
                      <w:kern w:val="0"/>
                      <w:szCs w:val="21"/>
                    </w:rPr>
                    <w:t>单位</w:t>
                  </w:r>
                </w:p>
              </w:tc>
              <w:tc>
                <w:tcPr>
                  <w:tcW w:w="1472" w:type="dxa"/>
                  <w:vAlign w:val="center"/>
                </w:tcPr>
                <w:p>
                  <w:pPr>
                    <w:widowControl/>
                    <w:spacing w:line="360" w:lineRule="auto"/>
                    <w:jc w:val="center"/>
                    <w:rPr>
                      <w:kern w:val="0"/>
                      <w:szCs w:val="21"/>
                    </w:rPr>
                  </w:pPr>
                  <w:r>
                    <w:rPr>
                      <w:kern w:val="0"/>
                      <w:szCs w:val="21"/>
                    </w:rPr>
                    <w:t>数量</w:t>
                  </w:r>
                </w:p>
              </w:tc>
              <w:tc>
                <w:tcPr>
                  <w:tcW w:w="2015" w:type="dxa"/>
                  <w:vAlign w:val="center"/>
                </w:tcPr>
                <w:p>
                  <w:pPr>
                    <w:widowControl/>
                    <w:spacing w:line="360" w:lineRule="auto"/>
                    <w:jc w:val="center"/>
                    <w:rPr>
                      <w:kern w:val="0"/>
                      <w:szCs w:val="21"/>
                    </w:rPr>
                  </w:pPr>
                  <w:r>
                    <w:rPr>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Align w:val="center"/>
                </w:tcPr>
                <w:p>
                  <w:pPr>
                    <w:widowControl/>
                    <w:spacing w:line="360" w:lineRule="auto"/>
                    <w:jc w:val="center"/>
                    <w:rPr>
                      <w:kern w:val="0"/>
                      <w:szCs w:val="21"/>
                    </w:rPr>
                  </w:pPr>
                  <w:r>
                    <w:rPr>
                      <w:kern w:val="0"/>
                      <w:szCs w:val="21"/>
                    </w:rPr>
                    <w:t>1</w:t>
                  </w:r>
                </w:p>
              </w:tc>
              <w:tc>
                <w:tcPr>
                  <w:tcW w:w="3162" w:type="dxa"/>
                  <w:gridSpan w:val="2"/>
                  <w:vAlign w:val="center"/>
                </w:tcPr>
                <w:p>
                  <w:pPr>
                    <w:widowControl/>
                    <w:spacing w:line="360" w:lineRule="auto"/>
                    <w:jc w:val="center"/>
                    <w:rPr>
                      <w:kern w:val="0"/>
                      <w:szCs w:val="21"/>
                    </w:rPr>
                  </w:pPr>
                  <w:r>
                    <w:rPr>
                      <w:kern w:val="0"/>
                      <w:szCs w:val="21"/>
                    </w:rPr>
                    <w:t>总用地面积</w:t>
                  </w:r>
                </w:p>
              </w:tc>
              <w:tc>
                <w:tcPr>
                  <w:tcW w:w="966" w:type="dxa"/>
                  <w:vAlign w:val="center"/>
                </w:tcPr>
                <w:p>
                  <w:pPr>
                    <w:widowControl/>
                    <w:spacing w:line="360" w:lineRule="auto"/>
                    <w:ind w:left="-17" w:leftChars="-8" w:firstLine="14" w:firstLineChars="7"/>
                    <w:jc w:val="center"/>
                    <w:rPr>
                      <w:kern w:val="0"/>
                      <w:szCs w:val="21"/>
                    </w:rPr>
                  </w:pPr>
                  <w:r>
                    <w:rPr>
                      <w:kern w:val="0"/>
                      <w:szCs w:val="21"/>
                    </w:rPr>
                    <w:t>m</w:t>
                  </w:r>
                  <w:r>
                    <w:rPr>
                      <w:kern w:val="0"/>
                      <w:szCs w:val="21"/>
                      <w:vertAlign w:val="superscript"/>
                    </w:rPr>
                    <w:t>2</w:t>
                  </w:r>
                </w:p>
              </w:tc>
              <w:tc>
                <w:tcPr>
                  <w:tcW w:w="1472" w:type="dxa"/>
                  <w:vAlign w:val="center"/>
                </w:tcPr>
                <w:p>
                  <w:pPr>
                    <w:widowControl/>
                    <w:spacing w:line="360" w:lineRule="auto"/>
                    <w:jc w:val="center"/>
                    <w:rPr>
                      <w:kern w:val="0"/>
                      <w:szCs w:val="21"/>
                    </w:rPr>
                  </w:pPr>
                  <w:r>
                    <w:rPr>
                      <w:rFonts w:hint="eastAsia"/>
                      <w:kern w:val="0"/>
                      <w:szCs w:val="21"/>
                    </w:rPr>
                    <w:t>6668</w:t>
                  </w:r>
                </w:p>
              </w:tc>
              <w:tc>
                <w:tcPr>
                  <w:tcW w:w="2015" w:type="dxa"/>
                  <w:vAlign w:val="center"/>
                </w:tcPr>
                <w:p>
                  <w:pPr>
                    <w:widowControl/>
                    <w:spacing w:line="360" w:lineRule="auto"/>
                    <w:jc w:val="center"/>
                    <w:rPr>
                      <w:color w:val="1824C2"/>
                      <w:kern w:val="0"/>
                      <w:szCs w:val="21"/>
                    </w:rPr>
                  </w:pPr>
                  <w:r>
                    <w:rPr>
                      <w:rFonts w:hint="eastAsia"/>
                      <w:color w:val="1824C2"/>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tcBorders>
                    <w:bottom w:val="single" w:color="auto" w:sz="4" w:space="0"/>
                  </w:tcBorders>
                  <w:vAlign w:val="center"/>
                </w:tcPr>
                <w:p>
                  <w:pPr>
                    <w:widowControl/>
                    <w:spacing w:line="360" w:lineRule="auto"/>
                    <w:jc w:val="center"/>
                    <w:rPr>
                      <w:kern w:val="0"/>
                      <w:szCs w:val="21"/>
                    </w:rPr>
                  </w:pPr>
                  <w:r>
                    <w:rPr>
                      <w:rFonts w:hint="eastAsia"/>
                      <w:kern w:val="0"/>
                      <w:szCs w:val="21"/>
                    </w:rPr>
                    <w:t>2</w:t>
                  </w:r>
                </w:p>
              </w:tc>
              <w:tc>
                <w:tcPr>
                  <w:tcW w:w="3162" w:type="dxa"/>
                  <w:gridSpan w:val="2"/>
                  <w:tcBorders>
                    <w:bottom w:val="single" w:color="auto" w:sz="4" w:space="0"/>
                  </w:tcBorders>
                  <w:vAlign w:val="center"/>
                </w:tcPr>
                <w:p>
                  <w:pPr>
                    <w:widowControl/>
                    <w:spacing w:line="360" w:lineRule="auto"/>
                    <w:jc w:val="center"/>
                    <w:rPr>
                      <w:kern w:val="0"/>
                      <w:szCs w:val="21"/>
                    </w:rPr>
                  </w:pPr>
                  <w:r>
                    <w:rPr>
                      <w:kern w:val="0"/>
                      <w:szCs w:val="21"/>
                    </w:rPr>
                    <w:t>总建筑面积</w:t>
                  </w:r>
                </w:p>
              </w:tc>
              <w:tc>
                <w:tcPr>
                  <w:tcW w:w="966" w:type="dxa"/>
                  <w:vAlign w:val="center"/>
                </w:tcPr>
                <w:p>
                  <w:pPr>
                    <w:widowControl/>
                    <w:spacing w:line="360" w:lineRule="auto"/>
                    <w:ind w:left="-17" w:leftChars="-8" w:firstLine="14" w:firstLineChars="7"/>
                    <w:jc w:val="center"/>
                    <w:rPr>
                      <w:kern w:val="0"/>
                      <w:szCs w:val="21"/>
                    </w:rPr>
                  </w:pPr>
                  <w:r>
                    <w:rPr>
                      <w:kern w:val="0"/>
                      <w:szCs w:val="21"/>
                    </w:rPr>
                    <w:t>m</w:t>
                  </w:r>
                  <w:r>
                    <w:rPr>
                      <w:kern w:val="0"/>
                      <w:szCs w:val="21"/>
                      <w:vertAlign w:val="superscript"/>
                    </w:rPr>
                    <w:t>2</w:t>
                  </w:r>
                </w:p>
              </w:tc>
              <w:tc>
                <w:tcPr>
                  <w:tcW w:w="1472" w:type="dxa"/>
                  <w:vAlign w:val="center"/>
                </w:tcPr>
                <w:p>
                  <w:pPr>
                    <w:widowControl/>
                    <w:spacing w:line="360" w:lineRule="auto"/>
                    <w:jc w:val="center"/>
                    <w:rPr>
                      <w:szCs w:val="21"/>
                    </w:rPr>
                  </w:pPr>
                  <w:r>
                    <w:rPr>
                      <w:rFonts w:hint="eastAsia"/>
                      <w:szCs w:val="21"/>
                    </w:rPr>
                    <w:t>5540.24</w:t>
                  </w:r>
                </w:p>
              </w:tc>
              <w:tc>
                <w:tcPr>
                  <w:tcW w:w="2015" w:type="dxa"/>
                  <w:vAlign w:val="center"/>
                </w:tcPr>
                <w:p>
                  <w:pPr>
                    <w:widowControl/>
                    <w:spacing w:line="360" w:lineRule="auto"/>
                    <w:jc w:val="center"/>
                    <w:rPr>
                      <w:kern w:val="0"/>
                      <w:szCs w:val="21"/>
                    </w:rPr>
                  </w:pP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tcBorders>
                    <w:top w:val="single" w:color="auto" w:sz="4" w:space="0"/>
                    <w:bottom w:val="single" w:color="auto" w:sz="4" w:space="0"/>
                  </w:tcBorders>
                  <w:vAlign w:val="center"/>
                </w:tcPr>
                <w:p>
                  <w:pPr>
                    <w:widowControl/>
                    <w:spacing w:line="360" w:lineRule="auto"/>
                    <w:jc w:val="center"/>
                    <w:rPr>
                      <w:kern w:val="0"/>
                      <w:szCs w:val="21"/>
                    </w:rPr>
                  </w:pPr>
                  <w:r>
                    <w:rPr>
                      <w:rFonts w:hint="eastAsia"/>
                      <w:kern w:val="0"/>
                      <w:szCs w:val="21"/>
                    </w:rPr>
                    <w:t>3</w:t>
                  </w:r>
                </w:p>
              </w:tc>
              <w:tc>
                <w:tcPr>
                  <w:tcW w:w="1155" w:type="dxa"/>
                  <w:tcBorders>
                    <w:top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主体工程</w:t>
                  </w:r>
                </w:p>
              </w:tc>
              <w:tc>
                <w:tcPr>
                  <w:tcW w:w="2007" w:type="dxa"/>
                  <w:tcBorders>
                    <w:top w:val="single" w:color="auto" w:sz="4" w:space="0"/>
                    <w:left w:val="single" w:color="auto" w:sz="4" w:space="0"/>
                    <w:bottom w:val="single" w:color="auto" w:sz="4" w:space="0"/>
                  </w:tcBorders>
                  <w:vAlign w:val="center"/>
                </w:tcPr>
                <w:p>
                  <w:pPr>
                    <w:jc w:val="center"/>
                    <w:rPr>
                      <w:szCs w:val="21"/>
                    </w:rPr>
                  </w:pPr>
                  <w:r>
                    <w:rPr>
                      <w:szCs w:val="21"/>
                    </w:rPr>
                    <w:t>生产车间</w:t>
                  </w:r>
                </w:p>
              </w:tc>
              <w:tc>
                <w:tcPr>
                  <w:tcW w:w="966" w:type="dxa"/>
                  <w:vAlign w:val="center"/>
                </w:tcPr>
                <w:p>
                  <w:pPr>
                    <w:widowControl/>
                    <w:spacing w:line="360" w:lineRule="auto"/>
                    <w:ind w:left="-17" w:leftChars="-8" w:firstLine="14" w:firstLineChars="7"/>
                    <w:jc w:val="center"/>
                    <w:rPr>
                      <w:kern w:val="0"/>
                      <w:szCs w:val="21"/>
                    </w:rPr>
                  </w:pPr>
                  <w:r>
                    <w:rPr>
                      <w:kern w:val="0"/>
                      <w:szCs w:val="21"/>
                    </w:rPr>
                    <w:t>m</w:t>
                  </w:r>
                  <w:r>
                    <w:rPr>
                      <w:kern w:val="0"/>
                      <w:szCs w:val="21"/>
                      <w:vertAlign w:val="superscript"/>
                    </w:rPr>
                    <w:t>2</w:t>
                  </w:r>
                </w:p>
              </w:tc>
              <w:tc>
                <w:tcPr>
                  <w:tcW w:w="1472" w:type="dxa"/>
                  <w:vAlign w:val="center"/>
                </w:tcPr>
                <w:p>
                  <w:pPr>
                    <w:jc w:val="center"/>
                    <w:rPr>
                      <w:szCs w:val="21"/>
                    </w:rPr>
                  </w:pPr>
                  <w:r>
                    <w:rPr>
                      <w:rFonts w:hint="eastAsia"/>
                    </w:rPr>
                    <w:t>1462.46</w:t>
                  </w:r>
                </w:p>
              </w:tc>
              <w:tc>
                <w:tcPr>
                  <w:tcW w:w="2015" w:type="dxa"/>
                  <w:vAlign w:val="center"/>
                </w:tcPr>
                <w:p>
                  <w:pPr>
                    <w:widowControl/>
                    <w:jc w:val="center"/>
                    <w:rPr>
                      <w:kern w:val="0"/>
                      <w:szCs w:val="21"/>
                    </w:rPr>
                  </w:pPr>
                  <w:r>
                    <w:rPr>
                      <w:rFonts w:hint="eastAsia"/>
                      <w:kern w:val="0"/>
                      <w:szCs w:val="21"/>
                    </w:rPr>
                    <w:t>全封闭钢结构厂房，四周建撇洪沟或导流沟，防扬洒和冲刷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restart"/>
                  <w:tcBorders>
                    <w:top w:val="single" w:color="auto" w:sz="4" w:space="0"/>
                  </w:tcBorders>
                  <w:vAlign w:val="center"/>
                </w:tcPr>
                <w:p>
                  <w:pPr>
                    <w:widowControl/>
                    <w:spacing w:line="360" w:lineRule="auto"/>
                    <w:jc w:val="center"/>
                    <w:rPr>
                      <w:kern w:val="0"/>
                      <w:szCs w:val="21"/>
                    </w:rPr>
                  </w:pPr>
                  <w:r>
                    <w:rPr>
                      <w:rFonts w:hint="eastAsia"/>
                      <w:kern w:val="0"/>
                      <w:szCs w:val="21"/>
                    </w:rPr>
                    <w:t>4</w:t>
                  </w:r>
                </w:p>
              </w:tc>
              <w:tc>
                <w:tcPr>
                  <w:tcW w:w="1155" w:type="dxa"/>
                  <w:vMerge w:val="restart"/>
                  <w:tcBorders>
                    <w:top w:val="single" w:color="auto" w:sz="4" w:space="0"/>
                    <w:right w:val="single" w:color="auto" w:sz="4" w:space="0"/>
                  </w:tcBorders>
                  <w:vAlign w:val="center"/>
                </w:tcPr>
                <w:p>
                  <w:pPr>
                    <w:jc w:val="center"/>
                    <w:rPr>
                      <w:kern w:val="0"/>
                      <w:szCs w:val="21"/>
                    </w:rPr>
                  </w:pPr>
                  <w:r>
                    <w:rPr>
                      <w:rFonts w:hint="eastAsia"/>
                      <w:kern w:val="0"/>
                      <w:szCs w:val="21"/>
                    </w:rPr>
                    <w:t>辅助工程</w:t>
                  </w:r>
                </w:p>
              </w:tc>
              <w:tc>
                <w:tcPr>
                  <w:tcW w:w="2007" w:type="dxa"/>
                  <w:tcBorders>
                    <w:top w:val="single" w:color="auto" w:sz="4" w:space="0"/>
                    <w:left w:val="single" w:color="auto" w:sz="4" w:space="0"/>
                    <w:bottom w:val="single" w:color="auto" w:sz="4" w:space="0"/>
                  </w:tcBorders>
                  <w:vAlign w:val="center"/>
                </w:tcPr>
                <w:p>
                  <w:pPr>
                    <w:jc w:val="center"/>
                    <w:rPr>
                      <w:szCs w:val="21"/>
                    </w:rPr>
                  </w:pPr>
                  <w:r>
                    <w:rPr>
                      <w:szCs w:val="21"/>
                    </w:rPr>
                    <w:t>产品堆场</w:t>
                  </w:r>
                </w:p>
              </w:tc>
              <w:tc>
                <w:tcPr>
                  <w:tcW w:w="966" w:type="dxa"/>
                  <w:vAlign w:val="center"/>
                </w:tcPr>
                <w:p>
                  <w:pPr>
                    <w:widowControl/>
                    <w:spacing w:line="360" w:lineRule="auto"/>
                    <w:ind w:left="-17" w:leftChars="-8" w:firstLine="14" w:firstLineChars="7"/>
                    <w:jc w:val="center"/>
                    <w:rPr>
                      <w:kern w:val="0"/>
                      <w:szCs w:val="21"/>
                    </w:rPr>
                  </w:pPr>
                  <w:r>
                    <w:rPr>
                      <w:kern w:val="0"/>
                      <w:szCs w:val="21"/>
                    </w:rPr>
                    <w:t>m</w:t>
                  </w:r>
                  <w:r>
                    <w:rPr>
                      <w:kern w:val="0"/>
                      <w:szCs w:val="21"/>
                      <w:vertAlign w:val="superscript"/>
                    </w:rPr>
                    <w:t>2</w:t>
                  </w:r>
                </w:p>
              </w:tc>
              <w:tc>
                <w:tcPr>
                  <w:tcW w:w="1472" w:type="dxa"/>
                  <w:tcBorders>
                    <w:bottom w:val="single" w:color="auto" w:sz="4" w:space="0"/>
                  </w:tcBorders>
                  <w:vAlign w:val="center"/>
                </w:tcPr>
                <w:p>
                  <w:pPr>
                    <w:jc w:val="center"/>
                    <w:rPr>
                      <w:szCs w:val="21"/>
                    </w:rPr>
                  </w:pPr>
                </w:p>
                <w:p>
                  <w:pPr>
                    <w:jc w:val="center"/>
                    <w:rPr>
                      <w:szCs w:val="21"/>
                    </w:rPr>
                  </w:pPr>
                  <w:r>
                    <w:rPr>
                      <w:rFonts w:hint="eastAsia"/>
                    </w:rPr>
                    <w:t>3241.73</w:t>
                  </w:r>
                </w:p>
              </w:tc>
              <w:tc>
                <w:tcPr>
                  <w:tcW w:w="2015" w:type="dxa"/>
                  <w:tcBorders>
                    <w:bottom w:val="single" w:color="auto" w:sz="4" w:space="0"/>
                  </w:tcBorders>
                  <w:vAlign w:val="center"/>
                </w:tcPr>
                <w:p>
                  <w:pPr>
                    <w:widowControl/>
                    <w:spacing w:line="360" w:lineRule="auto"/>
                    <w:jc w:val="center"/>
                    <w:rPr>
                      <w:kern w:val="0"/>
                      <w:szCs w:val="21"/>
                    </w:rPr>
                  </w:pPr>
                  <w:r>
                    <w:rPr>
                      <w:rFonts w:hint="eastAsia"/>
                      <w:kern w:val="0"/>
                      <w:szCs w:val="21"/>
                    </w:rPr>
                    <w:t>全封闭钢结构厂房，四周建撇洪沟或导流沟，防扬洒和冲刷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continue"/>
                  <w:vAlign w:val="center"/>
                </w:tcPr>
                <w:p>
                  <w:pPr>
                    <w:widowControl/>
                    <w:spacing w:line="360" w:lineRule="auto"/>
                    <w:jc w:val="center"/>
                    <w:rPr>
                      <w:kern w:val="0"/>
                      <w:szCs w:val="21"/>
                    </w:rPr>
                  </w:pPr>
                </w:p>
              </w:tc>
              <w:tc>
                <w:tcPr>
                  <w:tcW w:w="1155" w:type="dxa"/>
                  <w:vMerge w:val="continue"/>
                  <w:tcBorders>
                    <w:right w:val="single" w:color="auto" w:sz="4" w:space="0"/>
                  </w:tcBorders>
                  <w:vAlign w:val="center"/>
                </w:tcPr>
                <w:p>
                  <w:pPr>
                    <w:jc w:val="center"/>
                    <w:rPr>
                      <w:kern w:val="0"/>
                      <w:szCs w:val="21"/>
                    </w:rPr>
                  </w:pPr>
                </w:p>
              </w:tc>
              <w:tc>
                <w:tcPr>
                  <w:tcW w:w="2007" w:type="dxa"/>
                  <w:tcBorders>
                    <w:top w:val="single" w:color="auto" w:sz="4" w:space="0"/>
                    <w:left w:val="single" w:color="auto" w:sz="4" w:space="0"/>
                    <w:bottom w:val="single" w:color="auto" w:sz="4" w:space="0"/>
                  </w:tcBorders>
                  <w:vAlign w:val="center"/>
                </w:tcPr>
                <w:p>
                  <w:pPr>
                    <w:jc w:val="center"/>
                    <w:rPr>
                      <w:szCs w:val="21"/>
                    </w:rPr>
                  </w:pPr>
                  <w:r>
                    <w:rPr>
                      <w:rFonts w:hint="eastAsia"/>
                      <w:szCs w:val="21"/>
                    </w:rPr>
                    <w:t>原材料堆场</w:t>
                  </w:r>
                </w:p>
              </w:tc>
              <w:tc>
                <w:tcPr>
                  <w:tcW w:w="966" w:type="dxa"/>
                  <w:vAlign w:val="center"/>
                </w:tcPr>
                <w:p>
                  <w:pPr>
                    <w:widowControl/>
                    <w:spacing w:line="360" w:lineRule="auto"/>
                    <w:ind w:left="-17" w:leftChars="-8" w:firstLine="14" w:firstLineChars="7"/>
                    <w:jc w:val="center"/>
                    <w:rPr>
                      <w:kern w:val="0"/>
                      <w:szCs w:val="21"/>
                    </w:rPr>
                  </w:pPr>
                  <w:r>
                    <w:rPr>
                      <w:kern w:val="0"/>
                      <w:szCs w:val="21"/>
                    </w:rPr>
                    <w:t>m</w:t>
                  </w:r>
                  <w:r>
                    <w:rPr>
                      <w:kern w:val="0"/>
                      <w:szCs w:val="21"/>
                      <w:vertAlign w:val="superscript"/>
                    </w:rPr>
                    <w:t>2</w:t>
                  </w:r>
                </w:p>
              </w:tc>
              <w:tc>
                <w:tcPr>
                  <w:tcW w:w="1472" w:type="dxa"/>
                  <w:tcBorders>
                    <w:top w:val="single" w:color="auto" w:sz="4" w:space="0"/>
                  </w:tcBorders>
                </w:tcPr>
                <w:p>
                  <w:pPr>
                    <w:jc w:val="center"/>
                    <w:rPr>
                      <w:szCs w:val="21"/>
                    </w:rPr>
                  </w:pPr>
                </w:p>
                <w:p>
                  <w:pPr>
                    <w:jc w:val="center"/>
                    <w:rPr>
                      <w:szCs w:val="21"/>
                    </w:rPr>
                  </w:pPr>
                  <w:r>
                    <w:rPr>
                      <w:rFonts w:hint="eastAsia"/>
                    </w:rPr>
                    <w:t>598.01</w:t>
                  </w:r>
                </w:p>
              </w:tc>
              <w:tc>
                <w:tcPr>
                  <w:tcW w:w="2015" w:type="dxa"/>
                  <w:tcBorders>
                    <w:top w:val="single" w:color="auto" w:sz="4" w:space="0"/>
                  </w:tcBorders>
                  <w:vAlign w:val="center"/>
                </w:tcPr>
                <w:p>
                  <w:pPr>
                    <w:widowControl/>
                    <w:spacing w:line="360" w:lineRule="auto"/>
                    <w:jc w:val="center"/>
                    <w:rPr>
                      <w:kern w:val="0"/>
                      <w:szCs w:val="21"/>
                    </w:rPr>
                  </w:pPr>
                  <w:r>
                    <w:rPr>
                      <w:rFonts w:hint="eastAsia"/>
                      <w:kern w:val="0"/>
                      <w:szCs w:val="21"/>
                    </w:rPr>
                    <w:t>全封闭钢结构厂房，四周建撇洪沟或导流沟，防扬洒和冲刷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continue"/>
                  <w:vAlign w:val="center"/>
                </w:tcPr>
                <w:p>
                  <w:pPr>
                    <w:widowControl/>
                    <w:spacing w:line="360" w:lineRule="auto"/>
                    <w:jc w:val="center"/>
                    <w:rPr>
                      <w:kern w:val="0"/>
                      <w:szCs w:val="21"/>
                    </w:rPr>
                  </w:pPr>
                </w:p>
              </w:tc>
              <w:tc>
                <w:tcPr>
                  <w:tcW w:w="1155" w:type="dxa"/>
                  <w:vMerge w:val="continue"/>
                  <w:tcBorders>
                    <w:right w:val="single" w:color="auto" w:sz="4" w:space="0"/>
                  </w:tcBorders>
                  <w:vAlign w:val="center"/>
                </w:tcPr>
                <w:p>
                  <w:pPr>
                    <w:jc w:val="center"/>
                    <w:rPr>
                      <w:kern w:val="0"/>
                      <w:szCs w:val="21"/>
                    </w:rPr>
                  </w:pPr>
                </w:p>
              </w:tc>
              <w:tc>
                <w:tcPr>
                  <w:tcW w:w="2007" w:type="dxa"/>
                  <w:tcBorders>
                    <w:top w:val="single" w:color="auto" w:sz="4" w:space="0"/>
                    <w:left w:val="single" w:color="auto" w:sz="4" w:space="0"/>
                  </w:tcBorders>
                  <w:vAlign w:val="center"/>
                </w:tcPr>
                <w:p>
                  <w:pPr>
                    <w:jc w:val="center"/>
                    <w:rPr>
                      <w:szCs w:val="21"/>
                    </w:rPr>
                  </w:pPr>
                  <w:r>
                    <w:rPr>
                      <w:szCs w:val="21"/>
                    </w:rPr>
                    <w:t>办公室</w:t>
                  </w:r>
                </w:p>
              </w:tc>
              <w:tc>
                <w:tcPr>
                  <w:tcW w:w="966" w:type="dxa"/>
                  <w:vAlign w:val="center"/>
                </w:tcPr>
                <w:p>
                  <w:pPr>
                    <w:widowControl/>
                    <w:spacing w:line="360" w:lineRule="auto"/>
                    <w:ind w:left="-17" w:leftChars="-8" w:firstLine="14" w:firstLineChars="7"/>
                    <w:jc w:val="center"/>
                    <w:rPr>
                      <w:kern w:val="0"/>
                      <w:szCs w:val="21"/>
                    </w:rPr>
                  </w:pPr>
                  <w:r>
                    <w:rPr>
                      <w:kern w:val="0"/>
                      <w:szCs w:val="21"/>
                    </w:rPr>
                    <w:t>m</w:t>
                  </w:r>
                  <w:r>
                    <w:rPr>
                      <w:kern w:val="0"/>
                      <w:szCs w:val="21"/>
                      <w:vertAlign w:val="superscript"/>
                    </w:rPr>
                    <w:t>2</w:t>
                  </w:r>
                </w:p>
              </w:tc>
              <w:tc>
                <w:tcPr>
                  <w:tcW w:w="1472" w:type="dxa"/>
                </w:tcPr>
                <w:p>
                  <w:pPr>
                    <w:jc w:val="center"/>
                    <w:rPr>
                      <w:szCs w:val="21"/>
                    </w:rPr>
                  </w:pPr>
                  <w:r>
                    <w:rPr>
                      <w:rFonts w:hint="eastAsia"/>
                    </w:rPr>
                    <w:t>138.04</w:t>
                  </w:r>
                </w:p>
              </w:tc>
              <w:tc>
                <w:tcPr>
                  <w:tcW w:w="2015" w:type="dxa"/>
                  <w:vAlign w:val="center"/>
                </w:tcPr>
                <w:p>
                  <w:pPr>
                    <w:widowControl/>
                    <w:spacing w:line="360" w:lineRule="auto"/>
                    <w:jc w:val="center"/>
                    <w:rPr>
                      <w:kern w:val="0"/>
                      <w:szCs w:val="21"/>
                    </w:rPr>
                  </w:pPr>
                  <w:r>
                    <w:rPr>
                      <w:rFonts w:hint="eastAsia"/>
                      <w:kern w:val="0"/>
                      <w:szCs w:val="21"/>
                    </w:rPr>
                    <w:t>1栋，砖混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continue"/>
                  <w:vAlign w:val="center"/>
                </w:tcPr>
                <w:p>
                  <w:pPr>
                    <w:widowControl/>
                    <w:spacing w:line="360" w:lineRule="auto"/>
                    <w:jc w:val="center"/>
                    <w:rPr>
                      <w:kern w:val="0"/>
                      <w:szCs w:val="21"/>
                    </w:rPr>
                  </w:pPr>
                </w:p>
              </w:tc>
              <w:tc>
                <w:tcPr>
                  <w:tcW w:w="1155" w:type="dxa"/>
                  <w:vMerge w:val="continue"/>
                  <w:tcBorders>
                    <w:right w:val="single" w:color="auto" w:sz="4" w:space="0"/>
                  </w:tcBorders>
                  <w:vAlign w:val="center"/>
                </w:tcPr>
                <w:p>
                  <w:pPr>
                    <w:jc w:val="center"/>
                    <w:rPr>
                      <w:kern w:val="0"/>
                      <w:szCs w:val="21"/>
                    </w:rPr>
                  </w:pPr>
                </w:p>
              </w:tc>
              <w:tc>
                <w:tcPr>
                  <w:tcW w:w="2007" w:type="dxa"/>
                  <w:tcBorders>
                    <w:top w:val="single" w:color="auto" w:sz="4" w:space="0"/>
                    <w:left w:val="single" w:color="auto" w:sz="4" w:space="0"/>
                  </w:tcBorders>
                  <w:vAlign w:val="center"/>
                </w:tcPr>
                <w:p>
                  <w:pPr>
                    <w:jc w:val="center"/>
                    <w:rPr>
                      <w:szCs w:val="21"/>
                    </w:rPr>
                  </w:pPr>
                  <w:r>
                    <w:rPr>
                      <w:rFonts w:hint="eastAsia"/>
                      <w:szCs w:val="21"/>
                    </w:rPr>
                    <w:t>食堂</w:t>
                  </w:r>
                </w:p>
              </w:tc>
              <w:tc>
                <w:tcPr>
                  <w:tcW w:w="966" w:type="dxa"/>
                  <w:vAlign w:val="center"/>
                </w:tcPr>
                <w:p>
                  <w:pPr>
                    <w:widowControl/>
                    <w:spacing w:line="360" w:lineRule="auto"/>
                    <w:ind w:left="-17" w:leftChars="-8" w:firstLine="14" w:firstLineChars="7"/>
                    <w:jc w:val="center"/>
                    <w:rPr>
                      <w:kern w:val="0"/>
                      <w:szCs w:val="21"/>
                    </w:rPr>
                  </w:pPr>
                  <w:r>
                    <w:rPr>
                      <w:kern w:val="0"/>
                      <w:szCs w:val="21"/>
                    </w:rPr>
                    <w:t>m</w:t>
                  </w:r>
                  <w:r>
                    <w:rPr>
                      <w:kern w:val="0"/>
                      <w:szCs w:val="21"/>
                      <w:vertAlign w:val="superscript"/>
                    </w:rPr>
                    <w:t>2</w:t>
                  </w:r>
                </w:p>
              </w:tc>
              <w:tc>
                <w:tcPr>
                  <w:tcW w:w="1472" w:type="dxa"/>
                </w:tcPr>
                <w:p>
                  <w:pPr>
                    <w:jc w:val="center"/>
                  </w:pPr>
                  <w:r>
                    <w:rPr>
                      <w:rFonts w:hint="eastAsia"/>
                    </w:rPr>
                    <w:t>100</w:t>
                  </w:r>
                </w:p>
              </w:tc>
              <w:tc>
                <w:tcPr>
                  <w:tcW w:w="2015" w:type="dxa"/>
                  <w:vAlign w:val="center"/>
                </w:tcPr>
                <w:p>
                  <w:pPr>
                    <w:widowControl/>
                    <w:spacing w:line="360" w:lineRule="auto"/>
                    <w:jc w:val="center"/>
                    <w:rPr>
                      <w:kern w:val="0"/>
                      <w:szCs w:val="21"/>
                    </w:rPr>
                  </w:pPr>
                  <w:r>
                    <w:rPr>
                      <w:rFonts w:hint="eastAsia"/>
                      <w:kern w:val="0"/>
                      <w:szCs w:val="21"/>
                    </w:rPr>
                    <w:t>1栋，砖混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restart"/>
                  <w:tcBorders>
                    <w:top w:val="single" w:color="auto" w:sz="4" w:space="0"/>
                  </w:tcBorders>
                  <w:vAlign w:val="center"/>
                </w:tcPr>
                <w:p>
                  <w:pPr>
                    <w:widowControl/>
                    <w:spacing w:line="360" w:lineRule="auto"/>
                    <w:jc w:val="center"/>
                    <w:rPr>
                      <w:kern w:val="0"/>
                      <w:szCs w:val="21"/>
                    </w:rPr>
                  </w:pPr>
                  <w:r>
                    <w:rPr>
                      <w:rFonts w:hint="eastAsia"/>
                      <w:kern w:val="0"/>
                      <w:szCs w:val="21"/>
                    </w:rPr>
                    <w:t>5</w:t>
                  </w:r>
                </w:p>
              </w:tc>
              <w:tc>
                <w:tcPr>
                  <w:tcW w:w="1155" w:type="dxa"/>
                  <w:vMerge w:val="restart"/>
                  <w:tcBorders>
                    <w:right w:val="single" w:color="auto" w:sz="4" w:space="0"/>
                  </w:tcBorders>
                  <w:vAlign w:val="center"/>
                </w:tcPr>
                <w:p>
                  <w:pPr>
                    <w:jc w:val="center"/>
                    <w:rPr>
                      <w:kern w:val="0"/>
                      <w:szCs w:val="21"/>
                    </w:rPr>
                  </w:pPr>
                  <w:r>
                    <w:rPr>
                      <w:rFonts w:hint="eastAsia"/>
                      <w:kern w:val="0"/>
                      <w:szCs w:val="21"/>
                    </w:rPr>
                    <w:t>公用工程</w:t>
                  </w:r>
                </w:p>
              </w:tc>
              <w:tc>
                <w:tcPr>
                  <w:tcW w:w="2007" w:type="dxa"/>
                  <w:tcBorders>
                    <w:top w:val="single" w:color="auto" w:sz="4" w:space="0"/>
                    <w:left w:val="single" w:color="auto" w:sz="4" w:space="0"/>
                  </w:tcBorders>
                  <w:vAlign w:val="center"/>
                </w:tcPr>
                <w:p>
                  <w:pPr>
                    <w:jc w:val="center"/>
                    <w:rPr>
                      <w:szCs w:val="21"/>
                    </w:rPr>
                  </w:pPr>
                  <w:r>
                    <w:rPr>
                      <w:rFonts w:hint="eastAsia"/>
                      <w:szCs w:val="21"/>
                    </w:rPr>
                    <w:t>供电</w:t>
                  </w:r>
                </w:p>
              </w:tc>
              <w:tc>
                <w:tcPr>
                  <w:tcW w:w="966" w:type="dxa"/>
                  <w:vAlign w:val="center"/>
                </w:tcPr>
                <w:p>
                  <w:pPr>
                    <w:widowControl/>
                    <w:spacing w:line="360" w:lineRule="auto"/>
                    <w:ind w:left="-17" w:leftChars="-8" w:firstLine="14" w:firstLineChars="7"/>
                    <w:jc w:val="center"/>
                    <w:rPr>
                      <w:kern w:val="0"/>
                      <w:szCs w:val="21"/>
                    </w:rPr>
                  </w:pPr>
                  <w:r>
                    <w:rPr>
                      <w:rFonts w:hint="eastAsia"/>
                      <w:kern w:val="0"/>
                      <w:szCs w:val="21"/>
                    </w:rPr>
                    <w:t>/</w:t>
                  </w:r>
                </w:p>
              </w:tc>
              <w:tc>
                <w:tcPr>
                  <w:tcW w:w="3487" w:type="dxa"/>
                  <w:gridSpan w:val="2"/>
                </w:tcPr>
                <w:p>
                  <w:pPr>
                    <w:widowControl/>
                    <w:spacing w:line="360" w:lineRule="auto"/>
                    <w:jc w:val="center"/>
                    <w:rPr>
                      <w:kern w:val="0"/>
                      <w:szCs w:val="21"/>
                    </w:rPr>
                  </w:pPr>
                  <w:r>
                    <w:rPr>
                      <w:rFonts w:hint="eastAsia"/>
                      <w:kern w:val="0"/>
                      <w:szCs w:val="21"/>
                    </w:rPr>
                    <w:t>项目用电为华容县万庾镇电网提供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continue"/>
                  <w:vAlign w:val="center"/>
                </w:tcPr>
                <w:p>
                  <w:pPr>
                    <w:widowControl/>
                    <w:spacing w:line="360" w:lineRule="auto"/>
                    <w:jc w:val="center"/>
                    <w:rPr>
                      <w:kern w:val="0"/>
                      <w:szCs w:val="21"/>
                    </w:rPr>
                  </w:pPr>
                </w:p>
              </w:tc>
              <w:tc>
                <w:tcPr>
                  <w:tcW w:w="1155" w:type="dxa"/>
                  <w:vMerge w:val="continue"/>
                  <w:tcBorders>
                    <w:right w:val="single" w:color="auto" w:sz="4" w:space="0"/>
                  </w:tcBorders>
                  <w:vAlign w:val="center"/>
                </w:tcPr>
                <w:p>
                  <w:pPr>
                    <w:jc w:val="center"/>
                    <w:rPr>
                      <w:kern w:val="0"/>
                      <w:szCs w:val="21"/>
                    </w:rPr>
                  </w:pPr>
                </w:p>
              </w:tc>
              <w:tc>
                <w:tcPr>
                  <w:tcW w:w="2007" w:type="dxa"/>
                  <w:tcBorders>
                    <w:top w:val="single" w:color="auto" w:sz="4" w:space="0"/>
                    <w:left w:val="single" w:color="auto" w:sz="4" w:space="0"/>
                  </w:tcBorders>
                  <w:vAlign w:val="center"/>
                </w:tcPr>
                <w:p>
                  <w:pPr>
                    <w:jc w:val="center"/>
                    <w:rPr>
                      <w:szCs w:val="21"/>
                    </w:rPr>
                  </w:pPr>
                  <w:r>
                    <w:rPr>
                      <w:rFonts w:hint="eastAsia"/>
                      <w:szCs w:val="21"/>
                    </w:rPr>
                    <w:t>供水</w:t>
                  </w:r>
                </w:p>
              </w:tc>
              <w:tc>
                <w:tcPr>
                  <w:tcW w:w="966" w:type="dxa"/>
                  <w:vAlign w:val="center"/>
                </w:tcPr>
                <w:p>
                  <w:pPr>
                    <w:widowControl/>
                    <w:spacing w:line="360" w:lineRule="auto"/>
                    <w:ind w:left="-17" w:leftChars="-8" w:firstLine="14" w:firstLineChars="7"/>
                    <w:jc w:val="center"/>
                    <w:rPr>
                      <w:kern w:val="0"/>
                      <w:szCs w:val="21"/>
                    </w:rPr>
                  </w:pPr>
                  <w:r>
                    <w:rPr>
                      <w:rFonts w:hint="eastAsia"/>
                      <w:kern w:val="0"/>
                      <w:szCs w:val="21"/>
                    </w:rPr>
                    <w:t>/</w:t>
                  </w:r>
                </w:p>
              </w:tc>
              <w:tc>
                <w:tcPr>
                  <w:tcW w:w="3487" w:type="dxa"/>
                  <w:gridSpan w:val="2"/>
                </w:tcPr>
                <w:p>
                  <w:pPr>
                    <w:widowControl/>
                    <w:spacing w:line="360" w:lineRule="auto"/>
                    <w:jc w:val="center"/>
                    <w:rPr>
                      <w:kern w:val="0"/>
                      <w:szCs w:val="21"/>
                    </w:rPr>
                  </w:pPr>
                  <w:r>
                    <w:rPr>
                      <w:rFonts w:hint="eastAsia"/>
                      <w:kern w:val="0"/>
                      <w:szCs w:val="21"/>
                    </w:rPr>
                    <w:t>项目生产用水及生活用水均为地下水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continue"/>
                  <w:vAlign w:val="center"/>
                </w:tcPr>
                <w:p>
                  <w:pPr>
                    <w:widowControl/>
                    <w:spacing w:line="360" w:lineRule="auto"/>
                    <w:jc w:val="center"/>
                    <w:rPr>
                      <w:kern w:val="0"/>
                      <w:szCs w:val="21"/>
                    </w:rPr>
                  </w:pPr>
                </w:p>
              </w:tc>
              <w:tc>
                <w:tcPr>
                  <w:tcW w:w="1155" w:type="dxa"/>
                  <w:vMerge w:val="continue"/>
                  <w:tcBorders>
                    <w:right w:val="single" w:color="auto" w:sz="4" w:space="0"/>
                  </w:tcBorders>
                  <w:vAlign w:val="center"/>
                </w:tcPr>
                <w:p>
                  <w:pPr>
                    <w:jc w:val="center"/>
                    <w:rPr>
                      <w:kern w:val="0"/>
                      <w:szCs w:val="21"/>
                    </w:rPr>
                  </w:pPr>
                </w:p>
              </w:tc>
              <w:tc>
                <w:tcPr>
                  <w:tcW w:w="2007" w:type="dxa"/>
                  <w:tcBorders>
                    <w:top w:val="single" w:color="auto" w:sz="4" w:space="0"/>
                    <w:left w:val="single" w:color="auto" w:sz="4" w:space="0"/>
                  </w:tcBorders>
                  <w:vAlign w:val="center"/>
                </w:tcPr>
                <w:p>
                  <w:pPr>
                    <w:jc w:val="center"/>
                    <w:rPr>
                      <w:szCs w:val="21"/>
                    </w:rPr>
                  </w:pPr>
                  <w:r>
                    <w:rPr>
                      <w:rFonts w:hint="eastAsia"/>
                      <w:szCs w:val="21"/>
                    </w:rPr>
                    <w:t>排水</w:t>
                  </w:r>
                </w:p>
              </w:tc>
              <w:tc>
                <w:tcPr>
                  <w:tcW w:w="966" w:type="dxa"/>
                  <w:vAlign w:val="center"/>
                </w:tcPr>
                <w:p>
                  <w:pPr>
                    <w:widowControl/>
                    <w:spacing w:line="360" w:lineRule="auto"/>
                    <w:ind w:left="-17" w:leftChars="-8" w:firstLine="14" w:firstLineChars="7"/>
                    <w:jc w:val="center"/>
                    <w:rPr>
                      <w:kern w:val="0"/>
                      <w:szCs w:val="21"/>
                    </w:rPr>
                  </w:pPr>
                  <w:r>
                    <w:rPr>
                      <w:rFonts w:hint="eastAsia"/>
                      <w:kern w:val="0"/>
                      <w:szCs w:val="21"/>
                    </w:rPr>
                    <w:t>/</w:t>
                  </w:r>
                </w:p>
              </w:tc>
              <w:tc>
                <w:tcPr>
                  <w:tcW w:w="3487" w:type="dxa"/>
                  <w:gridSpan w:val="2"/>
                </w:tcPr>
                <w:p>
                  <w:pPr>
                    <w:widowControl/>
                    <w:spacing w:line="360" w:lineRule="auto"/>
                    <w:jc w:val="center"/>
                    <w:rPr>
                      <w:kern w:val="0"/>
                      <w:szCs w:val="21"/>
                    </w:rPr>
                  </w:pPr>
                  <w:r>
                    <w:rPr>
                      <w:rFonts w:hint="eastAsia"/>
                      <w:kern w:val="0"/>
                      <w:szCs w:val="21"/>
                    </w:rPr>
                    <w:t>项目排水为雨污分流制，初期雨水经沉淀池沉淀后回用于生产；生产废水经沉淀后循环利用，不外排；生活污水经隔油池+化粪池处理后用于周围农田及植被绿化施肥，不外排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restart"/>
                  <w:vAlign w:val="center"/>
                </w:tcPr>
                <w:p>
                  <w:pPr>
                    <w:widowControl/>
                    <w:spacing w:line="360" w:lineRule="auto"/>
                    <w:jc w:val="center"/>
                    <w:rPr>
                      <w:kern w:val="0"/>
                      <w:szCs w:val="21"/>
                    </w:rPr>
                  </w:pPr>
                  <w:r>
                    <w:rPr>
                      <w:rFonts w:hint="eastAsia"/>
                      <w:kern w:val="0"/>
                      <w:szCs w:val="21"/>
                    </w:rPr>
                    <w:t>3</w:t>
                  </w:r>
                </w:p>
              </w:tc>
              <w:tc>
                <w:tcPr>
                  <w:tcW w:w="1155" w:type="dxa"/>
                  <w:vMerge w:val="restart"/>
                  <w:vAlign w:val="center"/>
                </w:tcPr>
                <w:p>
                  <w:pPr>
                    <w:widowControl/>
                    <w:jc w:val="center"/>
                    <w:rPr>
                      <w:kern w:val="0"/>
                      <w:szCs w:val="21"/>
                    </w:rPr>
                  </w:pPr>
                  <w:r>
                    <w:rPr>
                      <w:rFonts w:hint="eastAsia"/>
                      <w:kern w:val="0"/>
                      <w:szCs w:val="21"/>
                    </w:rPr>
                    <w:t>环保工程</w:t>
                  </w:r>
                </w:p>
              </w:tc>
              <w:tc>
                <w:tcPr>
                  <w:tcW w:w="2007" w:type="dxa"/>
                  <w:vAlign w:val="center"/>
                </w:tcPr>
                <w:p>
                  <w:pPr>
                    <w:widowControl/>
                    <w:spacing w:line="360" w:lineRule="auto"/>
                    <w:jc w:val="center"/>
                    <w:rPr>
                      <w:color w:val="auto"/>
                      <w:kern w:val="0"/>
                      <w:szCs w:val="21"/>
                    </w:rPr>
                  </w:pPr>
                  <w:r>
                    <w:rPr>
                      <w:rFonts w:hint="eastAsia"/>
                      <w:color w:val="auto"/>
                      <w:kern w:val="0"/>
                      <w:szCs w:val="21"/>
                    </w:rPr>
                    <w:t>生产废水</w:t>
                  </w:r>
                </w:p>
              </w:tc>
              <w:tc>
                <w:tcPr>
                  <w:tcW w:w="966" w:type="dxa"/>
                  <w:vAlign w:val="center"/>
                </w:tcPr>
                <w:p>
                  <w:pPr>
                    <w:widowControl/>
                    <w:spacing w:line="360" w:lineRule="auto"/>
                    <w:ind w:left="-17" w:leftChars="-8" w:firstLine="14" w:firstLineChars="7"/>
                    <w:jc w:val="center"/>
                    <w:rPr>
                      <w:color w:val="auto"/>
                      <w:kern w:val="0"/>
                      <w:szCs w:val="21"/>
                    </w:rPr>
                  </w:pPr>
                  <w:r>
                    <w:rPr>
                      <w:rFonts w:hint="eastAsia"/>
                      <w:color w:val="auto"/>
                      <w:kern w:val="0"/>
                      <w:szCs w:val="21"/>
                    </w:rPr>
                    <w:t>/</w:t>
                  </w:r>
                </w:p>
              </w:tc>
              <w:tc>
                <w:tcPr>
                  <w:tcW w:w="3487" w:type="dxa"/>
                  <w:gridSpan w:val="2"/>
                  <w:vAlign w:val="center"/>
                </w:tcPr>
                <w:p>
                  <w:pPr>
                    <w:widowControl/>
                    <w:spacing w:line="360" w:lineRule="auto"/>
                    <w:jc w:val="center"/>
                    <w:rPr>
                      <w:color w:val="auto"/>
                      <w:kern w:val="0"/>
                      <w:szCs w:val="21"/>
                    </w:rPr>
                  </w:pPr>
                  <w:r>
                    <w:rPr>
                      <w:rFonts w:hint="eastAsia"/>
                      <w:color w:val="auto"/>
                      <w:szCs w:val="21"/>
                    </w:rPr>
                    <w:t>1个</w:t>
                  </w:r>
                  <w:r>
                    <w:rPr>
                      <w:rFonts w:hint="eastAsia"/>
                      <w:color w:val="auto"/>
                      <w:szCs w:val="21"/>
                      <w:lang w:eastAsia="zh-CN"/>
                    </w:rPr>
                    <w:t>清水池</w:t>
                  </w:r>
                  <w:r>
                    <w:rPr>
                      <w:rFonts w:hint="eastAsia"/>
                      <w:color w:val="auto"/>
                      <w:szCs w:val="21"/>
                    </w:rPr>
                    <w:t>容积</w:t>
                  </w:r>
                  <w:r>
                    <w:rPr>
                      <w:rFonts w:hint="eastAsia"/>
                      <w:color w:val="auto"/>
                      <w:szCs w:val="21"/>
                      <w:lang w:val="en-US" w:eastAsia="zh-CN"/>
                    </w:rPr>
                    <w:t>240</w:t>
                  </w:r>
                  <w:r>
                    <w:rPr>
                      <w:rFonts w:hint="eastAsia"/>
                      <w:color w:val="auto"/>
                      <w:szCs w:val="21"/>
                    </w:rPr>
                    <w:t>m</w:t>
                  </w:r>
                  <w:r>
                    <w:rPr>
                      <w:rFonts w:hint="eastAsia"/>
                      <w:color w:val="auto"/>
                      <w:szCs w:val="21"/>
                      <w:vertAlign w:val="superscript"/>
                    </w:rPr>
                    <w:t>3</w:t>
                  </w:r>
                  <w:r>
                    <w:rPr>
                      <w:rFonts w:hint="eastAsia"/>
                      <w:color w:val="auto"/>
                      <w:szCs w:val="21"/>
                    </w:rPr>
                    <w:t>；</w:t>
                  </w:r>
                  <w:r>
                    <w:rPr>
                      <w:rFonts w:hint="eastAsia"/>
                      <w:color w:val="auto"/>
                      <w:szCs w:val="21"/>
                      <w:lang w:val="en-US" w:eastAsia="zh-CN"/>
                    </w:rPr>
                    <w:t>2</w:t>
                  </w:r>
                  <w:r>
                    <w:rPr>
                      <w:rFonts w:hint="eastAsia"/>
                      <w:color w:val="auto"/>
                      <w:szCs w:val="21"/>
                    </w:rPr>
                    <w:t>个</w:t>
                  </w:r>
                  <w:r>
                    <w:rPr>
                      <w:rFonts w:hint="eastAsia"/>
                      <w:color w:val="auto"/>
                      <w:szCs w:val="21"/>
                      <w:lang w:eastAsia="zh-CN"/>
                    </w:rPr>
                    <w:t>污水</w:t>
                  </w:r>
                  <w:r>
                    <w:rPr>
                      <w:rFonts w:hint="eastAsia"/>
                      <w:color w:val="auto"/>
                      <w:szCs w:val="21"/>
                    </w:rPr>
                    <w:t>循环</w:t>
                  </w:r>
                  <w:r>
                    <w:rPr>
                      <w:rFonts w:hint="eastAsia"/>
                      <w:color w:val="auto"/>
                      <w:szCs w:val="21"/>
                      <w:lang w:eastAsia="zh-CN"/>
                    </w:rPr>
                    <w:t>塔一个</w:t>
                  </w:r>
                  <w:r>
                    <w:rPr>
                      <w:rFonts w:hint="eastAsia"/>
                      <w:color w:val="auto"/>
                      <w:szCs w:val="21"/>
                      <w:lang w:val="en-US" w:eastAsia="zh-CN"/>
                    </w:rPr>
                    <w:t>30t，一个22t，</w:t>
                  </w:r>
                  <w:r>
                    <w:rPr>
                      <w:rFonts w:hint="eastAsia"/>
                      <w:color w:val="auto"/>
                      <w:szCs w:val="21"/>
                    </w:rPr>
                    <w:t>均防渗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continue"/>
                  <w:vAlign w:val="center"/>
                </w:tcPr>
                <w:p>
                  <w:pPr>
                    <w:widowControl/>
                    <w:spacing w:line="360" w:lineRule="auto"/>
                    <w:jc w:val="center"/>
                    <w:rPr>
                      <w:color w:val="FF0000"/>
                      <w:kern w:val="0"/>
                      <w:szCs w:val="21"/>
                    </w:rPr>
                  </w:pPr>
                </w:p>
              </w:tc>
              <w:tc>
                <w:tcPr>
                  <w:tcW w:w="1155" w:type="dxa"/>
                  <w:vMerge w:val="continue"/>
                  <w:vAlign w:val="center"/>
                </w:tcPr>
                <w:p>
                  <w:pPr>
                    <w:widowControl/>
                    <w:spacing w:line="360" w:lineRule="auto"/>
                    <w:jc w:val="center"/>
                    <w:rPr>
                      <w:color w:val="FF0000"/>
                      <w:kern w:val="0"/>
                      <w:szCs w:val="21"/>
                    </w:rPr>
                  </w:pPr>
                </w:p>
              </w:tc>
              <w:tc>
                <w:tcPr>
                  <w:tcW w:w="2007" w:type="dxa"/>
                  <w:vAlign w:val="center"/>
                </w:tcPr>
                <w:p>
                  <w:pPr>
                    <w:widowControl/>
                    <w:jc w:val="center"/>
                    <w:rPr>
                      <w:kern w:val="0"/>
                      <w:szCs w:val="21"/>
                    </w:rPr>
                  </w:pPr>
                  <w:r>
                    <w:rPr>
                      <w:rFonts w:hint="eastAsia"/>
                      <w:kern w:val="0"/>
                      <w:szCs w:val="21"/>
                    </w:rPr>
                    <w:t>生活废水</w:t>
                  </w:r>
                </w:p>
              </w:tc>
              <w:tc>
                <w:tcPr>
                  <w:tcW w:w="966" w:type="dxa"/>
                  <w:vAlign w:val="center"/>
                </w:tcPr>
                <w:p>
                  <w:pPr>
                    <w:widowControl/>
                    <w:spacing w:line="360" w:lineRule="auto"/>
                    <w:ind w:left="-17" w:leftChars="-8" w:firstLine="14" w:firstLineChars="7"/>
                    <w:jc w:val="center"/>
                    <w:rPr>
                      <w:kern w:val="0"/>
                      <w:szCs w:val="21"/>
                    </w:rPr>
                  </w:pPr>
                  <w:r>
                    <w:rPr>
                      <w:rFonts w:hint="eastAsia"/>
                      <w:kern w:val="0"/>
                      <w:szCs w:val="21"/>
                    </w:rPr>
                    <w:t>/</w:t>
                  </w:r>
                </w:p>
              </w:tc>
              <w:tc>
                <w:tcPr>
                  <w:tcW w:w="3487" w:type="dxa"/>
                  <w:gridSpan w:val="2"/>
                  <w:vAlign w:val="center"/>
                </w:tcPr>
                <w:p>
                  <w:pPr>
                    <w:widowControl/>
                    <w:spacing w:line="360" w:lineRule="auto"/>
                    <w:jc w:val="center"/>
                    <w:rPr>
                      <w:kern w:val="0"/>
                      <w:szCs w:val="21"/>
                    </w:rPr>
                  </w:pPr>
                  <w:r>
                    <w:rPr>
                      <w:rFonts w:hint="eastAsia"/>
                      <w:kern w:val="0"/>
                      <w:szCs w:val="21"/>
                    </w:rPr>
                    <w:t>隔油池+化粪池处理后用于周边农田施肥，不外排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continue"/>
                  <w:vAlign w:val="center"/>
                </w:tcPr>
                <w:p>
                  <w:pPr>
                    <w:widowControl/>
                    <w:spacing w:line="360" w:lineRule="auto"/>
                    <w:jc w:val="center"/>
                    <w:rPr>
                      <w:color w:val="FF0000"/>
                      <w:kern w:val="0"/>
                      <w:szCs w:val="21"/>
                    </w:rPr>
                  </w:pPr>
                </w:p>
              </w:tc>
              <w:tc>
                <w:tcPr>
                  <w:tcW w:w="1155" w:type="dxa"/>
                  <w:vMerge w:val="continue"/>
                  <w:vAlign w:val="center"/>
                </w:tcPr>
                <w:p>
                  <w:pPr>
                    <w:widowControl/>
                    <w:spacing w:line="360" w:lineRule="auto"/>
                    <w:jc w:val="center"/>
                    <w:rPr>
                      <w:color w:val="FF0000"/>
                      <w:kern w:val="0"/>
                      <w:szCs w:val="21"/>
                    </w:rPr>
                  </w:pPr>
                </w:p>
              </w:tc>
              <w:tc>
                <w:tcPr>
                  <w:tcW w:w="2007" w:type="dxa"/>
                  <w:vAlign w:val="center"/>
                </w:tcPr>
                <w:p>
                  <w:pPr>
                    <w:widowControl/>
                    <w:jc w:val="center"/>
                    <w:rPr>
                      <w:kern w:val="0"/>
                      <w:szCs w:val="21"/>
                    </w:rPr>
                  </w:pPr>
                  <w:r>
                    <w:rPr>
                      <w:rFonts w:hint="eastAsia"/>
                      <w:kern w:val="0"/>
                      <w:szCs w:val="21"/>
                    </w:rPr>
                    <w:t>破碎、筛分粉尘</w:t>
                  </w:r>
                </w:p>
              </w:tc>
              <w:tc>
                <w:tcPr>
                  <w:tcW w:w="966" w:type="dxa"/>
                  <w:vAlign w:val="center"/>
                </w:tcPr>
                <w:p>
                  <w:pPr>
                    <w:widowControl/>
                    <w:spacing w:line="360" w:lineRule="auto"/>
                    <w:ind w:left="-17" w:leftChars="-8" w:firstLine="14" w:firstLineChars="7"/>
                    <w:jc w:val="center"/>
                    <w:rPr>
                      <w:kern w:val="0"/>
                      <w:szCs w:val="21"/>
                    </w:rPr>
                  </w:pPr>
                  <w:r>
                    <w:rPr>
                      <w:rFonts w:hint="eastAsia"/>
                      <w:kern w:val="0"/>
                      <w:szCs w:val="21"/>
                    </w:rPr>
                    <w:t>/</w:t>
                  </w:r>
                </w:p>
              </w:tc>
              <w:tc>
                <w:tcPr>
                  <w:tcW w:w="3487" w:type="dxa"/>
                  <w:gridSpan w:val="2"/>
                  <w:vAlign w:val="center"/>
                </w:tcPr>
                <w:p>
                  <w:pPr>
                    <w:widowControl/>
                    <w:spacing w:line="360" w:lineRule="auto"/>
                    <w:jc w:val="center"/>
                    <w:rPr>
                      <w:kern w:val="0"/>
                      <w:szCs w:val="21"/>
                    </w:rPr>
                  </w:pPr>
                  <w:r>
                    <w:rPr>
                      <w:rFonts w:hint="eastAsia"/>
                      <w:kern w:val="0"/>
                      <w:szCs w:val="21"/>
                    </w:rPr>
                    <w:t>厂房全封闭，采用湿法破碎</w:t>
                  </w:r>
                  <w:r>
                    <w:rPr>
                      <w:rFonts w:hint="eastAsia"/>
                      <w:kern w:val="0"/>
                      <w:szCs w:val="21"/>
                      <w:lang w:eastAsia="zh-CN"/>
                    </w:rPr>
                    <w:t>、湿法筛分</w:t>
                  </w:r>
                  <w:r>
                    <w:rPr>
                      <w:rFonts w:hint="eastAsia"/>
                      <w:kern w:val="0"/>
                      <w:szCs w:val="21"/>
                    </w:rPr>
                    <w:t>+喷淋降尘装置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continue"/>
                  <w:vAlign w:val="center"/>
                </w:tcPr>
                <w:p>
                  <w:pPr>
                    <w:widowControl/>
                    <w:spacing w:line="360" w:lineRule="auto"/>
                    <w:jc w:val="center"/>
                    <w:rPr>
                      <w:color w:val="FF0000"/>
                      <w:kern w:val="0"/>
                      <w:szCs w:val="21"/>
                    </w:rPr>
                  </w:pPr>
                </w:p>
              </w:tc>
              <w:tc>
                <w:tcPr>
                  <w:tcW w:w="1155" w:type="dxa"/>
                  <w:vMerge w:val="continue"/>
                  <w:vAlign w:val="center"/>
                </w:tcPr>
                <w:p>
                  <w:pPr>
                    <w:widowControl/>
                    <w:spacing w:line="360" w:lineRule="auto"/>
                    <w:jc w:val="center"/>
                    <w:rPr>
                      <w:color w:val="FF0000"/>
                      <w:kern w:val="0"/>
                      <w:szCs w:val="21"/>
                    </w:rPr>
                  </w:pPr>
                </w:p>
              </w:tc>
              <w:tc>
                <w:tcPr>
                  <w:tcW w:w="2007" w:type="dxa"/>
                  <w:vAlign w:val="center"/>
                </w:tcPr>
                <w:p>
                  <w:pPr>
                    <w:widowControl/>
                    <w:jc w:val="center"/>
                    <w:rPr>
                      <w:kern w:val="0"/>
                      <w:szCs w:val="21"/>
                    </w:rPr>
                  </w:pPr>
                  <w:r>
                    <w:rPr>
                      <w:rFonts w:hint="eastAsia"/>
                      <w:kern w:val="0"/>
                      <w:szCs w:val="21"/>
                    </w:rPr>
                    <w:t xml:space="preserve">食堂油烟： </w:t>
                  </w:r>
                </w:p>
              </w:tc>
              <w:tc>
                <w:tcPr>
                  <w:tcW w:w="966" w:type="dxa"/>
                  <w:vAlign w:val="center"/>
                </w:tcPr>
                <w:p>
                  <w:pPr>
                    <w:rPr>
                      <w:kern w:val="0"/>
                      <w:szCs w:val="21"/>
                    </w:rPr>
                  </w:pPr>
                  <w:r>
                    <w:rPr>
                      <w:rFonts w:hint="eastAsia"/>
                      <w:kern w:val="0"/>
                      <w:szCs w:val="21"/>
                    </w:rPr>
                    <w:t>/</w:t>
                  </w:r>
                </w:p>
              </w:tc>
              <w:tc>
                <w:tcPr>
                  <w:tcW w:w="3487" w:type="dxa"/>
                  <w:gridSpan w:val="2"/>
                  <w:vAlign w:val="center"/>
                </w:tcPr>
                <w:p>
                  <w:pPr>
                    <w:widowControl/>
                    <w:spacing w:line="360" w:lineRule="auto"/>
                    <w:jc w:val="center"/>
                    <w:rPr>
                      <w:kern w:val="0"/>
                      <w:szCs w:val="21"/>
                    </w:rPr>
                  </w:pPr>
                  <w:r>
                    <w:rPr>
                      <w:rFonts w:hint="eastAsia"/>
                      <w:szCs w:val="21"/>
                    </w:rPr>
                    <w:t>1套</w:t>
                  </w:r>
                  <w:r>
                    <w:rPr>
                      <w:rFonts w:hint="eastAsia"/>
                      <w:kern w:val="0"/>
                      <w:szCs w:val="21"/>
                    </w:rPr>
                    <w:t>油烟净化器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731" w:type="dxa"/>
                  <w:vMerge w:val="continue"/>
                  <w:vAlign w:val="center"/>
                </w:tcPr>
                <w:p>
                  <w:pPr>
                    <w:widowControl/>
                    <w:spacing w:line="360" w:lineRule="auto"/>
                    <w:jc w:val="center"/>
                    <w:rPr>
                      <w:color w:val="FF0000"/>
                      <w:kern w:val="0"/>
                      <w:szCs w:val="21"/>
                    </w:rPr>
                  </w:pPr>
                </w:p>
              </w:tc>
              <w:tc>
                <w:tcPr>
                  <w:tcW w:w="1155" w:type="dxa"/>
                  <w:vMerge w:val="continue"/>
                  <w:vAlign w:val="center"/>
                </w:tcPr>
                <w:p>
                  <w:pPr>
                    <w:widowControl/>
                    <w:spacing w:line="360" w:lineRule="auto"/>
                    <w:jc w:val="center"/>
                    <w:rPr>
                      <w:color w:val="FF0000"/>
                      <w:kern w:val="0"/>
                      <w:szCs w:val="21"/>
                    </w:rPr>
                  </w:pPr>
                </w:p>
              </w:tc>
              <w:tc>
                <w:tcPr>
                  <w:tcW w:w="2007" w:type="dxa"/>
                  <w:vAlign w:val="center"/>
                </w:tcPr>
                <w:p>
                  <w:pPr>
                    <w:widowControl/>
                    <w:jc w:val="center"/>
                    <w:rPr>
                      <w:kern w:val="0"/>
                      <w:szCs w:val="21"/>
                    </w:rPr>
                  </w:pPr>
                  <w:r>
                    <w:rPr>
                      <w:rFonts w:hint="eastAsia"/>
                      <w:kern w:val="0"/>
                      <w:szCs w:val="21"/>
                    </w:rPr>
                    <w:t>污泥</w:t>
                  </w:r>
                </w:p>
              </w:tc>
              <w:tc>
                <w:tcPr>
                  <w:tcW w:w="966" w:type="dxa"/>
                  <w:vAlign w:val="center"/>
                </w:tcPr>
                <w:p>
                  <w:pPr>
                    <w:rPr>
                      <w:kern w:val="0"/>
                      <w:szCs w:val="21"/>
                    </w:rPr>
                  </w:pPr>
                  <w:r>
                    <w:rPr>
                      <w:rFonts w:hint="eastAsia"/>
                      <w:kern w:val="0"/>
                      <w:szCs w:val="21"/>
                    </w:rPr>
                    <w:t>m</w:t>
                  </w:r>
                  <w:r>
                    <w:rPr>
                      <w:rFonts w:hint="eastAsia"/>
                      <w:kern w:val="0"/>
                      <w:szCs w:val="21"/>
                      <w:vertAlign w:val="superscript"/>
                    </w:rPr>
                    <w:t>2</w:t>
                  </w:r>
                </w:p>
              </w:tc>
              <w:tc>
                <w:tcPr>
                  <w:tcW w:w="3487" w:type="dxa"/>
                  <w:gridSpan w:val="2"/>
                  <w:vAlign w:val="center"/>
                </w:tcPr>
                <w:p>
                  <w:pPr>
                    <w:widowControl/>
                    <w:spacing w:line="360" w:lineRule="auto"/>
                    <w:jc w:val="center"/>
                    <w:rPr>
                      <w:szCs w:val="21"/>
                    </w:rPr>
                  </w:pPr>
                  <w:r>
                    <w:rPr>
                      <w:rFonts w:hint="eastAsia"/>
                      <w:kern w:val="0"/>
                      <w:szCs w:val="21"/>
                    </w:rPr>
                    <w:t>污泥暂存场所（100m</w:t>
                  </w:r>
                  <w:r>
                    <w:rPr>
                      <w:rFonts w:hint="eastAsia"/>
                      <w:kern w:val="0"/>
                      <w:szCs w:val="21"/>
                      <w:vertAlign w:val="superscript"/>
                    </w:rPr>
                    <w:t>2</w:t>
                  </w:r>
                  <w:r>
                    <w:rPr>
                      <w:rFonts w:hint="eastAsia"/>
                      <w:kern w:val="0"/>
                      <w:szCs w:val="21"/>
                    </w:rPr>
                    <w:t>），</w:t>
                  </w:r>
                  <w:r>
                    <w:rPr>
                      <w:rFonts w:hint="eastAsia"/>
                      <w:szCs w:val="21"/>
                    </w:rPr>
                    <w:t>四周设排水沟，防渗</w:t>
                  </w:r>
                </w:p>
              </w:tc>
            </w:tr>
          </w:tbl>
          <w:p>
            <w:pPr>
              <w:spacing w:line="360" w:lineRule="auto"/>
              <w:ind w:firstLine="480" w:firstLineChars="200"/>
              <w:rPr>
                <w:rFonts w:hint="eastAsia" w:eastAsia="宋体"/>
                <w:sz w:val="24"/>
                <w:lang w:eastAsia="zh-CN"/>
              </w:rPr>
            </w:pPr>
            <w:r>
              <w:rPr>
                <w:rFonts w:hint="eastAsia"/>
                <w:sz w:val="24"/>
                <w:lang w:eastAsia="zh-CN"/>
              </w:rPr>
              <w:t>备注：本项目破碎和筛分均采用湿法作业。</w:t>
            </w:r>
          </w:p>
          <w:p>
            <w:pPr>
              <w:spacing w:line="360" w:lineRule="auto"/>
              <w:ind w:firstLine="480" w:firstLineChars="200"/>
              <w:rPr>
                <w:rFonts w:hint="default" w:eastAsia="宋体"/>
                <w:sz w:val="24"/>
                <w:lang w:val="en-US" w:eastAsia="zh-CN"/>
              </w:rPr>
            </w:pPr>
            <w:r>
              <w:rPr>
                <w:rFonts w:hint="eastAsia"/>
                <w:sz w:val="24"/>
              </w:rPr>
              <w:t>本项目主要原料为鹅卵石等；项目主要产品及方案见下表1-</w:t>
            </w:r>
            <w:r>
              <w:rPr>
                <w:rFonts w:hint="eastAsia"/>
                <w:sz w:val="24"/>
                <w:lang w:val="en-US" w:eastAsia="zh-CN"/>
              </w:rPr>
              <w:t>7。</w:t>
            </w:r>
          </w:p>
          <w:p>
            <w:pPr>
              <w:spacing w:line="360" w:lineRule="auto"/>
              <w:jc w:val="center"/>
              <w:rPr>
                <w:sz w:val="24"/>
              </w:rPr>
            </w:pPr>
            <w:r>
              <w:rPr>
                <w:rFonts w:hint="eastAsia"/>
                <w:b/>
                <w:szCs w:val="21"/>
              </w:rPr>
              <w:t>表1-</w:t>
            </w:r>
            <w:r>
              <w:rPr>
                <w:rFonts w:hint="eastAsia"/>
                <w:b/>
                <w:szCs w:val="21"/>
                <w:lang w:val="en-US" w:eastAsia="zh-CN"/>
              </w:rPr>
              <w:t>7</w:t>
            </w:r>
            <w:r>
              <w:rPr>
                <w:rFonts w:hint="eastAsia"/>
                <w:b/>
                <w:szCs w:val="21"/>
              </w:rPr>
              <w:t xml:space="preserve">  项目主要产品及方案一览表</w:t>
            </w:r>
          </w:p>
          <w:tbl>
            <w:tblPr>
              <w:tblStyle w:val="28"/>
              <w:tblW w:w="82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4392"/>
              <w:gridCol w:w="1367"/>
              <w:gridCol w:w="1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75" w:type="dxa"/>
                  <w:vAlign w:val="center"/>
                </w:tcPr>
                <w:p>
                  <w:pPr>
                    <w:spacing w:line="360" w:lineRule="auto"/>
                    <w:jc w:val="center"/>
                    <w:rPr>
                      <w:szCs w:val="21"/>
                    </w:rPr>
                  </w:pPr>
                  <w:r>
                    <w:rPr>
                      <w:rFonts w:hint="eastAsia"/>
                      <w:szCs w:val="21"/>
                    </w:rPr>
                    <w:t>序号</w:t>
                  </w:r>
                </w:p>
              </w:tc>
              <w:tc>
                <w:tcPr>
                  <w:tcW w:w="4392" w:type="dxa"/>
                  <w:vAlign w:val="center"/>
                </w:tcPr>
                <w:p>
                  <w:pPr>
                    <w:spacing w:line="360" w:lineRule="auto"/>
                    <w:jc w:val="center"/>
                    <w:rPr>
                      <w:szCs w:val="21"/>
                    </w:rPr>
                  </w:pPr>
                  <w:r>
                    <w:rPr>
                      <w:rFonts w:hint="eastAsia"/>
                      <w:szCs w:val="21"/>
                    </w:rPr>
                    <w:t>主要产品及方案</w:t>
                  </w:r>
                </w:p>
              </w:tc>
              <w:tc>
                <w:tcPr>
                  <w:tcW w:w="2793" w:type="dxa"/>
                  <w:gridSpan w:val="2"/>
                  <w:vAlign w:val="center"/>
                </w:tcPr>
                <w:p>
                  <w:pPr>
                    <w:spacing w:line="360" w:lineRule="auto"/>
                    <w:jc w:val="center"/>
                    <w:rPr>
                      <w:szCs w:val="21"/>
                    </w:rPr>
                  </w:pPr>
                  <w:r>
                    <w:rPr>
                      <w:rFonts w:hint="eastAsia"/>
                      <w:szCs w:val="21"/>
                    </w:rPr>
                    <w:t>数量（万吨/年）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75" w:type="dxa"/>
                  <w:vAlign w:val="center"/>
                </w:tcPr>
                <w:p>
                  <w:pPr>
                    <w:spacing w:line="360" w:lineRule="auto"/>
                    <w:jc w:val="center"/>
                    <w:rPr>
                      <w:szCs w:val="21"/>
                    </w:rPr>
                  </w:pPr>
                  <w:r>
                    <w:rPr>
                      <w:rFonts w:hint="eastAsia"/>
                      <w:szCs w:val="21"/>
                    </w:rPr>
                    <w:t>1</w:t>
                  </w:r>
                </w:p>
              </w:tc>
              <w:tc>
                <w:tcPr>
                  <w:tcW w:w="4392" w:type="dxa"/>
                  <w:vAlign w:val="center"/>
                </w:tcPr>
                <w:p>
                  <w:pPr>
                    <w:spacing w:line="360" w:lineRule="auto"/>
                    <w:jc w:val="center"/>
                    <w:rPr>
                      <w:szCs w:val="21"/>
                    </w:rPr>
                  </w:pPr>
                  <w:r>
                    <w:rPr>
                      <w:rFonts w:hint="eastAsia"/>
                      <w:szCs w:val="21"/>
                    </w:rPr>
                    <w:t>0.5mm以上粗砂</w:t>
                  </w:r>
                </w:p>
              </w:tc>
              <w:tc>
                <w:tcPr>
                  <w:tcW w:w="1367" w:type="dxa"/>
                  <w:vAlign w:val="center"/>
                </w:tcPr>
                <w:p>
                  <w:pPr>
                    <w:spacing w:line="360" w:lineRule="auto"/>
                    <w:jc w:val="center"/>
                    <w:rPr>
                      <w:szCs w:val="21"/>
                    </w:rPr>
                  </w:pPr>
                  <w:r>
                    <w:rPr>
                      <w:rFonts w:hint="eastAsia"/>
                      <w:szCs w:val="21"/>
                    </w:rPr>
                    <w:t>15</w:t>
                  </w:r>
                </w:p>
              </w:tc>
              <w:tc>
                <w:tcPr>
                  <w:tcW w:w="1426" w:type="dxa"/>
                  <w:vMerge w:val="restart"/>
                  <w:vAlign w:val="center"/>
                </w:tcPr>
                <w:p>
                  <w:pPr>
                    <w:spacing w:line="360" w:lineRule="auto"/>
                    <w:jc w:val="center"/>
                    <w:rPr>
                      <w:szCs w:val="21"/>
                    </w:rPr>
                  </w:pPr>
                  <w:r>
                    <w:rPr>
                      <w:rFonts w:hint="eastAsia"/>
                      <w:szCs w:val="21"/>
                    </w:rPr>
                    <w:t>合计：60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75" w:type="dxa"/>
                  <w:vAlign w:val="center"/>
                </w:tcPr>
                <w:p>
                  <w:pPr>
                    <w:spacing w:line="360" w:lineRule="auto"/>
                    <w:jc w:val="center"/>
                    <w:rPr>
                      <w:szCs w:val="21"/>
                    </w:rPr>
                  </w:pPr>
                  <w:r>
                    <w:rPr>
                      <w:rFonts w:hint="eastAsia"/>
                      <w:szCs w:val="21"/>
                    </w:rPr>
                    <w:t>2</w:t>
                  </w:r>
                </w:p>
              </w:tc>
              <w:tc>
                <w:tcPr>
                  <w:tcW w:w="4392" w:type="dxa"/>
                  <w:vAlign w:val="center"/>
                </w:tcPr>
                <w:p>
                  <w:pPr>
                    <w:spacing w:line="360" w:lineRule="auto"/>
                    <w:jc w:val="center"/>
                    <w:rPr>
                      <w:szCs w:val="21"/>
                    </w:rPr>
                  </w:pPr>
                  <w:r>
                    <w:rPr>
                      <w:rFonts w:hint="eastAsia"/>
                      <w:szCs w:val="21"/>
                    </w:rPr>
                    <w:t>0.6~0.35mm中砂</w:t>
                  </w:r>
                </w:p>
              </w:tc>
              <w:tc>
                <w:tcPr>
                  <w:tcW w:w="1367" w:type="dxa"/>
                  <w:vAlign w:val="center"/>
                </w:tcPr>
                <w:p>
                  <w:pPr>
                    <w:spacing w:line="360" w:lineRule="auto"/>
                    <w:jc w:val="center"/>
                    <w:rPr>
                      <w:szCs w:val="21"/>
                    </w:rPr>
                  </w:pPr>
                  <w:r>
                    <w:rPr>
                      <w:rFonts w:hint="eastAsia"/>
                      <w:szCs w:val="21"/>
                    </w:rPr>
                    <w:t>35</w:t>
                  </w:r>
                </w:p>
              </w:tc>
              <w:tc>
                <w:tcPr>
                  <w:tcW w:w="1426" w:type="dxa"/>
                  <w:vMerge w:val="continue"/>
                  <w:vAlign w:val="center"/>
                </w:tcPr>
                <w:p>
                  <w:pPr>
                    <w:spacing w:line="360"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75" w:type="dxa"/>
                  <w:vAlign w:val="center"/>
                </w:tcPr>
                <w:p>
                  <w:pPr>
                    <w:spacing w:line="360" w:lineRule="auto"/>
                    <w:jc w:val="center"/>
                    <w:rPr>
                      <w:szCs w:val="21"/>
                    </w:rPr>
                  </w:pPr>
                  <w:r>
                    <w:rPr>
                      <w:rFonts w:hint="eastAsia"/>
                      <w:szCs w:val="21"/>
                    </w:rPr>
                    <w:t>3</w:t>
                  </w:r>
                </w:p>
              </w:tc>
              <w:tc>
                <w:tcPr>
                  <w:tcW w:w="4392" w:type="dxa"/>
                  <w:vAlign w:val="center"/>
                </w:tcPr>
                <w:p>
                  <w:pPr>
                    <w:spacing w:line="360" w:lineRule="auto"/>
                    <w:jc w:val="center"/>
                    <w:rPr>
                      <w:szCs w:val="21"/>
                    </w:rPr>
                  </w:pPr>
                  <w:r>
                    <w:rPr>
                      <w:rFonts w:hint="eastAsia"/>
                      <w:szCs w:val="21"/>
                    </w:rPr>
                    <w:t>0.35~0.25mm细砂</w:t>
                  </w:r>
                </w:p>
              </w:tc>
              <w:tc>
                <w:tcPr>
                  <w:tcW w:w="1367" w:type="dxa"/>
                  <w:vAlign w:val="center"/>
                </w:tcPr>
                <w:p>
                  <w:pPr>
                    <w:spacing w:line="360" w:lineRule="auto"/>
                    <w:jc w:val="center"/>
                    <w:rPr>
                      <w:szCs w:val="21"/>
                    </w:rPr>
                  </w:pPr>
                  <w:r>
                    <w:rPr>
                      <w:rFonts w:hint="eastAsia"/>
                      <w:szCs w:val="21"/>
                    </w:rPr>
                    <w:t>10</w:t>
                  </w:r>
                </w:p>
              </w:tc>
              <w:tc>
                <w:tcPr>
                  <w:tcW w:w="1426" w:type="dxa"/>
                  <w:vMerge w:val="continue"/>
                  <w:vAlign w:val="center"/>
                </w:tcPr>
                <w:p>
                  <w:pPr>
                    <w:spacing w:line="360" w:lineRule="auto"/>
                    <w:jc w:val="center"/>
                    <w:rPr>
                      <w:szCs w:val="21"/>
                    </w:rPr>
                  </w:pPr>
                </w:p>
              </w:tc>
            </w:tr>
          </w:tbl>
          <w:p>
            <w:pPr>
              <w:spacing w:line="360" w:lineRule="auto"/>
              <w:ind w:firstLine="480" w:firstLineChars="200"/>
              <w:rPr>
                <w:sz w:val="24"/>
                <w:szCs w:val="22"/>
              </w:rPr>
            </w:pPr>
            <w:r>
              <w:rPr>
                <w:rFonts w:hint="eastAsia"/>
                <w:sz w:val="24"/>
              </w:rPr>
              <w:t>产品砂石主要用于</w:t>
            </w:r>
            <w:r>
              <w:rPr>
                <w:rFonts w:hint="eastAsia"/>
                <w:sz w:val="24"/>
                <w:szCs w:val="22"/>
              </w:rPr>
              <w:t>建筑材料。产品技术指标应符合《建设用砂》（GB/T14684）《建设用卵石、碎石》（GB/T14685）等相关标准要求。</w:t>
            </w:r>
          </w:p>
          <w:p>
            <w:pPr>
              <w:spacing w:line="360" w:lineRule="auto"/>
              <w:ind w:firstLine="482" w:firstLineChars="200"/>
              <w:rPr>
                <w:sz w:val="24"/>
              </w:rPr>
            </w:pPr>
            <w:r>
              <w:rPr>
                <w:rFonts w:hint="eastAsia"/>
                <w:b/>
                <w:sz w:val="24"/>
              </w:rPr>
              <w:t>2.3</w:t>
            </w:r>
            <w:r>
              <w:rPr>
                <w:b/>
                <w:sz w:val="24"/>
              </w:rPr>
              <w:t>原辅材料消耗和主要设备</w:t>
            </w:r>
          </w:p>
          <w:p>
            <w:pPr>
              <w:wordWrap w:val="0"/>
              <w:spacing w:line="360" w:lineRule="auto"/>
              <w:ind w:firstLine="480" w:firstLineChars="200"/>
              <w:rPr>
                <w:rFonts w:ascii="宋体" w:hAnsi="宋体"/>
                <w:sz w:val="24"/>
              </w:rPr>
            </w:pPr>
            <w:r>
              <w:rPr>
                <w:rFonts w:hint="eastAsia"/>
                <w:sz w:val="24"/>
              </w:rPr>
              <w:t>本项目主要原料为鹅卵石等；</w:t>
            </w:r>
            <w:r>
              <w:rPr>
                <w:sz w:val="24"/>
              </w:rPr>
              <w:t>原辅材料消耗见</w:t>
            </w:r>
            <w:r>
              <w:rPr>
                <w:rFonts w:hint="eastAsia"/>
                <w:sz w:val="24"/>
              </w:rPr>
              <w:t>下</w:t>
            </w:r>
            <w:r>
              <w:rPr>
                <w:sz w:val="24"/>
              </w:rPr>
              <w:t>表</w:t>
            </w:r>
            <w:r>
              <w:rPr>
                <w:rFonts w:hint="eastAsia"/>
                <w:sz w:val="24"/>
              </w:rPr>
              <w:t>1-</w:t>
            </w:r>
            <w:r>
              <w:rPr>
                <w:rFonts w:hint="eastAsia"/>
                <w:sz w:val="24"/>
                <w:lang w:val="en-US" w:eastAsia="zh-CN"/>
              </w:rPr>
              <w:t>8</w:t>
            </w:r>
            <w:r>
              <w:rPr>
                <w:rFonts w:hint="eastAsia"/>
                <w:sz w:val="24"/>
              </w:rPr>
              <w:t>。</w:t>
            </w:r>
          </w:p>
          <w:p>
            <w:pPr>
              <w:spacing w:line="360" w:lineRule="auto"/>
              <w:rPr>
                <w:sz w:val="24"/>
              </w:rPr>
            </w:pPr>
            <w:r>
              <w:rPr>
                <w:rFonts w:hint="eastAsia"/>
                <w:sz w:val="24"/>
              </w:rPr>
              <w:t xml:space="preserve">   （1）项目</w:t>
            </w:r>
            <w:r>
              <w:rPr>
                <w:sz w:val="24"/>
              </w:rPr>
              <w:t>主要原辅材料消耗</w:t>
            </w:r>
          </w:p>
          <w:p>
            <w:pPr>
              <w:spacing w:line="360" w:lineRule="auto"/>
              <w:jc w:val="center"/>
              <w:rPr>
                <w:b/>
                <w:szCs w:val="21"/>
                <w:u w:val="single"/>
              </w:rPr>
            </w:pPr>
            <w:r>
              <w:rPr>
                <w:b/>
                <w:szCs w:val="21"/>
                <w:u w:val="single"/>
              </w:rPr>
              <w:t>表1</w:t>
            </w:r>
            <w:r>
              <w:rPr>
                <w:rFonts w:hint="eastAsia"/>
                <w:b/>
                <w:szCs w:val="21"/>
                <w:u w:val="single"/>
              </w:rPr>
              <w:t>-</w:t>
            </w:r>
            <w:r>
              <w:rPr>
                <w:rFonts w:hint="eastAsia"/>
                <w:b/>
                <w:szCs w:val="21"/>
                <w:u w:val="single"/>
                <w:lang w:val="en-US" w:eastAsia="zh-CN"/>
              </w:rPr>
              <w:t>8</w:t>
            </w:r>
            <w:r>
              <w:rPr>
                <w:b/>
                <w:szCs w:val="21"/>
                <w:u w:val="single"/>
              </w:rPr>
              <w:t>项目原辅材料消耗表</w:t>
            </w:r>
          </w:p>
          <w:tbl>
            <w:tblPr>
              <w:tblStyle w:val="28"/>
              <w:tblW w:w="827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67"/>
              <w:gridCol w:w="884"/>
              <w:gridCol w:w="1146"/>
              <w:gridCol w:w="1303"/>
              <w:gridCol w:w="1085"/>
              <w:gridCol w:w="299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6" w:hRule="atLeast"/>
                <w:jc w:val="center"/>
              </w:trPr>
              <w:tc>
                <w:tcPr>
                  <w:tcW w:w="867" w:type="dxa"/>
                  <w:vAlign w:val="center"/>
                </w:tcPr>
                <w:p>
                  <w:pPr>
                    <w:spacing w:line="360" w:lineRule="auto"/>
                    <w:jc w:val="center"/>
                    <w:rPr>
                      <w:szCs w:val="21"/>
                      <w:u w:val="single"/>
                    </w:rPr>
                  </w:pPr>
                  <w:r>
                    <w:rPr>
                      <w:rFonts w:hint="eastAsia"/>
                      <w:szCs w:val="21"/>
                      <w:u w:val="single"/>
                    </w:rPr>
                    <w:t>序号</w:t>
                  </w:r>
                </w:p>
              </w:tc>
              <w:tc>
                <w:tcPr>
                  <w:tcW w:w="2030" w:type="dxa"/>
                  <w:gridSpan w:val="2"/>
                  <w:vAlign w:val="center"/>
                </w:tcPr>
                <w:p>
                  <w:pPr>
                    <w:spacing w:line="360" w:lineRule="auto"/>
                    <w:jc w:val="center"/>
                    <w:rPr>
                      <w:szCs w:val="21"/>
                      <w:u w:val="single"/>
                    </w:rPr>
                  </w:pPr>
                  <w:r>
                    <w:rPr>
                      <w:rFonts w:hint="eastAsia"/>
                      <w:szCs w:val="21"/>
                      <w:u w:val="single"/>
                    </w:rPr>
                    <w:t>名称</w:t>
                  </w:r>
                </w:p>
              </w:tc>
              <w:tc>
                <w:tcPr>
                  <w:tcW w:w="1303" w:type="dxa"/>
                  <w:vAlign w:val="center"/>
                </w:tcPr>
                <w:p>
                  <w:pPr>
                    <w:spacing w:line="360" w:lineRule="auto"/>
                    <w:jc w:val="center"/>
                    <w:rPr>
                      <w:szCs w:val="21"/>
                      <w:u w:val="single"/>
                    </w:rPr>
                  </w:pPr>
                  <w:r>
                    <w:rPr>
                      <w:rFonts w:hint="eastAsia"/>
                      <w:szCs w:val="21"/>
                      <w:u w:val="single"/>
                    </w:rPr>
                    <w:t>单位</w:t>
                  </w:r>
                </w:p>
              </w:tc>
              <w:tc>
                <w:tcPr>
                  <w:tcW w:w="1085" w:type="dxa"/>
                  <w:vAlign w:val="center"/>
                </w:tcPr>
                <w:p>
                  <w:pPr>
                    <w:spacing w:line="360" w:lineRule="auto"/>
                    <w:jc w:val="center"/>
                    <w:rPr>
                      <w:szCs w:val="21"/>
                      <w:u w:val="single"/>
                    </w:rPr>
                  </w:pPr>
                  <w:r>
                    <w:rPr>
                      <w:rFonts w:hint="eastAsia"/>
                      <w:szCs w:val="21"/>
                      <w:u w:val="single"/>
                    </w:rPr>
                    <w:t>用量</w:t>
                  </w:r>
                </w:p>
              </w:tc>
              <w:tc>
                <w:tcPr>
                  <w:tcW w:w="2991" w:type="dxa"/>
                  <w:vAlign w:val="center"/>
                </w:tcPr>
                <w:p>
                  <w:pPr>
                    <w:spacing w:line="360" w:lineRule="auto"/>
                    <w:jc w:val="center"/>
                    <w:rPr>
                      <w:szCs w:val="21"/>
                      <w:u w:val="single"/>
                    </w:rPr>
                  </w:pPr>
                  <w:r>
                    <w:rPr>
                      <w:rFonts w:hint="eastAsia"/>
                      <w:szCs w:val="21"/>
                      <w:u w:val="single"/>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6" w:hRule="atLeast"/>
                <w:jc w:val="center"/>
              </w:trPr>
              <w:tc>
                <w:tcPr>
                  <w:tcW w:w="867" w:type="dxa"/>
                  <w:vAlign w:val="center"/>
                </w:tcPr>
                <w:p>
                  <w:pPr>
                    <w:spacing w:line="360" w:lineRule="auto"/>
                    <w:jc w:val="center"/>
                    <w:rPr>
                      <w:szCs w:val="21"/>
                      <w:u w:val="single"/>
                    </w:rPr>
                  </w:pPr>
                  <w:r>
                    <w:rPr>
                      <w:rFonts w:hint="eastAsia"/>
                      <w:szCs w:val="21"/>
                      <w:u w:val="single"/>
                    </w:rPr>
                    <w:t>1</w:t>
                  </w:r>
                </w:p>
              </w:tc>
              <w:tc>
                <w:tcPr>
                  <w:tcW w:w="2030" w:type="dxa"/>
                  <w:gridSpan w:val="2"/>
                  <w:vAlign w:val="center"/>
                </w:tcPr>
                <w:p>
                  <w:pPr>
                    <w:jc w:val="center"/>
                    <w:rPr>
                      <w:rFonts w:ascii="宋体" w:hAnsi="宋体"/>
                      <w:bCs/>
                      <w:szCs w:val="21"/>
                      <w:u w:val="single"/>
                    </w:rPr>
                  </w:pPr>
                  <w:r>
                    <w:rPr>
                      <w:rFonts w:hint="eastAsia" w:ascii="宋体" w:hAnsi="宋体"/>
                      <w:bCs/>
                      <w:szCs w:val="21"/>
                      <w:u w:val="single"/>
                    </w:rPr>
                    <w:t>鹅卵石</w:t>
                  </w:r>
                </w:p>
              </w:tc>
              <w:tc>
                <w:tcPr>
                  <w:tcW w:w="1303" w:type="dxa"/>
                  <w:vAlign w:val="center"/>
                </w:tcPr>
                <w:p>
                  <w:pPr>
                    <w:spacing w:line="360" w:lineRule="auto"/>
                    <w:jc w:val="center"/>
                    <w:rPr>
                      <w:szCs w:val="21"/>
                      <w:u w:val="single"/>
                    </w:rPr>
                  </w:pPr>
                  <w:r>
                    <w:rPr>
                      <w:rFonts w:hint="eastAsia"/>
                      <w:szCs w:val="21"/>
                      <w:u w:val="single"/>
                    </w:rPr>
                    <w:t>万吨</w:t>
                  </w:r>
                </w:p>
              </w:tc>
              <w:tc>
                <w:tcPr>
                  <w:tcW w:w="1085" w:type="dxa"/>
                  <w:vAlign w:val="center"/>
                </w:tcPr>
                <w:p>
                  <w:pPr>
                    <w:spacing w:line="360" w:lineRule="auto"/>
                    <w:jc w:val="center"/>
                    <w:rPr>
                      <w:szCs w:val="21"/>
                      <w:u w:val="single"/>
                    </w:rPr>
                  </w:pPr>
                  <w:r>
                    <w:rPr>
                      <w:rFonts w:hint="eastAsia"/>
                      <w:szCs w:val="21"/>
                      <w:u w:val="single"/>
                    </w:rPr>
                    <w:t>60</w:t>
                  </w:r>
                </w:p>
              </w:tc>
              <w:tc>
                <w:tcPr>
                  <w:tcW w:w="2991" w:type="dxa"/>
                  <w:vAlign w:val="center"/>
                </w:tcPr>
                <w:p>
                  <w:pPr>
                    <w:spacing w:line="360" w:lineRule="auto"/>
                    <w:jc w:val="center"/>
                    <w:rPr>
                      <w:color w:val="FF0000"/>
                      <w:szCs w:val="21"/>
                      <w:u w:val="single"/>
                    </w:rPr>
                  </w:pPr>
                  <w:r>
                    <w:rPr>
                      <w:rFonts w:hint="eastAsia"/>
                      <w:szCs w:val="21"/>
                      <w:u w:val="single"/>
                      <w:lang w:eastAsia="zh-CN"/>
                    </w:rPr>
                    <w:t>宜昌楚航商贸有限公司</w:t>
                  </w:r>
                  <w:r>
                    <w:rPr>
                      <w:rFonts w:hint="eastAsia"/>
                      <w:szCs w:val="21"/>
                      <w:u w:val="single"/>
                    </w:rPr>
                    <w:t>提供</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96" w:hRule="atLeast"/>
                <w:jc w:val="center"/>
              </w:trPr>
              <w:tc>
                <w:tcPr>
                  <w:tcW w:w="867" w:type="dxa"/>
                  <w:vAlign w:val="center"/>
                </w:tcPr>
                <w:p>
                  <w:pPr>
                    <w:spacing w:line="360" w:lineRule="auto"/>
                    <w:jc w:val="center"/>
                    <w:rPr>
                      <w:rFonts w:hint="eastAsia" w:eastAsia="宋体"/>
                      <w:szCs w:val="21"/>
                      <w:u w:val="single"/>
                      <w:lang w:val="en-US" w:eastAsia="zh-CN"/>
                    </w:rPr>
                  </w:pPr>
                  <w:r>
                    <w:rPr>
                      <w:rFonts w:hint="eastAsia"/>
                      <w:szCs w:val="21"/>
                      <w:u w:val="single"/>
                      <w:lang w:val="en-US" w:eastAsia="zh-CN"/>
                    </w:rPr>
                    <w:t>2</w:t>
                  </w:r>
                </w:p>
              </w:tc>
              <w:tc>
                <w:tcPr>
                  <w:tcW w:w="2030" w:type="dxa"/>
                  <w:gridSpan w:val="2"/>
                  <w:vAlign w:val="center"/>
                </w:tcPr>
                <w:p>
                  <w:pPr>
                    <w:jc w:val="center"/>
                    <w:rPr>
                      <w:rFonts w:hint="eastAsia" w:ascii="宋体" w:hAnsi="宋体" w:eastAsia="宋体"/>
                      <w:bCs/>
                      <w:szCs w:val="21"/>
                      <w:u w:val="single"/>
                      <w:lang w:eastAsia="zh-CN"/>
                    </w:rPr>
                  </w:pPr>
                  <w:r>
                    <w:rPr>
                      <w:rFonts w:hint="eastAsia" w:ascii="宋体" w:hAnsi="宋体"/>
                      <w:bCs/>
                      <w:szCs w:val="21"/>
                      <w:u w:val="single"/>
                      <w:lang w:eastAsia="zh-CN"/>
                    </w:rPr>
                    <w:t>絮凝剂</w:t>
                  </w:r>
                </w:p>
              </w:tc>
              <w:tc>
                <w:tcPr>
                  <w:tcW w:w="1303" w:type="dxa"/>
                  <w:vAlign w:val="center"/>
                </w:tcPr>
                <w:p>
                  <w:pPr>
                    <w:spacing w:line="360" w:lineRule="auto"/>
                    <w:jc w:val="center"/>
                    <w:rPr>
                      <w:rFonts w:hint="default" w:eastAsia="宋体"/>
                      <w:szCs w:val="21"/>
                      <w:u w:val="single"/>
                      <w:lang w:val="en-US" w:eastAsia="zh-CN"/>
                    </w:rPr>
                  </w:pPr>
                  <w:r>
                    <w:rPr>
                      <w:rFonts w:hint="eastAsia"/>
                      <w:szCs w:val="21"/>
                      <w:u w:val="single"/>
                      <w:lang w:val="en-US" w:eastAsia="zh-CN"/>
                    </w:rPr>
                    <w:t>t/a</w:t>
                  </w:r>
                </w:p>
              </w:tc>
              <w:tc>
                <w:tcPr>
                  <w:tcW w:w="1085" w:type="dxa"/>
                  <w:vAlign w:val="center"/>
                </w:tcPr>
                <w:p>
                  <w:pPr>
                    <w:spacing w:line="360" w:lineRule="auto"/>
                    <w:jc w:val="center"/>
                    <w:rPr>
                      <w:rFonts w:hint="eastAsia" w:eastAsia="宋体"/>
                      <w:szCs w:val="21"/>
                      <w:u w:val="single"/>
                      <w:lang w:val="en-US" w:eastAsia="zh-CN"/>
                    </w:rPr>
                  </w:pPr>
                  <w:r>
                    <w:rPr>
                      <w:rFonts w:hint="eastAsia"/>
                      <w:szCs w:val="21"/>
                      <w:u w:val="single"/>
                      <w:lang w:val="en-US" w:eastAsia="zh-CN"/>
                    </w:rPr>
                    <w:t>5</w:t>
                  </w:r>
                </w:p>
              </w:tc>
              <w:tc>
                <w:tcPr>
                  <w:tcW w:w="2991" w:type="dxa"/>
                  <w:vAlign w:val="center"/>
                </w:tcPr>
                <w:p>
                  <w:pPr>
                    <w:spacing w:line="360" w:lineRule="auto"/>
                    <w:jc w:val="center"/>
                    <w:rPr>
                      <w:rFonts w:hint="default" w:eastAsia="宋体"/>
                      <w:szCs w:val="21"/>
                      <w:u w:val="single"/>
                      <w:lang w:val="en-US" w:eastAsia="zh-CN"/>
                    </w:rPr>
                  </w:pPr>
                  <w:r>
                    <w:rPr>
                      <w:rFonts w:hint="eastAsia"/>
                      <w:szCs w:val="21"/>
                      <w:u w:val="single"/>
                      <w:lang w:val="en-US" w:eastAsia="zh-CN"/>
                    </w:rPr>
                    <w:t>用于生产废水循环沉淀处理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96" w:hRule="atLeast"/>
                <w:jc w:val="center"/>
              </w:trPr>
              <w:tc>
                <w:tcPr>
                  <w:tcW w:w="867" w:type="dxa"/>
                  <w:vAlign w:val="center"/>
                </w:tcPr>
                <w:p>
                  <w:pPr>
                    <w:spacing w:line="360" w:lineRule="auto"/>
                    <w:jc w:val="center"/>
                    <w:rPr>
                      <w:rFonts w:hint="eastAsia" w:ascii="Times New Roman" w:hAnsi="Times New Roman" w:eastAsia="宋体" w:cs="Times New Roman"/>
                      <w:szCs w:val="21"/>
                      <w:u w:val="none"/>
                      <w:lang w:eastAsia="zh-CN"/>
                    </w:rPr>
                  </w:pPr>
                  <w:r>
                    <w:rPr>
                      <w:rFonts w:hint="eastAsia" w:ascii="Times New Roman" w:hAnsi="Times New Roman" w:eastAsia="宋体" w:cs="Times New Roman"/>
                      <w:szCs w:val="21"/>
                      <w:u w:val="none"/>
                      <w:lang w:val="en-US" w:eastAsia="zh-CN"/>
                    </w:rPr>
                    <w:t>3</w:t>
                  </w:r>
                </w:p>
              </w:tc>
              <w:tc>
                <w:tcPr>
                  <w:tcW w:w="2030" w:type="dxa"/>
                  <w:gridSpan w:val="2"/>
                  <w:vAlign w:val="center"/>
                </w:tcPr>
                <w:p>
                  <w:pPr>
                    <w:jc w:val="center"/>
                    <w:rPr>
                      <w:szCs w:val="21"/>
                      <w:u w:val="none"/>
                    </w:rPr>
                  </w:pPr>
                  <w:r>
                    <w:rPr>
                      <w:rFonts w:hint="eastAsia"/>
                      <w:szCs w:val="21"/>
                      <w:u w:val="none"/>
                    </w:rPr>
                    <w:t>电</w:t>
                  </w:r>
                </w:p>
              </w:tc>
              <w:tc>
                <w:tcPr>
                  <w:tcW w:w="1303" w:type="dxa"/>
                  <w:vAlign w:val="center"/>
                </w:tcPr>
                <w:p>
                  <w:pPr>
                    <w:spacing w:line="360" w:lineRule="auto"/>
                    <w:jc w:val="center"/>
                    <w:rPr>
                      <w:szCs w:val="21"/>
                      <w:u w:val="none"/>
                    </w:rPr>
                  </w:pPr>
                  <w:r>
                    <w:rPr>
                      <w:rFonts w:hint="eastAsia"/>
                      <w:szCs w:val="21"/>
                      <w:u w:val="none"/>
                    </w:rPr>
                    <w:t>万度/a</w:t>
                  </w:r>
                </w:p>
              </w:tc>
              <w:tc>
                <w:tcPr>
                  <w:tcW w:w="1085" w:type="dxa"/>
                  <w:vAlign w:val="center"/>
                </w:tcPr>
                <w:p>
                  <w:pPr>
                    <w:spacing w:line="360" w:lineRule="auto"/>
                    <w:jc w:val="center"/>
                    <w:rPr>
                      <w:szCs w:val="21"/>
                      <w:u w:val="none"/>
                    </w:rPr>
                  </w:pPr>
                  <w:r>
                    <w:rPr>
                      <w:rFonts w:hint="eastAsia"/>
                      <w:szCs w:val="21"/>
                      <w:u w:val="none"/>
                    </w:rPr>
                    <w:t>300</w:t>
                  </w:r>
                </w:p>
              </w:tc>
              <w:tc>
                <w:tcPr>
                  <w:tcW w:w="2991" w:type="dxa"/>
                  <w:vAlign w:val="center"/>
                </w:tcPr>
                <w:p>
                  <w:pPr>
                    <w:spacing w:line="360" w:lineRule="auto"/>
                    <w:jc w:val="center"/>
                    <w:rPr>
                      <w:szCs w:val="21"/>
                      <w:u w:val="none"/>
                    </w:rPr>
                  </w:pPr>
                  <w:r>
                    <w:rPr>
                      <w:rFonts w:hint="eastAsia"/>
                      <w:szCs w:val="21"/>
                      <w:u w:val="none"/>
                    </w:rPr>
                    <w:t>万庾镇国家电网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867" w:type="dxa"/>
                  <w:vMerge w:val="restart"/>
                  <w:vAlign w:val="center"/>
                </w:tcPr>
                <w:p>
                  <w:pPr>
                    <w:spacing w:line="360" w:lineRule="auto"/>
                    <w:jc w:val="center"/>
                    <w:rPr>
                      <w:rFonts w:hint="eastAsia" w:ascii="Times New Roman" w:hAnsi="Times New Roman" w:eastAsia="宋体" w:cs="Times New Roman"/>
                      <w:szCs w:val="21"/>
                      <w:u w:val="none"/>
                      <w:lang w:eastAsia="zh-CN"/>
                    </w:rPr>
                  </w:pPr>
                  <w:r>
                    <w:rPr>
                      <w:rFonts w:hint="eastAsia" w:ascii="Times New Roman" w:hAnsi="Times New Roman" w:eastAsia="宋体" w:cs="Times New Roman"/>
                      <w:szCs w:val="21"/>
                      <w:u w:val="none"/>
                      <w:lang w:val="en-US" w:eastAsia="zh-CN"/>
                    </w:rPr>
                    <w:t>4</w:t>
                  </w:r>
                </w:p>
              </w:tc>
              <w:tc>
                <w:tcPr>
                  <w:tcW w:w="884" w:type="dxa"/>
                  <w:vMerge w:val="restart"/>
                  <w:tcBorders>
                    <w:right w:val="single" w:color="auto" w:sz="4" w:space="0"/>
                  </w:tcBorders>
                  <w:vAlign w:val="center"/>
                </w:tcPr>
                <w:p>
                  <w:pPr>
                    <w:spacing w:line="360" w:lineRule="auto"/>
                    <w:jc w:val="center"/>
                    <w:rPr>
                      <w:szCs w:val="21"/>
                      <w:u w:val="none"/>
                    </w:rPr>
                  </w:pPr>
                  <w:r>
                    <w:rPr>
                      <w:rFonts w:hint="eastAsia"/>
                      <w:szCs w:val="21"/>
                      <w:u w:val="none"/>
                    </w:rPr>
                    <w:t>水</w:t>
                  </w:r>
                </w:p>
              </w:tc>
              <w:tc>
                <w:tcPr>
                  <w:tcW w:w="1146" w:type="dxa"/>
                  <w:tcBorders>
                    <w:left w:val="single" w:color="auto" w:sz="4" w:space="0"/>
                    <w:bottom w:val="single" w:color="auto" w:sz="4" w:space="0"/>
                  </w:tcBorders>
                  <w:vAlign w:val="center"/>
                </w:tcPr>
                <w:p>
                  <w:pPr>
                    <w:spacing w:line="360" w:lineRule="auto"/>
                    <w:jc w:val="center"/>
                    <w:rPr>
                      <w:szCs w:val="21"/>
                      <w:u w:val="none"/>
                    </w:rPr>
                  </w:pPr>
                  <w:r>
                    <w:rPr>
                      <w:rFonts w:hint="eastAsia"/>
                      <w:szCs w:val="21"/>
                      <w:u w:val="none"/>
                    </w:rPr>
                    <w:t>生产用水</w:t>
                  </w:r>
                </w:p>
              </w:tc>
              <w:tc>
                <w:tcPr>
                  <w:tcW w:w="1303" w:type="dxa"/>
                  <w:tcBorders>
                    <w:bottom w:val="single" w:color="auto" w:sz="4" w:space="0"/>
                  </w:tcBorders>
                  <w:vAlign w:val="center"/>
                </w:tcPr>
                <w:p>
                  <w:pPr>
                    <w:spacing w:line="360" w:lineRule="auto"/>
                    <w:jc w:val="center"/>
                    <w:rPr>
                      <w:szCs w:val="21"/>
                      <w:u w:val="none"/>
                    </w:rPr>
                  </w:pPr>
                  <w:r>
                    <w:rPr>
                      <w:szCs w:val="21"/>
                      <w:u w:val="none"/>
                    </w:rPr>
                    <w:t>t</w:t>
                  </w:r>
                  <w:r>
                    <w:rPr>
                      <w:rFonts w:hint="eastAsia"/>
                      <w:szCs w:val="21"/>
                      <w:u w:val="none"/>
                    </w:rPr>
                    <w:t>/a</w:t>
                  </w:r>
                </w:p>
              </w:tc>
              <w:tc>
                <w:tcPr>
                  <w:tcW w:w="1085" w:type="dxa"/>
                  <w:tcBorders>
                    <w:bottom w:val="single" w:color="auto" w:sz="4" w:space="0"/>
                  </w:tcBorders>
                  <w:vAlign w:val="center"/>
                </w:tcPr>
                <w:p>
                  <w:pPr>
                    <w:spacing w:line="360" w:lineRule="auto"/>
                    <w:jc w:val="center"/>
                    <w:rPr>
                      <w:szCs w:val="21"/>
                      <w:u w:val="none"/>
                    </w:rPr>
                  </w:pPr>
                  <w:r>
                    <w:rPr>
                      <w:rFonts w:hint="eastAsia"/>
                      <w:szCs w:val="21"/>
                      <w:u w:val="none"/>
                    </w:rPr>
                    <w:t>12600</w:t>
                  </w:r>
                </w:p>
              </w:tc>
              <w:tc>
                <w:tcPr>
                  <w:tcW w:w="2991" w:type="dxa"/>
                  <w:tcBorders>
                    <w:bottom w:val="single" w:color="auto" w:sz="4" w:space="0"/>
                  </w:tcBorders>
                  <w:vAlign w:val="center"/>
                </w:tcPr>
                <w:p>
                  <w:pPr>
                    <w:spacing w:line="360" w:lineRule="auto"/>
                    <w:jc w:val="center"/>
                    <w:rPr>
                      <w:szCs w:val="21"/>
                      <w:u w:val="none"/>
                    </w:rPr>
                  </w:pPr>
                  <w:r>
                    <w:rPr>
                      <w:rFonts w:hint="eastAsia"/>
                      <w:szCs w:val="21"/>
                      <w:u w:val="none"/>
                    </w:rPr>
                    <w:t>生产用于为</w:t>
                  </w:r>
                  <w:r>
                    <w:rPr>
                      <w:rFonts w:hint="eastAsia"/>
                      <w:kern w:val="0"/>
                      <w:szCs w:val="21"/>
                      <w:u w:val="none"/>
                    </w:rPr>
                    <w:t>地下水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9" w:hRule="atLeast"/>
                <w:jc w:val="center"/>
              </w:trPr>
              <w:tc>
                <w:tcPr>
                  <w:tcW w:w="867" w:type="dxa"/>
                  <w:vMerge w:val="continue"/>
                  <w:vAlign w:val="center"/>
                </w:tcPr>
                <w:p>
                  <w:pPr>
                    <w:spacing w:line="360" w:lineRule="auto"/>
                    <w:ind w:firstLine="210" w:firstLineChars="100"/>
                    <w:rPr>
                      <w:szCs w:val="21"/>
                      <w:u w:val="none"/>
                    </w:rPr>
                  </w:pPr>
                </w:p>
              </w:tc>
              <w:tc>
                <w:tcPr>
                  <w:tcW w:w="884" w:type="dxa"/>
                  <w:vMerge w:val="continue"/>
                  <w:tcBorders>
                    <w:right w:val="single" w:color="auto" w:sz="4" w:space="0"/>
                  </w:tcBorders>
                  <w:vAlign w:val="center"/>
                </w:tcPr>
                <w:p>
                  <w:pPr>
                    <w:spacing w:line="360" w:lineRule="auto"/>
                    <w:jc w:val="center"/>
                    <w:rPr>
                      <w:szCs w:val="21"/>
                      <w:u w:val="none"/>
                    </w:rPr>
                  </w:pPr>
                </w:p>
              </w:tc>
              <w:tc>
                <w:tcPr>
                  <w:tcW w:w="1146" w:type="dxa"/>
                  <w:tcBorders>
                    <w:top w:val="single" w:color="auto" w:sz="4" w:space="0"/>
                    <w:left w:val="single" w:color="auto" w:sz="4" w:space="0"/>
                  </w:tcBorders>
                  <w:vAlign w:val="center"/>
                </w:tcPr>
                <w:p>
                  <w:pPr>
                    <w:spacing w:line="360" w:lineRule="auto"/>
                    <w:jc w:val="center"/>
                    <w:rPr>
                      <w:szCs w:val="21"/>
                      <w:u w:val="none"/>
                    </w:rPr>
                  </w:pPr>
                  <w:r>
                    <w:rPr>
                      <w:rFonts w:hint="eastAsia"/>
                      <w:szCs w:val="21"/>
                      <w:u w:val="none"/>
                    </w:rPr>
                    <w:t>生活用水</w:t>
                  </w:r>
                </w:p>
              </w:tc>
              <w:tc>
                <w:tcPr>
                  <w:tcW w:w="1303" w:type="dxa"/>
                  <w:tcBorders>
                    <w:top w:val="single" w:color="auto" w:sz="4" w:space="0"/>
                  </w:tcBorders>
                  <w:vAlign w:val="center"/>
                </w:tcPr>
                <w:p>
                  <w:pPr>
                    <w:spacing w:line="360" w:lineRule="auto"/>
                    <w:jc w:val="center"/>
                    <w:rPr>
                      <w:szCs w:val="21"/>
                      <w:u w:val="none"/>
                    </w:rPr>
                  </w:pPr>
                  <w:r>
                    <w:rPr>
                      <w:szCs w:val="21"/>
                      <w:u w:val="none"/>
                    </w:rPr>
                    <w:t>t</w:t>
                  </w:r>
                  <w:r>
                    <w:rPr>
                      <w:rFonts w:hint="eastAsia"/>
                      <w:szCs w:val="21"/>
                      <w:u w:val="none"/>
                    </w:rPr>
                    <w:t>/a</w:t>
                  </w:r>
                </w:p>
              </w:tc>
              <w:tc>
                <w:tcPr>
                  <w:tcW w:w="1085" w:type="dxa"/>
                  <w:tcBorders>
                    <w:top w:val="single" w:color="auto" w:sz="4" w:space="0"/>
                  </w:tcBorders>
                  <w:vAlign w:val="center"/>
                </w:tcPr>
                <w:p>
                  <w:pPr>
                    <w:spacing w:line="360" w:lineRule="auto"/>
                    <w:jc w:val="center"/>
                    <w:rPr>
                      <w:szCs w:val="21"/>
                      <w:u w:val="none"/>
                    </w:rPr>
                  </w:pPr>
                  <w:r>
                    <w:rPr>
                      <w:rFonts w:hint="eastAsia"/>
                      <w:szCs w:val="21"/>
                      <w:u w:val="none"/>
                    </w:rPr>
                    <w:t>285</w:t>
                  </w:r>
                </w:p>
              </w:tc>
              <w:tc>
                <w:tcPr>
                  <w:tcW w:w="2991" w:type="dxa"/>
                  <w:tcBorders>
                    <w:top w:val="single" w:color="auto" w:sz="4" w:space="0"/>
                  </w:tcBorders>
                  <w:vAlign w:val="center"/>
                </w:tcPr>
                <w:p>
                  <w:pPr>
                    <w:spacing w:line="360" w:lineRule="auto"/>
                    <w:jc w:val="center"/>
                    <w:rPr>
                      <w:szCs w:val="21"/>
                      <w:u w:val="none"/>
                    </w:rPr>
                  </w:pPr>
                  <w:r>
                    <w:rPr>
                      <w:rFonts w:hint="eastAsia"/>
                      <w:szCs w:val="21"/>
                      <w:u w:val="none"/>
                    </w:rPr>
                    <w:t>生活用水为地下水</w:t>
                  </w:r>
                </w:p>
              </w:tc>
            </w:tr>
          </w:tbl>
          <w:p>
            <w:pPr>
              <w:spacing w:line="360" w:lineRule="auto"/>
              <w:ind w:firstLine="480" w:firstLineChars="200"/>
              <w:rPr>
                <w:rFonts w:hint="eastAsia"/>
                <w:sz w:val="24"/>
                <w:szCs w:val="22"/>
                <w:u w:val="single"/>
              </w:rPr>
            </w:pPr>
            <w:r>
              <w:rPr>
                <w:rFonts w:hint="eastAsia"/>
                <w:sz w:val="24"/>
                <w:u w:val="single"/>
              </w:rPr>
              <w:t>备注：本项目不采砂，项目鹅卵</w:t>
            </w:r>
            <w:r>
              <w:rPr>
                <w:rFonts w:hint="eastAsia"/>
                <w:sz w:val="24"/>
                <w:szCs w:val="22"/>
                <w:u w:val="single"/>
              </w:rPr>
              <w:t>石来源于由</w:t>
            </w:r>
            <w:r>
              <w:rPr>
                <w:rFonts w:hint="eastAsia"/>
                <w:sz w:val="24"/>
                <w:szCs w:val="22"/>
                <w:u w:val="single"/>
                <w:lang w:eastAsia="zh-CN"/>
              </w:rPr>
              <w:t>宜昌楚航商贸有限公司</w:t>
            </w:r>
            <w:r>
              <w:rPr>
                <w:rFonts w:hint="eastAsia"/>
                <w:sz w:val="24"/>
                <w:szCs w:val="22"/>
                <w:u w:val="single"/>
              </w:rPr>
              <w:t>提供，原料购销合同</w:t>
            </w:r>
            <w:r>
              <w:rPr>
                <w:rFonts w:hint="eastAsia"/>
                <w:sz w:val="24"/>
                <w:szCs w:val="22"/>
                <w:u w:val="single"/>
                <w:lang w:eastAsia="zh-CN"/>
              </w:rPr>
              <w:t>及原材料供应公司营业执照</w:t>
            </w:r>
            <w:r>
              <w:rPr>
                <w:rFonts w:hint="eastAsia"/>
                <w:sz w:val="24"/>
                <w:szCs w:val="22"/>
                <w:u w:val="single"/>
              </w:rPr>
              <w:t>见详附件</w:t>
            </w:r>
            <w:r>
              <w:rPr>
                <w:rFonts w:hint="eastAsia"/>
                <w:sz w:val="24"/>
                <w:szCs w:val="22"/>
                <w:u w:val="single"/>
                <w:lang w:val="en-US" w:eastAsia="zh-CN"/>
              </w:rPr>
              <w:t>3</w:t>
            </w:r>
            <w:r>
              <w:rPr>
                <w:rFonts w:hint="eastAsia"/>
                <w:sz w:val="24"/>
                <w:szCs w:val="22"/>
                <w:u w:val="single"/>
              </w:rPr>
              <w:t>，</w:t>
            </w:r>
            <w:r>
              <w:rPr>
                <w:rFonts w:hint="eastAsia"/>
                <w:sz w:val="24"/>
                <w:u w:val="single"/>
              </w:rPr>
              <w:t>根据</w:t>
            </w:r>
            <w:r>
              <w:rPr>
                <w:rFonts w:hint="eastAsia"/>
                <w:sz w:val="24"/>
                <w:szCs w:val="22"/>
                <w:u w:val="single"/>
              </w:rPr>
              <w:t>原料供应单位提供的资料，项目鹅卵石含泥率</w:t>
            </w:r>
            <w:r>
              <w:rPr>
                <w:rFonts w:hint="eastAsia"/>
                <w:sz w:val="24"/>
                <w:szCs w:val="22"/>
                <w:u w:val="single"/>
                <w:lang w:eastAsia="zh-CN"/>
              </w:rPr>
              <w:t>不超过</w:t>
            </w:r>
            <w:r>
              <w:rPr>
                <w:rFonts w:hint="eastAsia"/>
                <w:sz w:val="24"/>
                <w:szCs w:val="22"/>
                <w:u w:val="single"/>
                <w:lang w:val="en-US" w:eastAsia="zh-CN"/>
              </w:rPr>
              <w:t>5</w:t>
            </w:r>
            <w:r>
              <w:rPr>
                <w:rFonts w:hint="eastAsia"/>
                <w:sz w:val="24"/>
                <w:szCs w:val="22"/>
                <w:u w:val="single"/>
                <w:lang w:eastAsia="zh-CN"/>
              </w:rPr>
              <w:t>％，一般为</w:t>
            </w:r>
            <w:r>
              <w:rPr>
                <w:rFonts w:hint="eastAsia"/>
                <w:sz w:val="24"/>
                <w:szCs w:val="22"/>
                <w:u w:val="single"/>
                <w:lang w:val="en-US" w:eastAsia="zh-CN"/>
              </w:rPr>
              <w:t>1</w:t>
            </w:r>
            <w:r>
              <w:rPr>
                <w:rFonts w:hint="eastAsia"/>
                <w:sz w:val="24"/>
                <w:szCs w:val="22"/>
                <w:u w:val="single"/>
              </w:rPr>
              <w:t>％</w:t>
            </w:r>
            <w:r>
              <w:rPr>
                <w:rFonts w:hint="eastAsia"/>
                <w:sz w:val="24"/>
                <w:szCs w:val="22"/>
                <w:u w:val="single"/>
                <w:lang w:val="en-US" w:eastAsia="zh-CN"/>
              </w:rPr>
              <w:t>~5％，取2.0％</w:t>
            </w:r>
            <w:r>
              <w:rPr>
                <w:rFonts w:hint="eastAsia"/>
                <w:sz w:val="24"/>
                <w:szCs w:val="22"/>
                <w:u w:val="single"/>
              </w:rPr>
              <w:t>，含水率为10％。</w:t>
            </w:r>
          </w:p>
          <w:p>
            <w:pPr>
              <w:spacing w:line="360" w:lineRule="auto"/>
              <w:ind w:firstLine="480" w:firstLineChars="200"/>
              <w:rPr>
                <w:rFonts w:hint="eastAsia"/>
                <w:sz w:val="24"/>
                <w:szCs w:val="22"/>
                <w:lang w:val="en-US" w:eastAsia="zh-CN"/>
              </w:rPr>
            </w:pPr>
            <w:r>
              <w:rPr>
                <w:rFonts w:hint="eastAsia"/>
                <w:sz w:val="24"/>
                <w:szCs w:val="22"/>
                <w:lang w:val="en-US" w:eastAsia="zh-CN"/>
              </w:rPr>
              <w:t>絮凝剂：本项目使用的是无机絮凝剂，这类无机聚合物絮凝剂主要是铝盐和铁盐的聚合物</w:t>
            </w:r>
            <w:r>
              <w:rPr>
                <w:rFonts w:hint="default"/>
                <w:sz w:val="24"/>
                <w:szCs w:val="22"/>
                <w:lang w:val="en-US" w:eastAsia="zh-CN"/>
              </w:rPr>
              <w:t>。</w:t>
            </w:r>
            <w:r>
              <w:rPr>
                <w:rFonts w:hint="eastAsia"/>
                <w:sz w:val="24"/>
                <w:szCs w:val="22"/>
                <w:lang w:val="en-US" w:eastAsia="zh-CN"/>
              </w:rPr>
              <w:t>硫酸铁：</w:t>
            </w:r>
            <w:r>
              <w:rPr>
                <w:rFonts w:hint="eastAsia"/>
                <w:sz w:val="24"/>
                <w:szCs w:val="22"/>
              </w:rPr>
              <w:t>灰白色</w:t>
            </w:r>
            <w:r>
              <w:rPr>
                <w:rFonts w:hint="default"/>
                <w:sz w:val="24"/>
                <w:szCs w:val="22"/>
              </w:rPr>
              <w:fldChar w:fldCharType="begin"/>
            </w:r>
            <w:r>
              <w:rPr>
                <w:rFonts w:hint="default"/>
                <w:sz w:val="24"/>
                <w:szCs w:val="22"/>
              </w:rPr>
              <w:instrText xml:space="preserve"> HYPERLINK "https://baike.baidu.com/item/%E7%B2%89%E6%9C%AB/7787003" \t "https://baike.baidu.com/item/%E7%B5%AE%E5%87%9D%E5%89%82/_blank" </w:instrText>
            </w:r>
            <w:r>
              <w:rPr>
                <w:rFonts w:hint="default"/>
                <w:sz w:val="24"/>
                <w:szCs w:val="22"/>
              </w:rPr>
              <w:fldChar w:fldCharType="separate"/>
            </w:r>
            <w:r>
              <w:rPr>
                <w:rFonts w:hint="default"/>
                <w:sz w:val="24"/>
                <w:szCs w:val="22"/>
              </w:rPr>
              <w:t>粉末</w:t>
            </w:r>
            <w:r>
              <w:rPr>
                <w:rFonts w:hint="default"/>
                <w:sz w:val="24"/>
                <w:szCs w:val="22"/>
              </w:rPr>
              <w:fldChar w:fldCharType="end"/>
            </w:r>
            <w:r>
              <w:rPr>
                <w:rFonts w:hint="default"/>
                <w:sz w:val="24"/>
                <w:szCs w:val="22"/>
              </w:rPr>
              <w:t>或正交棱形结晶流动浅黄色粉末。对光敏感。易吸湿。在水中溶解缓慢，但在水中有微量硫酸亚铁时溶解较快，微溶于乙醇，几乎不溶于丙酮和乙酸乙酯。在水溶液中缓慢地水解，相对密度(d18)3.097，热至480℃分解。商品通常约含20%水呈浅黄色，也有含9分子结晶水的，相对密度2.1，175℃失去7分子结晶水。</w:t>
            </w:r>
            <w:r>
              <w:rPr>
                <w:rFonts w:hint="eastAsia"/>
                <w:sz w:val="24"/>
                <w:szCs w:val="22"/>
                <w:lang w:eastAsia="zh-CN"/>
              </w:rPr>
              <w:t>硫酸铝：</w:t>
            </w:r>
            <w:r>
              <w:rPr>
                <w:rFonts w:hint="eastAsia"/>
                <w:sz w:val="24"/>
                <w:szCs w:val="22"/>
              </w:rPr>
              <w:t>极易溶于水，</w:t>
            </w:r>
            <w:r>
              <w:rPr>
                <w:rFonts w:hint="default"/>
                <w:sz w:val="24"/>
                <w:szCs w:val="22"/>
              </w:rPr>
              <w:fldChar w:fldCharType="begin"/>
            </w:r>
            <w:r>
              <w:rPr>
                <w:rFonts w:hint="default"/>
                <w:sz w:val="24"/>
                <w:szCs w:val="22"/>
              </w:rPr>
              <w:instrText xml:space="preserve"> HYPERLINK "https://baike.baidu.com/item/%E7%A1%AB%E9%85%B8%E9%93%9D" \t "https://baike.baidu.com/item/%E7%B5%AE%E5%87%9D%E5%89%82/_blank" </w:instrText>
            </w:r>
            <w:r>
              <w:rPr>
                <w:rFonts w:hint="default"/>
                <w:sz w:val="24"/>
                <w:szCs w:val="22"/>
              </w:rPr>
              <w:fldChar w:fldCharType="separate"/>
            </w:r>
            <w:r>
              <w:rPr>
                <w:rFonts w:hint="default"/>
                <w:sz w:val="24"/>
                <w:szCs w:val="22"/>
              </w:rPr>
              <w:t>硫酸铝</w:t>
            </w:r>
            <w:r>
              <w:rPr>
                <w:rFonts w:hint="default"/>
                <w:sz w:val="24"/>
                <w:szCs w:val="22"/>
              </w:rPr>
              <w:fldChar w:fldCharType="end"/>
            </w:r>
            <w:r>
              <w:rPr>
                <w:rFonts w:hint="default"/>
                <w:sz w:val="24"/>
                <w:szCs w:val="22"/>
              </w:rPr>
              <w:t>在纯硫酸中不能溶解（只是共存），在硫酸溶液中与硫酸共同溶解于水，所以硫酸铝在硫酸中溶解度就是硫酸铝在水中的溶解度。常温析出含有18分子结晶水，为18水硫酸铝，工业上生产多为18水硫酸铝。含无水硫酸铝51.3%，即使100℃也不会自溶（溶于自身结晶水）。不易风化而失去结晶水，比较稳定，加热会失水，高温会分解为氧化铝和硫的氧化物。加热至770℃开始分解为氧化铝、三氧化硫、二氧化硫和水蒸气。溶于水、酸和碱，不溶于乙醇。水溶液呈酸性。水解后生成氢氧化铝。水溶液长时间沸腾可生成碱式硫酸铝。工业品为灰白色片状、粒状或块状，因含低铁盐而带淡绿色，又因低价铁盐被氧化而使表面发黄。粗品为灰白色细晶结构多孔状物。无毒，粉尘能刺激眼睛。</w:t>
            </w:r>
          </w:p>
          <w:p>
            <w:pPr>
              <w:spacing w:line="360" w:lineRule="auto"/>
              <w:ind w:firstLine="480" w:firstLineChars="200"/>
              <w:rPr>
                <w:kern w:val="0"/>
                <w:sz w:val="24"/>
              </w:rPr>
            </w:pPr>
            <w:r>
              <w:rPr>
                <w:sz w:val="24"/>
              </w:rPr>
              <w:t>（2）项目主要设备</w:t>
            </w:r>
          </w:p>
          <w:p>
            <w:pPr>
              <w:spacing w:line="360" w:lineRule="auto"/>
              <w:ind w:firstLine="480" w:firstLineChars="200"/>
              <w:rPr>
                <w:sz w:val="24"/>
                <w:szCs w:val="30"/>
              </w:rPr>
            </w:pPr>
            <w:r>
              <w:rPr>
                <w:sz w:val="24"/>
                <w:szCs w:val="30"/>
              </w:rPr>
              <w:t>本项目</w:t>
            </w:r>
            <w:r>
              <w:rPr>
                <w:rFonts w:hint="eastAsia"/>
                <w:sz w:val="24"/>
                <w:szCs w:val="30"/>
              </w:rPr>
              <w:t>机械</w:t>
            </w:r>
            <w:r>
              <w:rPr>
                <w:sz w:val="24"/>
                <w:szCs w:val="30"/>
              </w:rPr>
              <w:t>设备</w:t>
            </w:r>
            <w:r>
              <w:rPr>
                <w:rFonts w:hint="eastAsia"/>
                <w:sz w:val="24"/>
                <w:szCs w:val="30"/>
              </w:rPr>
              <w:t>列表详见下表</w:t>
            </w:r>
            <w:r>
              <w:rPr>
                <w:sz w:val="24"/>
                <w:szCs w:val="30"/>
              </w:rPr>
              <w:t>1-</w:t>
            </w:r>
            <w:r>
              <w:rPr>
                <w:rFonts w:hint="eastAsia"/>
                <w:sz w:val="24"/>
                <w:szCs w:val="30"/>
                <w:lang w:val="en-US" w:eastAsia="zh-CN"/>
              </w:rPr>
              <w:t>9</w:t>
            </w:r>
            <w:r>
              <w:rPr>
                <w:rFonts w:hint="eastAsia"/>
                <w:sz w:val="24"/>
                <w:szCs w:val="30"/>
              </w:rPr>
              <w:t>。</w:t>
            </w:r>
          </w:p>
          <w:p>
            <w:pPr>
              <w:spacing w:line="360" w:lineRule="auto"/>
              <w:jc w:val="center"/>
              <w:rPr>
                <w:b/>
                <w:szCs w:val="21"/>
              </w:rPr>
            </w:pPr>
            <w:r>
              <w:rPr>
                <w:b/>
                <w:szCs w:val="21"/>
              </w:rPr>
              <w:t>表</w:t>
            </w:r>
            <w:r>
              <w:rPr>
                <w:rFonts w:hint="eastAsia"/>
                <w:b/>
                <w:szCs w:val="21"/>
              </w:rPr>
              <w:t>1-</w:t>
            </w:r>
            <w:r>
              <w:rPr>
                <w:rFonts w:hint="eastAsia"/>
                <w:b/>
                <w:szCs w:val="21"/>
                <w:lang w:val="en-US" w:eastAsia="zh-CN"/>
              </w:rPr>
              <w:t>9</w:t>
            </w:r>
            <w:r>
              <w:rPr>
                <w:b/>
                <w:szCs w:val="21"/>
              </w:rPr>
              <w:t>项目</w:t>
            </w:r>
            <w:r>
              <w:rPr>
                <w:rFonts w:hint="eastAsia"/>
                <w:b/>
                <w:szCs w:val="21"/>
              </w:rPr>
              <w:t>主要机械</w:t>
            </w:r>
            <w:r>
              <w:rPr>
                <w:b/>
                <w:szCs w:val="21"/>
              </w:rPr>
              <w:t>设备表</w:t>
            </w:r>
          </w:p>
          <w:tbl>
            <w:tblPr>
              <w:tblStyle w:val="28"/>
              <w:tblW w:w="82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537"/>
              <w:gridCol w:w="1851"/>
              <w:gridCol w:w="1327"/>
              <w:gridCol w:w="13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00" w:type="dxa"/>
                  <w:vAlign w:val="center"/>
                </w:tcPr>
                <w:p>
                  <w:pPr>
                    <w:jc w:val="center"/>
                    <w:rPr>
                      <w:szCs w:val="21"/>
                    </w:rPr>
                  </w:pPr>
                  <w:r>
                    <w:rPr>
                      <w:szCs w:val="21"/>
                    </w:rPr>
                    <w:t>序号</w:t>
                  </w:r>
                </w:p>
              </w:tc>
              <w:tc>
                <w:tcPr>
                  <w:tcW w:w="2537" w:type="dxa"/>
                  <w:vAlign w:val="center"/>
                </w:tcPr>
                <w:p>
                  <w:pPr>
                    <w:jc w:val="center"/>
                    <w:rPr>
                      <w:szCs w:val="21"/>
                    </w:rPr>
                  </w:pPr>
                  <w:r>
                    <w:rPr>
                      <w:szCs w:val="21"/>
                    </w:rPr>
                    <w:t>名称</w:t>
                  </w:r>
                </w:p>
              </w:tc>
              <w:tc>
                <w:tcPr>
                  <w:tcW w:w="1851" w:type="dxa"/>
                  <w:vAlign w:val="center"/>
                </w:tcPr>
                <w:p>
                  <w:pPr>
                    <w:jc w:val="center"/>
                    <w:rPr>
                      <w:szCs w:val="21"/>
                    </w:rPr>
                  </w:pPr>
                  <w:r>
                    <w:rPr>
                      <w:rFonts w:hint="eastAsia"/>
                      <w:szCs w:val="21"/>
                    </w:rPr>
                    <w:t>型号</w:t>
                  </w:r>
                </w:p>
              </w:tc>
              <w:tc>
                <w:tcPr>
                  <w:tcW w:w="1327" w:type="dxa"/>
                  <w:vAlign w:val="center"/>
                </w:tcPr>
                <w:p>
                  <w:pPr>
                    <w:jc w:val="center"/>
                    <w:rPr>
                      <w:szCs w:val="21"/>
                    </w:rPr>
                  </w:pPr>
                  <w:r>
                    <w:rPr>
                      <w:szCs w:val="21"/>
                    </w:rPr>
                    <w:t>数量</w:t>
                  </w:r>
                </w:p>
              </w:tc>
              <w:tc>
                <w:tcPr>
                  <w:tcW w:w="1325" w:type="dxa"/>
                  <w:vAlign w:val="center"/>
                </w:tcPr>
                <w:p>
                  <w:pPr>
                    <w:jc w:val="center"/>
                    <w:rPr>
                      <w:szCs w:val="21"/>
                    </w:rPr>
                  </w:pPr>
                  <w:r>
                    <w:rPr>
                      <w:rFonts w:hint="eastAsia"/>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00" w:type="dxa"/>
                  <w:vAlign w:val="center"/>
                </w:tcPr>
                <w:p>
                  <w:pPr>
                    <w:jc w:val="center"/>
                    <w:rPr>
                      <w:szCs w:val="21"/>
                    </w:rPr>
                  </w:pPr>
                  <w:r>
                    <w:rPr>
                      <w:szCs w:val="21"/>
                    </w:rPr>
                    <w:t>1</w:t>
                  </w:r>
                </w:p>
              </w:tc>
              <w:tc>
                <w:tcPr>
                  <w:tcW w:w="2537" w:type="dxa"/>
                  <w:vAlign w:val="center"/>
                </w:tcPr>
                <w:p>
                  <w:pPr>
                    <w:jc w:val="center"/>
                    <w:rPr>
                      <w:szCs w:val="21"/>
                    </w:rPr>
                  </w:pPr>
                  <w:r>
                    <w:rPr>
                      <w:rFonts w:hint="eastAsia"/>
                      <w:szCs w:val="21"/>
                    </w:rPr>
                    <w:t xml:space="preserve">震动给料机        </w:t>
                  </w:r>
                </w:p>
              </w:tc>
              <w:tc>
                <w:tcPr>
                  <w:tcW w:w="1851" w:type="dxa"/>
                  <w:vAlign w:val="center"/>
                </w:tcPr>
                <w:p>
                  <w:pPr>
                    <w:jc w:val="center"/>
                    <w:rPr>
                      <w:szCs w:val="21"/>
                    </w:rPr>
                  </w:pPr>
                  <w:r>
                    <w:rPr>
                      <w:rFonts w:hint="eastAsia"/>
                      <w:szCs w:val="21"/>
                    </w:rPr>
                    <w:t>ZSW-200</w:t>
                  </w:r>
                </w:p>
              </w:tc>
              <w:tc>
                <w:tcPr>
                  <w:tcW w:w="1327" w:type="dxa"/>
                  <w:vAlign w:val="center"/>
                </w:tcPr>
                <w:p>
                  <w:pPr>
                    <w:jc w:val="center"/>
                    <w:rPr>
                      <w:szCs w:val="21"/>
                    </w:rPr>
                  </w:pPr>
                  <w:r>
                    <w:rPr>
                      <w:rFonts w:hint="eastAsia"/>
                      <w:szCs w:val="21"/>
                    </w:rPr>
                    <w:t>1台</w:t>
                  </w:r>
                </w:p>
              </w:tc>
              <w:tc>
                <w:tcPr>
                  <w:tcW w:w="1325" w:type="dxa"/>
                  <w:vAlign w:val="center"/>
                </w:tcPr>
                <w:p>
                  <w:pPr>
                    <w:jc w:val="center"/>
                    <w:rPr>
                      <w:szCs w:val="21"/>
                    </w:rPr>
                  </w:pPr>
                  <w:r>
                    <w:rPr>
                      <w:rFonts w:hint="eastAsia"/>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00" w:type="dxa"/>
                  <w:vAlign w:val="center"/>
                </w:tcPr>
                <w:p>
                  <w:pPr>
                    <w:jc w:val="center"/>
                    <w:rPr>
                      <w:szCs w:val="21"/>
                    </w:rPr>
                  </w:pPr>
                  <w:r>
                    <w:rPr>
                      <w:szCs w:val="21"/>
                    </w:rPr>
                    <w:t>2</w:t>
                  </w:r>
                </w:p>
              </w:tc>
              <w:tc>
                <w:tcPr>
                  <w:tcW w:w="2537" w:type="dxa"/>
                  <w:vAlign w:val="center"/>
                </w:tcPr>
                <w:p>
                  <w:pPr>
                    <w:jc w:val="center"/>
                    <w:rPr>
                      <w:szCs w:val="21"/>
                    </w:rPr>
                  </w:pPr>
                  <w:r>
                    <w:rPr>
                      <w:rFonts w:hint="eastAsia"/>
                      <w:szCs w:val="21"/>
                    </w:rPr>
                    <w:t>颚式破碎机</w:t>
                  </w:r>
                </w:p>
              </w:tc>
              <w:tc>
                <w:tcPr>
                  <w:tcW w:w="1851" w:type="dxa"/>
                  <w:vAlign w:val="center"/>
                </w:tcPr>
                <w:p>
                  <w:pPr>
                    <w:jc w:val="center"/>
                    <w:rPr>
                      <w:szCs w:val="21"/>
                    </w:rPr>
                  </w:pPr>
                  <w:r>
                    <w:rPr>
                      <w:rFonts w:hint="eastAsia"/>
                      <w:szCs w:val="21"/>
                    </w:rPr>
                    <w:t>PE600X900</w:t>
                  </w:r>
                </w:p>
              </w:tc>
              <w:tc>
                <w:tcPr>
                  <w:tcW w:w="1327" w:type="dxa"/>
                  <w:vAlign w:val="center"/>
                </w:tcPr>
                <w:p>
                  <w:pPr>
                    <w:jc w:val="center"/>
                    <w:rPr>
                      <w:szCs w:val="21"/>
                    </w:rPr>
                  </w:pPr>
                  <w:r>
                    <w:rPr>
                      <w:rFonts w:hint="eastAsia"/>
                      <w:szCs w:val="21"/>
                    </w:rPr>
                    <w:t>1台</w:t>
                  </w:r>
                </w:p>
              </w:tc>
              <w:tc>
                <w:tcPr>
                  <w:tcW w:w="1325" w:type="dxa"/>
                  <w:vAlign w:val="center"/>
                </w:tcPr>
                <w:p>
                  <w:pPr>
                    <w:jc w:val="center"/>
                    <w:rPr>
                      <w:szCs w:val="21"/>
                    </w:rPr>
                  </w:pPr>
                  <w:r>
                    <w:rPr>
                      <w:rFonts w:hint="eastAsia"/>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200" w:type="dxa"/>
                  <w:vMerge w:val="restart"/>
                  <w:vAlign w:val="center"/>
                </w:tcPr>
                <w:p>
                  <w:pPr>
                    <w:jc w:val="center"/>
                    <w:rPr>
                      <w:szCs w:val="21"/>
                    </w:rPr>
                  </w:pPr>
                  <w:r>
                    <w:rPr>
                      <w:szCs w:val="21"/>
                    </w:rPr>
                    <w:t>3</w:t>
                  </w:r>
                </w:p>
              </w:tc>
              <w:tc>
                <w:tcPr>
                  <w:tcW w:w="2537" w:type="dxa"/>
                  <w:vAlign w:val="center"/>
                </w:tcPr>
                <w:p>
                  <w:pPr>
                    <w:jc w:val="center"/>
                    <w:rPr>
                      <w:szCs w:val="21"/>
                    </w:rPr>
                  </w:pPr>
                  <w:r>
                    <w:rPr>
                      <w:rFonts w:hint="eastAsia"/>
                      <w:szCs w:val="21"/>
                    </w:rPr>
                    <w:t>卧式冲击破碎制砂机</w:t>
                  </w:r>
                </w:p>
              </w:tc>
              <w:tc>
                <w:tcPr>
                  <w:tcW w:w="1851" w:type="dxa"/>
                  <w:vAlign w:val="center"/>
                </w:tcPr>
                <w:p>
                  <w:pPr>
                    <w:jc w:val="center"/>
                    <w:rPr>
                      <w:szCs w:val="21"/>
                    </w:rPr>
                  </w:pPr>
                  <w:r>
                    <w:rPr>
                      <w:rFonts w:hint="eastAsia"/>
                      <w:szCs w:val="21"/>
                    </w:rPr>
                    <w:t>PW3008</w:t>
                  </w:r>
                </w:p>
              </w:tc>
              <w:tc>
                <w:tcPr>
                  <w:tcW w:w="1327" w:type="dxa"/>
                  <w:vAlign w:val="center"/>
                </w:tcPr>
                <w:p>
                  <w:pPr>
                    <w:jc w:val="center"/>
                    <w:rPr>
                      <w:szCs w:val="21"/>
                    </w:rPr>
                  </w:pPr>
                  <w:r>
                    <w:rPr>
                      <w:rFonts w:hint="eastAsia"/>
                      <w:szCs w:val="21"/>
                    </w:rPr>
                    <w:t>1台</w:t>
                  </w:r>
                </w:p>
              </w:tc>
              <w:tc>
                <w:tcPr>
                  <w:tcW w:w="1325" w:type="dxa"/>
                  <w:vMerge w:val="restart"/>
                  <w:vAlign w:val="center"/>
                </w:tcPr>
                <w:p>
                  <w:pPr>
                    <w:jc w:val="center"/>
                    <w:rPr>
                      <w:szCs w:val="21"/>
                    </w:rPr>
                  </w:pPr>
                  <w:r>
                    <w:rPr>
                      <w:rFonts w:hint="eastAsia"/>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200" w:type="dxa"/>
                  <w:vMerge w:val="continue"/>
                  <w:vAlign w:val="center"/>
                </w:tcPr>
                <w:p>
                  <w:pPr>
                    <w:jc w:val="center"/>
                    <w:rPr>
                      <w:szCs w:val="21"/>
                    </w:rPr>
                  </w:pPr>
                </w:p>
              </w:tc>
              <w:tc>
                <w:tcPr>
                  <w:tcW w:w="2537" w:type="dxa"/>
                  <w:vAlign w:val="center"/>
                </w:tcPr>
                <w:p>
                  <w:pPr>
                    <w:jc w:val="center"/>
                    <w:rPr>
                      <w:szCs w:val="21"/>
                    </w:rPr>
                  </w:pPr>
                  <w:r>
                    <w:rPr>
                      <w:rFonts w:hint="eastAsia"/>
                      <w:szCs w:val="21"/>
                    </w:rPr>
                    <w:t>圆振动筛</w:t>
                  </w:r>
                </w:p>
              </w:tc>
              <w:tc>
                <w:tcPr>
                  <w:tcW w:w="1851" w:type="dxa"/>
                  <w:vAlign w:val="center"/>
                </w:tcPr>
                <w:p>
                  <w:pPr>
                    <w:jc w:val="center"/>
                    <w:rPr>
                      <w:szCs w:val="21"/>
                    </w:rPr>
                  </w:pPr>
                  <w:r>
                    <w:rPr>
                      <w:rFonts w:hint="eastAsia"/>
                      <w:szCs w:val="21"/>
                    </w:rPr>
                    <w:t>2YK2060</w:t>
                  </w:r>
                </w:p>
              </w:tc>
              <w:tc>
                <w:tcPr>
                  <w:tcW w:w="1327" w:type="dxa"/>
                  <w:vAlign w:val="center"/>
                </w:tcPr>
                <w:p>
                  <w:pPr>
                    <w:jc w:val="center"/>
                    <w:rPr>
                      <w:szCs w:val="21"/>
                    </w:rPr>
                  </w:pPr>
                  <w:r>
                    <w:rPr>
                      <w:rFonts w:hint="eastAsia"/>
                      <w:szCs w:val="21"/>
                    </w:rPr>
                    <w:t>1台</w:t>
                  </w:r>
                </w:p>
              </w:tc>
              <w:tc>
                <w:tcPr>
                  <w:tcW w:w="1325"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200" w:type="dxa"/>
                  <w:vAlign w:val="center"/>
                </w:tcPr>
                <w:p>
                  <w:pPr>
                    <w:jc w:val="center"/>
                    <w:rPr>
                      <w:szCs w:val="21"/>
                    </w:rPr>
                  </w:pPr>
                  <w:r>
                    <w:rPr>
                      <w:szCs w:val="21"/>
                    </w:rPr>
                    <w:t>4</w:t>
                  </w:r>
                </w:p>
              </w:tc>
              <w:tc>
                <w:tcPr>
                  <w:tcW w:w="2537" w:type="dxa"/>
                  <w:vAlign w:val="center"/>
                </w:tcPr>
                <w:p>
                  <w:pPr>
                    <w:jc w:val="center"/>
                    <w:rPr>
                      <w:szCs w:val="21"/>
                    </w:rPr>
                  </w:pPr>
                  <w:r>
                    <w:rPr>
                      <w:rFonts w:hint="eastAsia"/>
                      <w:szCs w:val="21"/>
                    </w:rPr>
                    <w:t>叶轮式洗砂机</w:t>
                  </w:r>
                </w:p>
              </w:tc>
              <w:tc>
                <w:tcPr>
                  <w:tcW w:w="1851" w:type="dxa"/>
                  <w:vAlign w:val="center"/>
                </w:tcPr>
                <w:p>
                  <w:pPr>
                    <w:jc w:val="center"/>
                    <w:rPr>
                      <w:szCs w:val="21"/>
                    </w:rPr>
                  </w:pPr>
                  <w:r>
                    <w:rPr>
                      <w:rFonts w:hint="eastAsia"/>
                      <w:szCs w:val="21"/>
                    </w:rPr>
                    <w:t>XSJ3020</w:t>
                  </w:r>
                </w:p>
              </w:tc>
              <w:tc>
                <w:tcPr>
                  <w:tcW w:w="1327" w:type="dxa"/>
                  <w:vAlign w:val="center"/>
                </w:tcPr>
                <w:p>
                  <w:pPr>
                    <w:jc w:val="center"/>
                    <w:rPr>
                      <w:szCs w:val="21"/>
                    </w:rPr>
                  </w:pPr>
                  <w:r>
                    <w:rPr>
                      <w:rFonts w:hint="eastAsia"/>
                      <w:szCs w:val="21"/>
                      <w:lang w:val="en-US" w:eastAsia="zh-CN"/>
                    </w:rPr>
                    <w:t>2</w:t>
                  </w:r>
                  <w:r>
                    <w:rPr>
                      <w:rFonts w:hint="eastAsia"/>
                      <w:szCs w:val="21"/>
                    </w:rPr>
                    <w:t>台</w:t>
                  </w:r>
                </w:p>
              </w:tc>
              <w:tc>
                <w:tcPr>
                  <w:tcW w:w="1325" w:type="dxa"/>
                  <w:vAlign w:val="center"/>
                </w:tcPr>
                <w:p>
                  <w:pPr>
                    <w:jc w:val="center"/>
                    <w:rPr>
                      <w:szCs w:val="21"/>
                    </w:rPr>
                  </w:pPr>
                  <w:r>
                    <w:rPr>
                      <w:rFonts w:hint="eastAsia"/>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00" w:type="dxa"/>
                  <w:vAlign w:val="center"/>
                </w:tcPr>
                <w:p>
                  <w:pPr>
                    <w:jc w:val="center"/>
                    <w:rPr>
                      <w:szCs w:val="21"/>
                    </w:rPr>
                  </w:pPr>
                  <w:r>
                    <w:rPr>
                      <w:szCs w:val="21"/>
                    </w:rPr>
                    <w:t>5</w:t>
                  </w:r>
                </w:p>
              </w:tc>
              <w:tc>
                <w:tcPr>
                  <w:tcW w:w="2537" w:type="dxa"/>
                  <w:vAlign w:val="center"/>
                </w:tcPr>
                <w:p>
                  <w:pPr>
                    <w:jc w:val="center"/>
                    <w:rPr>
                      <w:szCs w:val="21"/>
                    </w:rPr>
                  </w:pPr>
                  <w:r>
                    <w:rPr>
                      <w:rFonts w:hint="eastAsia"/>
                      <w:szCs w:val="21"/>
                    </w:rPr>
                    <w:t>细沙回收系统</w:t>
                  </w:r>
                </w:p>
              </w:tc>
              <w:tc>
                <w:tcPr>
                  <w:tcW w:w="1851" w:type="dxa"/>
                  <w:vAlign w:val="center"/>
                </w:tcPr>
                <w:p>
                  <w:pPr>
                    <w:jc w:val="center"/>
                    <w:rPr>
                      <w:szCs w:val="21"/>
                    </w:rPr>
                  </w:pPr>
                  <w:r>
                    <w:rPr>
                      <w:rFonts w:hint="eastAsia"/>
                      <w:szCs w:val="21"/>
                    </w:rPr>
                    <w:t>/</w:t>
                  </w:r>
                </w:p>
              </w:tc>
              <w:tc>
                <w:tcPr>
                  <w:tcW w:w="1327" w:type="dxa"/>
                  <w:vAlign w:val="center"/>
                </w:tcPr>
                <w:p>
                  <w:pPr>
                    <w:jc w:val="center"/>
                    <w:rPr>
                      <w:szCs w:val="21"/>
                    </w:rPr>
                  </w:pPr>
                  <w:r>
                    <w:rPr>
                      <w:rFonts w:hint="eastAsia"/>
                      <w:szCs w:val="21"/>
                    </w:rPr>
                    <w:t>1台</w:t>
                  </w:r>
                </w:p>
              </w:tc>
              <w:tc>
                <w:tcPr>
                  <w:tcW w:w="1325" w:type="dxa"/>
                  <w:vAlign w:val="center"/>
                </w:tcPr>
                <w:p>
                  <w:pPr>
                    <w:jc w:val="center"/>
                    <w:rPr>
                      <w:szCs w:val="21"/>
                    </w:rPr>
                  </w:pPr>
                  <w:r>
                    <w:rPr>
                      <w:rFonts w:hint="eastAsia"/>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0" w:type="dxa"/>
                  <w:vAlign w:val="center"/>
                </w:tcPr>
                <w:p>
                  <w:pPr>
                    <w:jc w:val="center"/>
                    <w:rPr>
                      <w:szCs w:val="21"/>
                    </w:rPr>
                  </w:pPr>
                  <w:r>
                    <w:rPr>
                      <w:szCs w:val="21"/>
                    </w:rPr>
                    <w:t>6</w:t>
                  </w:r>
                </w:p>
              </w:tc>
              <w:tc>
                <w:tcPr>
                  <w:tcW w:w="2537" w:type="dxa"/>
                  <w:vAlign w:val="center"/>
                </w:tcPr>
                <w:p>
                  <w:pPr>
                    <w:ind w:firstLine="840" w:firstLineChars="400"/>
                    <w:rPr>
                      <w:szCs w:val="21"/>
                    </w:rPr>
                  </w:pPr>
                  <w:r>
                    <w:rPr>
                      <w:rFonts w:hint="eastAsia"/>
                      <w:szCs w:val="21"/>
                    </w:rPr>
                    <w:t>脱水筛</w:t>
                  </w:r>
                </w:p>
              </w:tc>
              <w:tc>
                <w:tcPr>
                  <w:tcW w:w="1851" w:type="dxa"/>
                  <w:vAlign w:val="center"/>
                </w:tcPr>
                <w:p>
                  <w:pPr>
                    <w:jc w:val="center"/>
                    <w:rPr>
                      <w:szCs w:val="21"/>
                    </w:rPr>
                  </w:pPr>
                  <w:r>
                    <w:rPr>
                      <w:rFonts w:hint="eastAsia"/>
                      <w:szCs w:val="21"/>
                    </w:rPr>
                    <w:t>1638</w:t>
                  </w:r>
                </w:p>
              </w:tc>
              <w:tc>
                <w:tcPr>
                  <w:tcW w:w="1327" w:type="dxa"/>
                  <w:vAlign w:val="center"/>
                </w:tcPr>
                <w:p>
                  <w:pPr>
                    <w:jc w:val="center"/>
                    <w:rPr>
                      <w:szCs w:val="21"/>
                    </w:rPr>
                  </w:pPr>
                  <w:r>
                    <w:rPr>
                      <w:rFonts w:hint="eastAsia"/>
                      <w:szCs w:val="21"/>
                    </w:rPr>
                    <w:t>1套</w:t>
                  </w:r>
                </w:p>
              </w:tc>
              <w:tc>
                <w:tcPr>
                  <w:tcW w:w="1325" w:type="dxa"/>
                  <w:vAlign w:val="center"/>
                </w:tcPr>
                <w:p>
                  <w:pPr>
                    <w:jc w:val="center"/>
                    <w:rPr>
                      <w:szCs w:val="21"/>
                    </w:rPr>
                  </w:pPr>
                  <w:r>
                    <w:rPr>
                      <w:rFonts w:hint="eastAsia"/>
                      <w:szCs w:val="2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0" w:type="dxa"/>
                  <w:vAlign w:val="center"/>
                </w:tcPr>
                <w:p>
                  <w:pPr>
                    <w:jc w:val="center"/>
                    <w:rPr>
                      <w:szCs w:val="21"/>
                    </w:rPr>
                  </w:pPr>
                  <w:r>
                    <w:rPr>
                      <w:rFonts w:hint="eastAsia"/>
                      <w:szCs w:val="21"/>
                    </w:rPr>
                    <w:t>7</w:t>
                  </w:r>
                </w:p>
              </w:tc>
              <w:tc>
                <w:tcPr>
                  <w:tcW w:w="2537" w:type="dxa"/>
                  <w:vAlign w:val="center"/>
                </w:tcPr>
                <w:p>
                  <w:pPr>
                    <w:jc w:val="center"/>
                    <w:rPr>
                      <w:szCs w:val="21"/>
                    </w:rPr>
                  </w:pPr>
                  <w:r>
                    <w:rPr>
                      <w:rFonts w:hint="eastAsia"/>
                      <w:szCs w:val="21"/>
                    </w:rPr>
                    <w:t xml:space="preserve">震动给料机        </w:t>
                  </w:r>
                </w:p>
              </w:tc>
              <w:tc>
                <w:tcPr>
                  <w:tcW w:w="1851" w:type="dxa"/>
                  <w:vAlign w:val="center"/>
                </w:tcPr>
                <w:p>
                  <w:pPr>
                    <w:jc w:val="center"/>
                    <w:rPr>
                      <w:szCs w:val="21"/>
                    </w:rPr>
                  </w:pPr>
                  <w:r>
                    <w:rPr>
                      <w:rFonts w:hint="eastAsia"/>
                      <w:szCs w:val="21"/>
                    </w:rPr>
                    <w:t>ZSW-200</w:t>
                  </w:r>
                </w:p>
              </w:tc>
              <w:tc>
                <w:tcPr>
                  <w:tcW w:w="1327" w:type="dxa"/>
                  <w:vAlign w:val="center"/>
                </w:tcPr>
                <w:p>
                  <w:pPr>
                    <w:jc w:val="center"/>
                    <w:rPr>
                      <w:szCs w:val="21"/>
                    </w:rPr>
                  </w:pPr>
                  <w:r>
                    <w:rPr>
                      <w:rFonts w:hint="eastAsia"/>
                      <w:szCs w:val="21"/>
                    </w:rPr>
                    <w:t>1台</w:t>
                  </w:r>
                </w:p>
              </w:tc>
              <w:tc>
                <w:tcPr>
                  <w:tcW w:w="1325" w:type="dxa"/>
                  <w:vAlign w:val="center"/>
                </w:tcPr>
                <w:p>
                  <w:pPr>
                    <w:jc w:val="center"/>
                    <w:rPr>
                      <w:szCs w:val="21"/>
                    </w:rPr>
                  </w:pPr>
                  <w:r>
                    <w:rPr>
                      <w:rFonts w:hint="eastAsia"/>
                      <w:szCs w:val="21"/>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0" w:type="dxa"/>
                  <w:vAlign w:val="center"/>
                </w:tcPr>
                <w:p>
                  <w:pPr>
                    <w:jc w:val="center"/>
                    <w:rPr>
                      <w:rFonts w:hint="eastAsia" w:eastAsia="宋体"/>
                      <w:szCs w:val="21"/>
                      <w:lang w:val="en-US" w:eastAsia="zh-CN"/>
                    </w:rPr>
                  </w:pPr>
                  <w:r>
                    <w:rPr>
                      <w:rFonts w:hint="eastAsia"/>
                      <w:szCs w:val="21"/>
                      <w:lang w:val="en-US" w:eastAsia="zh-CN"/>
                    </w:rPr>
                    <w:t>8</w:t>
                  </w:r>
                </w:p>
              </w:tc>
              <w:tc>
                <w:tcPr>
                  <w:tcW w:w="2537" w:type="dxa"/>
                  <w:vAlign w:val="center"/>
                </w:tcPr>
                <w:p>
                  <w:pPr>
                    <w:jc w:val="center"/>
                    <w:rPr>
                      <w:rFonts w:hint="eastAsia" w:eastAsia="宋体"/>
                      <w:szCs w:val="21"/>
                      <w:lang w:eastAsia="zh-CN"/>
                    </w:rPr>
                  </w:pPr>
                  <w:r>
                    <w:rPr>
                      <w:rFonts w:hint="eastAsia"/>
                      <w:szCs w:val="21"/>
                      <w:lang w:eastAsia="zh-CN"/>
                    </w:rPr>
                    <w:t>压泥机</w:t>
                  </w:r>
                </w:p>
              </w:tc>
              <w:tc>
                <w:tcPr>
                  <w:tcW w:w="1851" w:type="dxa"/>
                  <w:vAlign w:val="center"/>
                </w:tcPr>
                <w:p>
                  <w:pPr>
                    <w:jc w:val="center"/>
                    <w:rPr>
                      <w:rFonts w:hint="eastAsia" w:eastAsia="宋体"/>
                      <w:szCs w:val="21"/>
                      <w:lang w:val="en-US" w:eastAsia="zh-CN"/>
                    </w:rPr>
                  </w:pPr>
                  <w:r>
                    <w:rPr>
                      <w:rFonts w:hint="eastAsia"/>
                      <w:szCs w:val="21"/>
                      <w:lang w:val="en-US" w:eastAsia="zh-CN"/>
                    </w:rPr>
                    <w:t>DYJ2000</w:t>
                  </w:r>
                </w:p>
              </w:tc>
              <w:tc>
                <w:tcPr>
                  <w:tcW w:w="1327" w:type="dxa"/>
                  <w:vAlign w:val="center"/>
                </w:tcPr>
                <w:p>
                  <w:pPr>
                    <w:jc w:val="center"/>
                    <w:rPr>
                      <w:rFonts w:hint="eastAsia" w:eastAsia="宋体"/>
                      <w:szCs w:val="21"/>
                      <w:lang w:val="en-US" w:eastAsia="zh-CN"/>
                    </w:rPr>
                  </w:pPr>
                  <w:r>
                    <w:rPr>
                      <w:rFonts w:hint="eastAsia"/>
                      <w:szCs w:val="21"/>
                      <w:lang w:val="en-US" w:eastAsia="zh-CN"/>
                    </w:rPr>
                    <w:t>1台</w:t>
                  </w:r>
                </w:p>
              </w:tc>
              <w:tc>
                <w:tcPr>
                  <w:tcW w:w="1325" w:type="dxa"/>
                  <w:vAlign w:val="center"/>
                </w:tcPr>
                <w:p>
                  <w:pPr>
                    <w:jc w:val="center"/>
                    <w:rPr>
                      <w:rFonts w:hint="eastAsia" w:eastAsia="宋体"/>
                      <w:szCs w:val="21"/>
                      <w:lang w:eastAsia="zh-CN"/>
                    </w:rPr>
                  </w:pPr>
                  <w:r>
                    <w:rPr>
                      <w:rFonts w:hint="eastAsia"/>
                      <w:szCs w:val="21"/>
                      <w:lang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00" w:type="dxa"/>
                  <w:vAlign w:val="center"/>
                </w:tcPr>
                <w:p>
                  <w:pPr>
                    <w:jc w:val="center"/>
                    <w:rPr>
                      <w:rFonts w:hint="eastAsia" w:eastAsia="宋体"/>
                      <w:szCs w:val="21"/>
                      <w:lang w:val="en-US" w:eastAsia="zh-CN"/>
                    </w:rPr>
                  </w:pPr>
                  <w:r>
                    <w:rPr>
                      <w:rFonts w:hint="eastAsia"/>
                      <w:szCs w:val="21"/>
                      <w:lang w:val="en-US" w:eastAsia="zh-CN"/>
                    </w:rPr>
                    <w:t>9</w:t>
                  </w:r>
                </w:p>
              </w:tc>
              <w:tc>
                <w:tcPr>
                  <w:tcW w:w="2537" w:type="dxa"/>
                  <w:vAlign w:val="center"/>
                </w:tcPr>
                <w:p>
                  <w:pPr>
                    <w:jc w:val="center"/>
                    <w:rPr>
                      <w:rFonts w:hint="eastAsia" w:eastAsia="宋体"/>
                      <w:szCs w:val="21"/>
                      <w:lang w:eastAsia="zh-CN"/>
                    </w:rPr>
                  </w:pPr>
                  <w:r>
                    <w:rPr>
                      <w:rFonts w:hint="eastAsia"/>
                      <w:szCs w:val="21"/>
                      <w:lang w:eastAsia="zh-CN"/>
                    </w:rPr>
                    <w:t>污水循环塔</w:t>
                  </w:r>
                </w:p>
              </w:tc>
              <w:tc>
                <w:tcPr>
                  <w:tcW w:w="1851" w:type="dxa"/>
                  <w:vAlign w:val="center"/>
                </w:tcPr>
                <w:p>
                  <w:pPr>
                    <w:jc w:val="center"/>
                    <w:rPr>
                      <w:rFonts w:hint="default" w:eastAsia="宋体"/>
                      <w:szCs w:val="21"/>
                      <w:lang w:val="en-US" w:eastAsia="zh-CN"/>
                    </w:rPr>
                  </w:pPr>
                  <w:r>
                    <w:rPr>
                      <w:rFonts w:hint="eastAsia"/>
                      <w:szCs w:val="21"/>
                      <w:lang w:val="en-US" w:eastAsia="zh-CN"/>
                    </w:rPr>
                    <w:t>/</w:t>
                  </w:r>
                </w:p>
              </w:tc>
              <w:tc>
                <w:tcPr>
                  <w:tcW w:w="1327" w:type="dxa"/>
                  <w:vAlign w:val="center"/>
                </w:tcPr>
                <w:p>
                  <w:pPr>
                    <w:jc w:val="center"/>
                    <w:rPr>
                      <w:rFonts w:hint="eastAsia" w:eastAsia="宋体"/>
                      <w:szCs w:val="21"/>
                      <w:lang w:val="en-US" w:eastAsia="zh-CN"/>
                    </w:rPr>
                  </w:pPr>
                  <w:r>
                    <w:rPr>
                      <w:rFonts w:hint="eastAsia"/>
                      <w:szCs w:val="21"/>
                      <w:lang w:val="en-US" w:eastAsia="zh-CN"/>
                    </w:rPr>
                    <w:t>2台</w:t>
                  </w:r>
                </w:p>
              </w:tc>
              <w:tc>
                <w:tcPr>
                  <w:tcW w:w="1325" w:type="dxa"/>
                  <w:vAlign w:val="center"/>
                </w:tcPr>
                <w:p>
                  <w:pPr>
                    <w:jc w:val="center"/>
                    <w:rPr>
                      <w:rFonts w:hint="eastAsia" w:eastAsia="宋体"/>
                      <w:szCs w:val="21"/>
                      <w:lang w:eastAsia="zh-CN"/>
                    </w:rPr>
                  </w:pPr>
                  <w:r>
                    <w:rPr>
                      <w:rFonts w:hint="eastAsia"/>
                      <w:szCs w:val="21"/>
                      <w:lang w:eastAsia="zh-CN"/>
                    </w:rPr>
                    <w:t>台</w:t>
                  </w:r>
                </w:p>
              </w:tc>
            </w:tr>
          </w:tbl>
          <w:p>
            <w:pPr>
              <w:tabs>
                <w:tab w:val="left" w:pos="3240"/>
              </w:tabs>
              <w:spacing w:line="360" w:lineRule="auto"/>
              <w:ind w:firstLine="480" w:firstLineChars="200"/>
              <w:rPr>
                <w:rFonts w:hAnsi="宋体"/>
                <w:sz w:val="24"/>
                <w:szCs w:val="22"/>
              </w:rPr>
            </w:pPr>
            <w:r>
              <w:rPr>
                <w:sz w:val="24"/>
              </w:rPr>
              <w:t>通过对照分析，上表所示的设备没有</w:t>
            </w:r>
            <w:r>
              <w:rPr>
                <w:rFonts w:hAnsi="宋体"/>
                <w:sz w:val="24"/>
              </w:rPr>
              <w:t>《产业结构调整指导目录（</w:t>
            </w:r>
            <w:r>
              <w:rPr>
                <w:rFonts w:hint="eastAsia"/>
                <w:sz w:val="24"/>
                <w:lang w:val="en-US" w:eastAsia="zh-CN"/>
              </w:rPr>
              <w:t>2019年本</w:t>
            </w:r>
            <w:r>
              <w:rPr>
                <w:rFonts w:hAnsi="宋体"/>
                <w:sz w:val="24"/>
              </w:rPr>
              <w:t>）》中的限制类、淘汰类产品</w:t>
            </w:r>
            <w:r>
              <w:rPr>
                <w:rFonts w:hint="eastAsia" w:hAnsi="宋体"/>
                <w:sz w:val="24"/>
              </w:rPr>
              <w:t>，</w:t>
            </w:r>
            <w:r>
              <w:rPr>
                <w:rFonts w:hint="eastAsia" w:hAnsi="宋体"/>
                <w:b w:val="0"/>
                <w:bCs w:val="0"/>
                <w:color w:val="auto"/>
                <w:sz w:val="24"/>
                <w:lang w:eastAsia="zh-CN"/>
              </w:rPr>
              <w:t>符合</w:t>
            </w:r>
            <w:r>
              <w:rPr>
                <w:rFonts w:hint="eastAsia"/>
                <w:b w:val="0"/>
                <w:bCs w:val="0"/>
                <w:color w:val="auto"/>
                <w:sz w:val="24"/>
                <w:szCs w:val="22"/>
              </w:rPr>
              <w:t>《湖南省砂石骨料行业规范条件》</w:t>
            </w:r>
            <w:r>
              <w:rPr>
                <w:rFonts w:hint="eastAsia"/>
                <w:b w:val="0"/>
                <w:bCs w:val="0"/>
                <w:color w:val="auto"/>
                <w:sz w:val="24"/>
                <w:szCs w:val="22"/>
                <w:lang w:eastAsia="zh-CN"/>
              </w:rPr>
              <w:t>、</w:t>
            </w:r>
            <w:r>
              <w:rPr>
                <w:rFonts w:hint="eastAsia"/>
                <w:b w:val="0"/>
                <w:bCs w:val="0"/>
                <w:color w:val="auto"/>
                <w:sz w:val="24"/>
                <w:szCs w:val="22"/>
              </w:rPr>
              <w:t>《机制砂石骨料工厂设计规范（GB51186-2016）》</w:t>
            </w:r>
            <w:r>
              <w:rPr>
                <w:rFonts w:hint="eastAsia"/>
                <w:b w:val="0"/>
                <w:bCs w:val="0"/>
                <w:color w:val="auto"/>
                <w:sz w:val="24"/>
                <w:szCs w:val="22"/>
                <w:lang w:eastAsia="zh-CN"/>
              </w:rPr>
              <w:t>中生产设备要求，</w:t>
            </w:r>
            <w:r>
              <w:rPr>
                <w:rFonts w:hint="eastAsia" w:hAnsi="宋体"/>
                <w:sz w:val="24"/>
              </w:rPr>
              <w:t>不属于</w:t>
            </w:r>
            <w:r>
              <w:rPr>
                <w:rFonts w:hint="eastAsia"/>
                <w:sz w:val="24"/>
                <w:shd w:val="clear" w:color="auto" w:fill="FFFFFF"/>
              </w:rPr>
              <w:t>《高耗能落后机电设备（产品）淘汰目录（第四批）公告》中华人民共和国工业和信息化部公告[2016]第13号</w:t>
            </w:r>
            <w:r>
              <w:rPr>
                <w:rFonts w:hint="eastAsia" w:hAnsi="宋体"/>
                <w:sz w:val="24"/>
              </w:rPr>
              <w:t>，不属于《部分工业行业淘汰落后生产工艺装备和产品指</w:t>
            </w:r>
            <w:r>
              <w:rPr>
                <w:rFonts w:hint="eastAsia" w:hAnsi="宋体"/>
                <w:sz w:val="24"/>
                <w:szCs w:val="22"/>
              </w:rPr>
              <w:t>导目录（2010年本）》工产业[2010]第122号。</w:t>
            </w:r>
          </w:p>
          <w:p>
            <w:pPr>
              <w:widowControl w:val="0"/>
              <w:spacing w:line="360" w:lineRule="auto"/>
              <w:ind w:firstLine="480" w:firstLineChars="200"/>
              <w:outlineLvl w:val="4"/>
              <w:rPr>
                <w:rFonts w:hint="default" w:ascii="Times New Roman" w:hAnsi="Times New Roman" w:eastAsia="宋体" w:cs="Times New Roman"/>
                <w:color w:val="auto"/>
                <w:sz w:val="24"/>
                <w:szCs w:val="24"/>
                <w:u w:val="single"/>
              </w:rPr>
            </w:pPr>
            <w:r>
              <w:rPr>
                <w:rFonts w:hint="default" w:ascii="Times New Roman" w:hAnsi="Times New Roman" w:eastAsia="宋体" w:cs="Times New Roman"/>
                <w:color w:val="auto"/>
                <w:sz w:val="24"/>
                <w:szCs w:val="24"/>
                <w:u w:val="single"/>
              </w:rPr>
              <w:t>设备产能核算：</w:t>
            </w:r>
          </w:p>
          <w:p>
            <w:pPr>
              <w:spacing w:line="360" w:lineRule="auto"/>
              <w:ind w:firstLine="480" w:firstLineChars="200"/>
              <w:rPr>
                <w:rFonts w:hint="default" w:ascii="Times New Roman" w:hAnsi="Times New Roman" w:eastAsia="宋体" w:cs="Times New Roman"/>
                <w:color w:val="auto"/>
                <w:sz w:val="24"/>
                <w:szCs w:val="24"/>
                <w:u w:val="single"/>
              </w:rPr>
            </w:pPr>
            <w:r>
              <w:rPr>
                <w:rFonts w:hint="default" w:ascii="Times New Roman" w:hAnsi="Times New Roman" w:eastAsia="宋体" w:cs="Times New Roman"/>
                <w:color w:val="auto"/>
                <w:sz w:val="24"/>
                <w:szCs w:val="24"/>
                <w:u w:val="single"/>
              </w:rPr>
              <w:t>项目主要生产设备产能核算见下表：</w:t>
            </w:r>
          </w:p>
          <w:p>
            <w:pPr>
              <w:widowControl w:val="0"/>
              <w:spacing w:line="360" w:lineRule="auto"/>
              <w:jc w:val="center"/>
              <w:rPr>
                <w:rFonts w:hint="default" w:ascii="Times New Roman" w:hAnsi="Times New Roman" w:eastAsia="宋体" w:cs="Times New Roman"/>
                <w:b/>
                <w:bCs/>
                <w:color w:val="auto"/>
                <w:sz w:val="24"/>
                <w:szCs w:val="24"/>
                <w:u w:val="single"/>
              </w:rPr>
            </w:pPr>
            <w:r>
              <w:rPr>
                <w:rFonts w:hint="default" w:ascii="Times New Roman" w:hAnsi="Times New Roman" w:eastAsia="宋体" w:cs="Times New Roman"/>
                <w:b/>
                <w:bCs/>
                <w:color w:val="auto"/>
                <w:sz w:val="24"/>
                <w:szCs w:val="24"/>
                <w:u w:val="single"/>
              </w:rPr>
              <w:t>表</w:t>
            </w:r>
            <w:r>
              <w:rPr>
                <w:rFonts w:hint="eastAsia" w:ascii="Times New Roman" w:hAnsi="Times New Roman" w:cs="Times New Roman"/>
                <w:b/>
                <w:bCs/>
                <w:color w:val="auto"/>
                <w:sz w:val="24"/>
                <w:szCs w:val="24"/>
                <w:u w:val="single"/>
                <w:lang w:val="en-US" w:eastAsia="zh-CN"/>
              </w:rPr>
              <w:t>1-</w:t>
            </w:r>
            <w:r>
              <w:rPr>
                <w:rFonts w:hint="eastAsia" w:cs="Times New Roman"/>
                <w:b/>
                <w:bCs/>
                <w:color w:val="auto"/>
                <w:sz w:val="24"/>
                <w:szCs w:val="24"/>
                <w:u w:val="single"/>
                <w:lang w:val="en-US" w:eastAsia="zh-CN"/>
              </w:rPr>
              <w:t>10</w:t>
            </w:r>
            <w:r>
              <w:rPr>
                <w:rFonts w:hint="default" w:ascii="Times New Roman" w:hAnsi="Times New Roman" w:eastAsia="宋体" w:cs="Times New Roman"/>
                <w:b/>
                <w:bCs/>
                <w:color w:val="auto"/>
                <w:sz w:val="24"/>
                <w:szCs w:val="24"/>
                <w:u w:val="single"/>
              </w:rPr>
              <w:t xml:space="preserve">   项目主要生产设备产能核算表</w:t>
            </w:r>
          </w:p>
          <w:tbl>
            <w:tblPr>
              <w:tblStyle w:val="28"/>
              <w:tblW w:w="83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64"/>
              <w:gridCol w:w="1343"/>
              <w:gridCol w:w="1003"/>
              <w:gridCol w:w="918"/>
              <w:gridCol w:w="1140"/>
              <w:gridCol w:w="1170"/>
              <w:gridCol w:w="15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1264"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设备工序</w:t>
                  </w:r>
                </w:p>
              </w:tc>
              <w:tc>
                <w:tcPr>
                  <w:tcW w:w="1343"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设备设计产能（</w:t>
                  </w:r>
                  <w:r>
                    <w:rPr>
                      <w:rFonts w:hint="eastAsia" w:ascii="Times New Roman" w:hAnsi="Times New Roman" w:cs="Times New Roman"/>
                      <w:color w:val="auto"/>
                      <w:sz w:val="21"/>
                      <w:szCs w:val="21"/>
                      <w:u w:val="single"/>
                      <w:lang w:val="en-US" w:eastAsia="zh-CN"/>
                    </w:rPr>
                    <w:t>t</w:t>
                  </w:r>
                  <w:r>
                    <w:rPr>
                      <w:rFonts w:hint="default" w:ascii="Times New Roman" w:hAnsi="Times New Roman" w:eastAsia="宋体" w:cs="Times New Roman"/>
                      <w:color w:val="auto"/>
                      <w:sz w:val="21"/>
                      <w:szCs w:val="21"/>
                      <w:u w:val="single"/>
                    </w:rPr>
                    <w:t>/h）</w:t>
                  </w:r>
                </w:p>
              </w:tc>
              <w:tc>
                <w:tcPr>
                  <w:tcW w:w="1003"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设备数量（台/套）</w:t>
                  </w:r>
                </w:p>
              </w:tc>
              <w:tc>
                <w:tcPr>
                  <w:tcW w:w="918"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小时产能（</w:t>
                  </w:r>
                  <w:r>
                    <w:rPr>
                      <w:rFonts w:hint="eastAsia" w:ascii="Times New Roman" w:hAnsi="Times New Roman" w:cs="Times New Roman"/>
                      <w:color w:val="auto"/>
                      <w:sz w:val="21"/>
                      <w:szCs w:val="21"/>
                      <w:u w:val="single"/>
                      <w:lang w:val="en-US" w:eastAsia="zh-CN"/>
                    </w:rPr>
                    <w:t>t</w:t>
                  </w:r>
                  <w:r>
                    <w:rPr>
                      <w:rFonts w:hint="default" w:ascii="Times New Roman" w:hAnsi="Times New Roman" w:eastAsia="宋体" w:cs="Times New Roman"/>
                      <w:color w:val="auto"/>
                      <w:sz w:val="21"/>
                      <w:szCs w:val="21"/>
                      <w:u w:val="single"/>
                    </w:rPr>
                    <w:t>/h）</w:t>
                  </w:r>
                </w:p>
              </w:tc>
              <w:tc>
                <w:tcPr>
                  <w:tcW w:w="1140"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年工作时间（h）</w:t>
                  </w:r>
                </w:p>
              </w:tc>
              <w:tc>
                <w:tcPr>
                  <w:tcW w:w="1170"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年设计产能（t/a）</w:t>
                  </w:r>
                </w:p>
              </w:tc>
              <w:tc>
                <w:tcPr>
                  <w:tcW w:w="1538"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项目产能</w:t>
                  </w:r>
                </w:p>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1264" w:type="dxa"/>
                  <w:noWrap/>
                  <w:tcMar>
                    <w:top w:w="15" w:type="dxa"/>
                    <w:left w:w="15" w:type="dxa"/>
                    <w:right w:w="15" w:type="dxa"/>
                  </w:tcMar>
                  <w:vAlign w:val="center"/>
                </w:tcPr>
                <w:p>
                  <w:pPr>
                    <w:jc w:val="center"/>
                    <w:rPr>
                      <w:rFonts w:hint="eastAsia" w:ascii="Times New Roman" w:hAnsi="Times New Roman" w:cs="Times New Roman"/>
                      <w:color w:val="auto"/>
                      <w:szCs w:val="21"/>
                      <w:u w:val="single"/>
                    </w:rPr>
                  </w:pPr>
                  <w:r>
                    <w:rPr>
                      <w:rFonts w:hint="eastAsia" w:ascii="Times New Roman" w:hAnsi="Times New Roman" w:cs="Times New Roman"/>
                      <w:color w:val="auto"/>
                      <w:szCs w:val="21"/>
                      <w:u w:val="single"/>
                    </w:rPr>
                    <w:t>圆振动筛</w:t>
                  </w:r>
                </w:p>
                <w:p>
                  <w:pPr>
                    <w:jc w:val="center"/>
                    <w:rPr>
                      <w:rFonts w:hint="default" w:ascii="Times New Roman" w:hAnsi="Times New Roman" w:cs="Times New Roman"/>
                      <w:color w:val="auto"/>
                      <w:szCs w:val="21"/>
                      <w:u w:val="single"/>
                    </w:rPr>
                  </w:pPr>
                  <w:r>
                    <w:rPr>
                      <w:rFonts w:hint="eastAsia" w:ascii="Times New Roman" w:hAnsi="Times New Roman" w:cs="Times New Roman"/>
                      <w:color w:val="auto"/>
                      <w:szCs w:val="21"/>
                      <w:u w:val="single"/>
                    </w:rPr>
                    <w:t>2YK2060</w:t>
                  </w:r>
                </w:p>
              </w:tc>
              <w:tc>
                <w:tcPr>
                  <w:tcW w:w="1343"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200</w:t>
                  </w:r>
                </w:p>
              </w:tc>
              <w:tc>
                <w:tcPr>
                  <w:tcW w:w="1003" w:type="dxa"/>
                  <w:noWrap/>
                  <w:tcMar>
                    <w:top w:w="15" w:type="dxa"/>
                    <w:left w:w="15" w:type="dxa"/>
                    <w:right w:w="15" w:type="dxa"/>
                  </w:tcMar>
                  <w:vAlign w:val="center"/>
                </w:tcPr>
                <w:p>
                  <w:pPr>
                    <w:jc w:val="center"/>
                    <w:rPr>
                      <w:rFonts w:hint="eastAsia"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w:t>
                  </w:r>
                </w:p>
              </w:tc>
              <w:tc>
                <w:tcPr>
                  <w:tcW w:w="918"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200</w:t>
                  </w:r>
                </w:p>
              </w:tc>
              <w:tc>
                <w:tcPr>
                  <w:tcW w:w="1140"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3600</w:t>
                  </w:r>
                </w:p>
              </w:tc>
              <w:tc>
                <w:tcPr>
                  <w:tcW w:w="1170"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72万吨</w:t>
                  </w:r>
                </w:p>
              </w:tc>
              <w:tc>
                <w:tcPr>
                  <w:tcW w:w="1538"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60万吨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1264" w:type="dxa"/>
                  <w:noWrap/>
                  <w:tcMar>
                    <w:top w:w="15" w:type="dxa"/>
                    <w:left w:w="15" w:type="dxa"/>
                    <w:right w:w="15" w:type="dxa"/>
                  </w:tcMar>
                  <w:vAlign w:val="center"/>
                </w:tcPr>
                <w:p>
                  <w:pPr>
                    <w:jc w:val="center"/>
                    <w:rPr>
                      <w:rFonts w:hint="default" w:ascii="Times New Roman" w:hAnsi="Times New Roman" w:cs="Times New Roman"/>
                      <w:color w:val="auto"/>
                      <w:szCs w:val="21"/>
                      <w:u w:val="single"/>
                    </w:rPr>
                  </w:pPr>
                  <w:r>
                    <w:rPr>
                      <w:rFonts w:hint="eastAsia" w:ascii="Times New Roman" w:hAnsi="Times New Roman" w:cs="Times New Roman"/>
                      <w:color w:val="auto"/>
                      <w:szCs w:val="21"/>
                      <w:u w:val="single"/>
                    </w:rPr>
                    <w:t>颚式破碎机PE600X900</w:t>
                  </w:r>
                </w:p>
              </w:tc>
              <w:tc>
                <w:tcPr>
                  <w:tcW w:w="1343"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160</w:t>
                  </w:r>
                </w:p>
              </w:tc>
              <w:tc>
                <w:tcPr>
                  <w:tcW w:w="1003" w:type="dxa"/>
                  <w:noWrap/>
                  <w:tcMar>
                    <w:top w:w="15" w:type="dxa"/>
                    <w:left w:w="15" w:type="dxa"/>
                    <w:right w:w="15" w:type="dxa"/>
                  </w:tcMar>
                  <w:vAlign w:val="center"/>
                </w:tcPr>
                <w:p>
                  <w:pPr>
                    <w:jc w:val="center"/>
                    <w:textAlignment w:val="center"/>
                    <w:rPr>
                      <w:rFonts w:hint="eastAsia" w:ascii="Times New Roman" w:hAnsi="Times New Roman" w:eastAsia="宋体"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bidi="ar"/>
                    </w:rPr>
                    <w:t>1</w:t>
                  </w:r>
                </w:p>
              </w:tc>
              <w:tc>
                <w:tcPr>
                  <w:tcW w:w="918" w:type="dxa"/>
                  <w:noWrap/>
                  <w:tcMar>
                    <w:top w:w="15" w:type="dxa"/>
                    <w:left w:w="15" w:type="dxa"/>
                    <w:right w:w="15" w:type="dxa"/>
                  </w:tcMar>
                  <w:vAlign w:val="center"/>
                </w:tcPr>
                <w:p>
                  <w:pPr>
                    <w:jc w:val="center"/>
                    <w:textAlignment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160</w:t>
                  </w:r>
                </w:p>
              </w:tc>
              <w:tc>
                <w:tcPr>
                  <w:tcW w:w="1140"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3600</w:t>
                  </w:r>
                </w:p>
              </w:tc>
              <w:tc>
                <w:tcPr>
                  <w:tcW w:w="1170"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57.6</w:t>
                  </w:r>
                </w:p>
              </w:tc>
              <w:tc>
                <w:tcPr>
                  <w:tcW w:w="1538"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48万吨（60万吨的原材料，其中20％经圆振动筛筛分直接出成品，不需破碎和筛分）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1264"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rPr>
                  </w:pPr>
                  <w:r>
                    <w:rPr>
                      <w:rFonts w:hint="eastAsia"/>
                      <w:color w:val="auto"/>
                      <w:szCs w:val="21"/>
                      <w:u w:val="single"/>
                    </w:rPr>
                    <w:t>卧式冲击破碎制砂机PW3008</w:t>
                  </w:r>
                </w:p>
              </w:tc>
              <w:tc>
                <w:tcPr>
                  <w:tcW w:w="1343"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150</w:t>
                  </w:r>
                </w:p>
              </w:tc>
              <w:tc>
                <w:tcPr>
                  <w:tcW w:w="1003" w:type="dxa"/>
                  <w:noWrap/>
                  <w:tcMar>
                    <w:top w:w="15" w:type="dxa"/>
                    <w:left w:w="15" w:type="dxa"/>
                    <w:right w:w="15" w:type="dxa"/>
                  </w:tcMar>
                  <w:vAlign w:val="center"/>
                </w:tcPr>
                <w:p>
                  <w:pPr>
                    <w:jc w:val="center"/>
                    <w:textAlignment w:val="center"/>
                    <w:rPr>
                      <w:rFonts w:hint="eastAsia" w:ascii="Times New Roman" w:hAnsi="Times New Roman" w:eastAsia="宋体"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bidi="ar"/>
                    </w:rPr>
                    <w:t>1</w:t>
                  </w:r>
                </w:p>
              </w:tc>
              <w:tc>
                <w:tcPr>
                  <w:tcW w:w="918" w:type="dxa"/>
                  <w:noWrap/>
                  <w:tcMar>
                    <w:top w:w="15" w:type="dxa"/>
                    <w:left w:w="15" w:type="dxa"/>
                    <w:right w:w="15" w:type="dxa"/>
                  </w:tcMar>
                  <w:vAlign w:val="center"/>
                </w:tcPr>
                <w:p>
                  <w:pPr>
                    <w:jc w:val="center"/>
                    <w:textAlignment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150</w:t>
                  </w:r>
                </w:p>
              </w:tc>
              <w:tc>
                <w:tcPr>
                  <w:tcW w:w="1140" w:type="dxa"/>
                  <w:noWrap/>
                  <w:tcMar>
                    <w:top w:w="15" w:type="dxa"/>
                    <w:left w:w="15" w:type="dxa"/>
                    <w:right w:w="15" w:type="dxa"/>
                  </w:tcMar>
                  <w:vAlign w:val="center"/>
                </w:tcPr>
                <w:p>
                  <w:pPr>
                    <w:jc w:val="center"/>
                    <w:rPr>
                      <w:rFonts w:hint="default" w:ascii="Times New Roman" w:hAnsi="Times New Roman" w:eastAsia="宋体" w:cs="Times New Roman"/>
                      <w:color w:val="auto"/>
                      <w:sz w:val="24"/>
                      <w:szCs w:val="24"/>
                      <w:u w:val="single"/>
                      <w:lang w:val="en-US" w:eastAsia="zh-CN"/>
                    </w:rPr>
                  </w:pPr>
                  <w:r>
                    <w:rPr>
                      <w:rFonts w:hint="eastAsia" w:ascii="Times New Roman" w:hAnsi="Times New Roman" w:cs="Times New Roman"/>
                      <w:color w:val="auto"/>
                      <w:sz w:val="24"/>
                      <w:szCs w:val="24"/>
                      <w:u w:val="single"/>
                      <w:lang w:val="en-US" w:eastAsia="zh-CN"/>
                    </w:rPr>
                    <w:t>3600</w:t>
                  </w:r>
                </w:p>
              </w:tc>
              <w:tc>
                <w:tcPr>
                  <w:tcW w:w="1170" w:type="dxa"/>
                  <w:noWrap/>
                  <w:tcMar>
                    <w:top w:w="15" w:type="dxa"/>
                    <w:left w:w="15" w:type="dxa"/>
                    <w:right w:w="15" w:type="dxa"/>
                  </w:tcMar>
                  <w:vAlign w:val="center"/>
                </w:tcPr>
                <w:p>
                  <w:pPr>
                    <w:jc w:val="center"/>
                    <w:rPr>
                      <w:rFonts w:hint="default" w:ascii="Times New Roman" w:hAnsi="Times New Roman" w:eastAsia="宋体" w:cs="Times New Roman"/>
                      <w:color w:val="auto"/>
                      <w:sz w:val="24"/>
                      <w:szCs w:val="24"/>
                      <w:u w:val="single"/>
                      <w:lang w:val="en-US" w:eastAsia="zh-CN"/>
                    </w:rPr>
                  </w:pPr>
                  <w:r>
                    <w:rPr>
                      <w:rFonts w:hint="eastAsia" w:ascii="Times New Roman" w:hAnsi="Times New Roman" w:cs="Times New Roman"/>
                      <w:color w:val="auto"/>
                      <w:sz w:val="24"/>
                      <w:szCs w:val="24"/>
                      <w:u w:val="single"/>
                      <w:lang w:val="en-US" w:eastAsia="zh-CN"/>
                    </w:rPr>
                    <w:t>54.0</w:t>
                  </w:r>
                </w:p>
              </w:tc>
              <w:tc>
                <w:tcPr>
                  <w:tcW w:w="1538" w:type="dxa"/>
                  <w:noWrap/>
                  <w:tcMar>
                    <w:top w:w="15" w:type="dxa"/>
                    <w:left w:w="15" w:type="dxa"/>
                    <w:right w:w="15" w:type="dxa"/>
                  </w:tcMar>
                  <w:vAlign w:val="center"/>
                </w:tcPr>
                <w:p>
                  <w:pPr>
                    <w:jc w:val="center"/>
                    <w:rPr>
                      <w:rFonts w:hint="default" w:ascii="Times New Roman" w:hAnsi="Times New Roman" w:eastAsia="宋体" w:cs="Times New Roman"/>
                      <w:color w:val="auto"/>
                      <w:sz w:val="24"/>
                      <w:szCs w:val="24"/>
                      <w:u w:val="single"/>
                    </w:rPr>
                  </w:pPr>
                  <w:r>
                    <w:rPr>
                      <w:rFonts w:hint="eastAsia" w:ascii="Times New Roman" w:hAnsi="Times New Roman" w:cs="Times New Roman"/>
                      <w:color w:val="auto"/>
                      <w:sz w:val="21"/>
                      <w:szCs w:val="21"/>
                      <w:u w:val="single"/>
                      <w:lang w:val="en-US" w:eastAsia="zh-CN"/>
                    </w:rPr>
                    <w:t>48万吨（60万吨的原材料，其中20％经圆振动筛筛分直接出成品，不需破碎和筛分）</w:t>
                  </w:r>
                </w:p>
              </w:tc>
            </w:tr>
          </w:tbl>
          <w:p>
            <w:pPr>
              <w:spacing w:line="360" w:lineRule="auto"/>
              <w:ind w:firstLine="480" w:firstLineChars="200"/>
              <w:rPr>
                <w:rFonts w:hint="eastAsia"/>
                <w:b/>
                <w:color w:val="auto"/>
                <w:sz w:val="24"/>
                <w:szCs w:val="24"/>
                <w:u w:val="single"/>
              </w:rPr>
            </w:pPr>
            <w:r>
              <w:rPr>
                <w:rFonts w:hint="default" w:ascii="Times New Roman" w:hAnsi="Times New Roman" w:eastAsia="宋体" w:cs="Times New Roman"/>
                <w:color w:val="auto"/>
                <w:sz w:val="24"/>
                <w:szCs w:val="24"/>
                <w:u w:val="single"/>
                <w:lang w:val="en-US" w:eastAsia="zh-CN"/>
              </w:rPr>
              <w:t>根据上表可知，</w:t>
            </w:r>
            <w:r>
              <w:rPr>
                <w:rFonts w:hint="eastAsia" w:ascii="Times New Roman" w:hAnsi="Times New Roman" w:cs="Times New Roman"/>
                <w:color w:val="auto"/>
                <w:sz w:val="24"/>
                <w:szCs w:val="24"/>
                <w:u w:val="single"/>
                <w:lang w:val="en-US" w:eastAsia="zh-CN"/>
              </w:rPr>
              <w:t>项目</w:t>
            </w:r>
            <w:r>
              <w:rPr>
                <w:rFonts w:hint="default" w:ascii="Times New Roman" w:hAnsi="Times New Roman" w:eastAsia="宋体" w:cs="Times New Roman"/>
                <w:color w:val="auto"/>
                <w:sz w:val="24"/>
                <w:szCs w:val="24"/>
                <w:u w:val="single"/>
                <w:lang w:val="en-US" w:eastAsia="zh-CN"/>
              </w:rPr>
              <w:t>年工作时间为300天</w:t>
            </w:r>
            <w:r>
              <w:rPr>
                <w:rFonts w:hint="eastAsia" w:ascii="Times New Roman" w:hAnsi="Times New Roman" w:cs="Times New Roman"/>
                <w:color w:val="auto"/>
                <w:sz w:val="24"/>
                <w:szCs w:val="24"/>
                <w:u w:val="single"/>
                <w:lang w:val="en-US" w:eastAsia="zh-CN"/>
              </w:rPr>
              <w:t>，2班制，每班6小时，</w:t>
            </w:r>
            <w:r>
              <w:rPr>
                <w:rFonts w:hint="default" w:ascii="Times New Roman" w:hAnsi="Times New Roman" w:eastAsia="宋体" w:cs="Times New Roman"/>
                <w:color w:val="auto"/>
                <w:sz w:val="24"/>
                <w:szCs w:val="24"/>
                <w:u w:val="single"/>
                <w:lang w:val="en-US" w:eastAsia="zh-CN"/>
              </w:rPr>
              <w:t>每天</w:t>
            </w:r>
            <w:r>
              <w:rPr>
                <w:rFonts w:hint="eastAsia" w:ascii="Times New Roman" w:hAnsi="Times New Roman" w:cs="Times New Roman"/>
                <w:color w:val="auto"/>
                <w:sz w:val="24"/>
                <w:szCs w:val="24"/>
                <w:u w:val="single"/>
                <w:lang w:val="en-US" w:eastAsia="zh-CN"/>
              </w:rPr>
              <w:t>12</w:t>
            </w:r>
            <w:r>
              <w:rPr>
                <w:rFonts w:hint="default" w:ascii="Times New Roman" w:hAnsi="Times New Roman" w:eastAsia="宋体" w:cs="Times New Roman"/>
                <w:color w:val="auto"/>
                <w:sz w:val="24"/>
                <w:szCs w:val="24"/>
                <w:u w:val="single"/>
                <w:lang w:val="en-US" w:eastAsia="zh-CN"/>
              </w:rPr>
              <w:t>小时</w:t>
            </w:r>
            <w:r>
              <w:rPr>
                <w:rFonts w:hint="eastAsia" w:ascii="Times New Roman" w:hAnsi="Times New Roman" w:cs="Times New Roman"/>
                <w:color w:val="auto"/>
                <w:sz w:val="24"/>
                <w:szCs w:val="24"/>
                <w:u w:val="single"/>
                <w:lang w:val="en-US" w:eastAsia="zh-CN"/>
              </w:rPr>
              <w:t>，</w:t>
            </w:r>
            <w:r>
              <w:rPr>
                <w:rFonts w:hint="default" w:ascii="Times New Roman" w:hAnsi="Times New Roman" w:eastAsia="宋体" w:cs="Times New Roman"/>
                <w:color w:val="auto"/>
                <w:sz w:val="24"/>
                <w:szCs w:val="24"/>
                <w:u w:val="single"/>
                <w:lang w:val="en-US" w:eastAsia="zh-CN"/>
              </w:rPr>
              <w:t>项目</w:t>
            </w:r>
            <w:r>
              <w:rPr>
                <w:rFonts w:hint="eastAsia" w:ascii="Times New Roman" w:hAnsi="Times New Roman" w:cs="Times New Roman"/>
                <w:color w:val="auto"/>
                <w:sz w:val="24"/>
                <w:szCs w:val="24"/>
                <w:u w:val="single"/>
                <w:lang w:val="en-US" w:eastAsia="zh-CN"/>
              </w:rPr>
              <w:t>生产线</w:t>
            </w:r>
            <w:r>
              <w:rPr>
                <w:rFonts w:hint="default" w:ascii="Times New Roman" w:hAnsi="Times New Roman" w:eastAsia="宋体" w:cs="Times New Roman"/>
                <w:color w:val="auto"/>
                <w:sz w:val="24"/>
                <w:szCs w:val="24"/>
                <w:u w:val="single"/>
                <w:lang w:val="en-US" w:eastAsia="zh-CN"/>
              </w:rPr>
              <w:t>设计</w:t>
            </w:r>
            <w:r>
              <w:rPr>
                <w:rFonts w:hint="default" w:ascii="Times New Roman" w:hAnsi="Times New Roman" w:eastAsia="宋体" w:cs="Times New Roman"/>
                <w:color w:val="auto"/>
                <w:sz w:val="24"/>
                <w:szCs w:val="24"/>
                <w:u w:val="single"/>
              </w:rPr>
              <w:t>产能相比项目产能均大于项目产能，因考虑到实际生产过程中设备运行存在检修维护等情况，设备运行负荷率在8</w:t>
            </w:r>
            <w:r>
              <w:rPr>
                <w:rFonts w:hint="eastAsia" w:ascii="Times New Roman" w:hAnsi="Times New Roman" w:cs="Times New Roman"/>
                <w:color w:val="auto"/>
                <w:sz w:val="24"/>
                <w:szCs w:val="24"/>
                <w:u w:val="single"/>
                <w:lang w:val="en-US" w:eastAsia="zh-CN"/>
              </w:rPr>
              <w:t>0</w:t>
            </w:r>
            <w:r>
              <w:rPr>
                <w:rFonts w:hint="default" w:ascii="Times New Roman" w:hAnsi="Times New Roman" w:eastAsia="宋体" w:cs="Times New Roman"/>
                <w:color w:val="auto"/>
                <w:sz w:val="24"/>
                <w:szCs w:val="24"/>
                <w:u w:val="single"/>
              </w:rPr>
              <w:t>~90%之间，则项目各主要生产线产能与项目产能基本相符。根据其设备数量及产能核算，其年设计产能可满足生产产能需求。</w:t>
            </w:r>
          </w:p>
          <w:p>
            <w:pPr>
              <w:spacing w:line="360" w:lineRule="auto"/>
              <w:ind w:firstLine="482" w:firstLineChars="200"/>
              <w:rPr>
                <w:b/>
                <w:sz w:val="24"/>
                <w:szCs w:val="22"/>
              </w:rPr>
            </w:pPr>
            <w:r>
              <w:rPr>
                <w:rFonts w:hint="eastAsia"/>
                <w:b/>
                <w:sz w:val="24"/>
                <w:szCs w:val="22"/>
              </w:rPr>
              <w:t>3.平面布置</w:t>
            </w:r>
          </w:p>
          <w:p>
            <w:pPr>
              <w:spacing w:line="360" w:lineRule="auto"/>
              <w:ind w:firstLine="480" w:firstLineChars="200"/>
              <w:rPr>
                <w:sz w:val="24"/>
              </w:rPr>
            </w:pPr>
            <w:r>
              <w:rPr>
                <w:rFonts w:hAnsi="宋体"/>
                <w:sz w:val="24"/>
                <w:szCs w:val="22"/>
              </w:rPr>
              <w:t>项目厂区主要组成部分包括：生产区、原料堆场、成品堆场及办公及生活区。</w:t>
            </w:r>
            <w:r>
              <w:rPr>
                <w:rFonts w:hint="eastAsia" w:hAnsi="宋体"/>
                <w:sz w:val="24"/>
                <w:szCs w:val="22"/>
              </w:rPr>
              <w:t>办公生活区和生产区分隔开，分为南北两部分，南部为办公区域，北部为生产区域；生产车间位于北部西侧，产品堆场位于北部中间，产品堆场南侧为原料堆场，绿化林地（已有）位于项目北部东侧</w:t>
            </w:r>
            <w:r>
              <w:rPr>
                <w:rFonts w:hAnsi="宋体"/>
                <w:sz w:val="24"/>
                <w:szCs w:val="22"/>
              </w:rPr>
              <w:t>。</w:t>
            </w:r>
            <w:r>
              <w:rPr>
                <w:rFonts w:hint="eastAsia" w:hAnsi="宋体"/>
                <w:sz w:val="24"/>
                <w:szCs w:val="22"/>
              </w:rPr>
              <w:t>货运进出口设置在北部南侧，人行进出口位于南部东侧，均连接场外道路。</w:t>
            </w:r>
            <w:r>
              <w:rPr>
                <w:rFonts w:hint="eastAsia"/>
                <w:sz w:val="24"/>
              </w:rPr>
              <w:t>具体平面布置图见附图二。</w:t>
            </w:r>
          </w:p>
          <w:p>
            <w:pPr>
              <w:spacing w:line="360" w:lineRule="auto"/>
              <w:ind w:firstLine="482" w:firstLineChars="200"/>
              <w:rPr>
                <w:rFonts w:hint="eastAsia"/>
                <w:b/>
                <w:sz w:val="24"/>
              </w:rPr>
            </w:pPr>
          </w:p>
          <w:p>
            <w:pPr>
              <w:spacing w:line="360" w:lineRule="auto"/>
              <w:ind w:firstLine="482" w:firstLineChars="200"/>
              <w:rPr>
                <w:b/>
                <w:sz w:val="24"/>
              </w:rPr>
            </w:pPr>
            <w:r>
              <w:rPr>
                <w:rFonts w:hint="eastAsia"/>
                <w:b/>
                <w:sz w:val="24"/>
              </w:rPr>
              <w:t>4.给排水及公用工程</w:t>
            </w:r>
          </w:p>
          <w:p>
            <w:pPr>
              <w:spacing w:line="360" w:lineRule="auto"/>
              <w:ind w:firstLine="480" w:firstLineChars="200"/>
              <w:rPr>
                <w:sz w:val="24"/>
              </w:rPr>
            </w:pPr>
            <w:r>
              <w:rPr>
                <w:rFonts w:hint="eastAsia"/>
                <w:sz w:val="24"/>
              </w:rPr>
              <w:t>（1）给</w:t>
            </w:r>
            <w:r>
              <w:rPr>
                <w:sz w:val="24"/>
              </w:rPr>
              <w:t>水</w:t>
            </w:r>
          </w:p>
          <w:p>
            <w:pPr>
              <w:spacing w:line="360" w:lineRule="auto"/>
              <w:ind w:firstLine="480" w:firstLineChars="200"/>
              <w:rPr>
                <w:color w:val="auto"/>
                <w:sz w:val="24"/>
                <w:szCs w:val="24"/>
              </w:rPr>
            </w:pPr>
            <w:r>
              <w:rPr>
                <w:rFonts w:hint="eastAsia" w:ascii="宋体" w:hAnsi="宋体"/>
                <w:sz w:val="24"/>
              </w:rPr>
              <w:t>项目生产用水及生活用水均为地下水</w:t>
            </w:r>
            <w:r>
              <w:rPr>
                <w:rFonts w:ascii="宋体" w:hAnsi="宋体"/>
                <w:sz w:val="24"/>
              </w:rPr>
              <w:t>。</w:t>
            </w:r>
            <w:r>
              <w:rPr>
                <w:rFonts w:hint="eastAsia"/>
                <w:sz w:val="24"/>
              </w:rPr>
              <w:t>项目用水主要为洗砂用水、抑尘洒水和职工生活用水，根据建设方提供的经验数据，本项目洗砂用水量为0.5</w:t>
            </w:r>
            <w:r>
              <w:rPr>
                <w:sz w:val="24"/>
              </w:rPr>
              <w:t>t/t-</w:t>
            </w:r>
            <w:r>
              <w:rPr>
                <w:rFonts w:hint="eastAsia"/>
                <w:sz w:val="24"/>
              </w:rPr>
              <w:t>产品，项目年产砂石60万吨，年生产300天，则项目每天生产规模为2000吨/天，则项目洗砂用水量为1000t/d，考虑物料带走水分及蒸发损失量为1％，则项目洗砂废水产生量为990t/d，废水排入沉砂池沉淀处理</w:t>
            </w:r>
            <w:r>
              <w:rPr>
                <w:rFonts w:hint="eastAsia"/>
                <w:sz w:val="24"/>
                <w:szCs w:val="24"/>
              </w:rPr>
              <w:t>后用于洗砂，循环利用不外排，根据同类型项目类比可知，洗砂废水沉淀后污泥带走水分约为3％。则项目新鲜水补充量为40t/d，年补充洗砂新鲜水量为120</w:t>
            </w:r>
            <w:r>
              <w:rPr>
                <w:rFonts w:hint="eastAsia"/>
                <w:color w:val="auto"/>
                <w:sz w:val="24"/>
                <w:szCs w:val="24"/>
              </w:rPr>
              <w:t>00t/a（根据计算可知，项目废水产生量最大为1000t/d，项目设1个</w:t>
            </w:r>
            <w:r>
              <w:rPr>
                <w:rFonts w:hint="eastAsia"/>
                <w:color w:val="auto"/>
                <w:sz w:val="24"/>
                <w:szCs w:val="24"/>
                <w:lang w:eastAsia="zh-CN"/>
              </w:rPr>
              <w:t>清水池</w:t>
            </w:r>
            <w:r>
              <w:rPr>
                <w:rFonts w:hint="eastAsia"/>
                <w:color w:val="auto"/>
                <w:sz w:val="24"/>
                <w:szCs w:val="24"/>
              </w:rPr>
              <w:t>容积</w:t>
            </w:r>
            <w:r>
              <w:rPr>
                <w:rFonts w:hint="eastAsia"/>
                <w:color w:val="auto"/>
                <w:sz w:val="24"/>
                <w:szCs w:val="24"/>
                <w:lang w:val="en-US" w:eastAsia="zh-CN"/>
              </w:rPr>
              <w:t>240</w:t>
            </w:r>
            <w:r>
              <w:rPr>
                <w:rFonts w:hint="eastAsia"/>
                <w:color w:val="auto"/>
                <w:sz w:val="24"/>
                <w:szCs w:val="24"/>
              </w:rPr>
              <w:t>m</w:t>
            </w:r>
            <w:r>
              <w:rPr>
                <w:rFonts w:hint="eastAsia"/>
                <w:color w:val="auto"/>
                <w:sz w:val="24"/>
                <w:szCs w:val="24"/>
                <w:vertAlign w:val="superscript"/>
              </w:rPr>
              <w:t>3</w:t>
            </w:r>
            <w:r>
              <w:rPr>
                <w:rFonts w:hint="eastAsia"/>
                <w:color w:val="auto"/>
                <w:sz w:val="24"/>
                <w:szCs w:val="24"/>
              </w:rPr>
              <w:t>，</w:t>
            </w:r>
            <w:r>
              <w:rPr>
                <w:rFonts w:hint="eastAsia"/>
                <w:color w:val="auto"/>
                <w:sz w:val="24"/>
                <w:szCs w:val="24"/>
                <w:lang w:val="en-US" w:eastAsia="zh-CN"/>
              </w:rPr>
              <w:t>2</w:t>
            </w:r>
            <w:r>
              <w:rPr>
                <w:rFonts w:hint="eastAsia"/>
                <w:color w:val="auto"/>
                <w:sz w:val="24"/>
                <w:szCs w:val="24"/>
              </w:rPr>
              <w:t>个</w:t>
            </w:r>
            <w:r>
              <w:rPr>
                <w:rFonts w:hint="eastAsia"/>
                <w:color w:val="auto"/>
                <w:sz w:val="24"/>
                <w:szCs w:val="24"/>
                <w:lang w:eastAsia="zh-CN"/>
              </w:rPr>
              <w:t>污水</w:t>
            </w:r>
            <w:r>
              <w:rPr>
                <w:rFonts w:hint="eastAsia"/>
                <w:color w:val="auto"/>
                <w:sz w:val="24"/>
                <w:szCs w:val="24"/>
              </w:rPr>
              <w:t>循环</w:t>
            </w:r>
            <w:r>
              <w:rPr>
                <w:rFonts w:hint="eastAsia"/>
                <w:color w:val="auto"/>
                <w:sz w:val="24"/>
                <w:szCs w:val="24"/>
                <w:lang w:eastAsia="zh-CN"/>
              </w:rPr>
              <w:t>塔</w:t>
            </w:r>
            <w:r>
              <w:rPr>
                <w:rFonts w:hint="eastAsia"/>
                <w:color w:val="auto"/>
                <w:sz w:val="24"/>
                <w:szCs w:val="24"/>
              </w:rPr>
              <w:t>容积</w:t>
            </w:r>
            <w:r>
              <w:rPr>
                <w:rFonts w:hint="eastAsia"/>
                <w:color w:val="auto"/>
                <w:sz w:val="24"/>
                <w:szCs w:val="24"/>
                <w:lang w:eastAsia="zh-CN"/>
              </w:rPr>
              <w:t>分别为一个</w:t>
            </w:r>
            <w:r>
              <w:rPr>
                <w:rFonts w:hint="eastAsia"/>
                <w:color w:val="auto"/>
                <w:sz w:val="24"/>
                <w:szCs w:val="24"/>
                <w:lang w:val="en-US" w:eastAsia="zh-CN"/>
              </w:rPr>
              <w:t>30t，一个22t</w:t>
            </w:r>
            <w:r>
              <w:rPr>
                <w:rFonts w:hint="eastAsia"/>
                <w:color w:val="auto"/>
                <w:sz w:val="24"/>
                <w:szCs w:val="24"/>
              </w:rPr>
              <w:t>，可以满足本项目废水量，不外排）。</w:t>
            </w:r>
          </w:p>
          <w:p>
            <w:pPr>
              <w:spacing w:line="360" w:lineRule="auto"/>
              <w:ind w:firstLine="480" w:firstLineChars="200"/>
              <w:rPr>
                <w:sz w:val="24"/>
                <w:szCs w:val="22"/>
              </w:rPr>
            </w:pPr>
            <w:r>
              <w:rPr>
                <w:rFonts w:hint="eastAsia"/>
                <w:sz w:val="24"/>
                <w:szCs w:val="24"/>
              </w:rPr>
              <w:t>根据建设单位提供的资料，项目洒水抑尘用水量为</w:t>
            </w:r>
            <w:r>
              <w:rPr>
                <w:rFonts w:hint="eastAsia"/>
                <w:sz w:val="24"/>
                <w:lang w:val="en-US" w:eastAsia="zh-CN"/>
              </w:rPr>
              <w:t>2</w:t>
            </w:r>
            <w:r>
              <w:rPr>
                <w:rFonts w:hint="eastAsia"/>
                <w:sz w:val="24"/>
              </w:rPr>
              <w:t>m</w:t>
            </w:r>
            <w:r>
              <w:rPr>
                <w:rFonts w:hint="eastAsia"/>
                <w:sz w:val="24"/>
                <w:vertAlign w:val="superscript"/>
              </w:rPr>
              <w:t>3</w:t>
            </w:r>
            <w:r>
              <w:rPr>
                <w:rFonts w:hint="eastAsia"/>
                <w:sz w:val="24"/>
              </w:rPr>
              <w:t>/d</w:t>
            </w:r>
            <w:r>
              <w:rPr>
                <w:rFonts w:hint="eastAsia"/>
                <w:sz w:val="24"/>
                <w:lang w:eastAsia="zh-CN"/>
              </w:rPr>
              <w:t>（</w:t>
            </w:r>
            <w:r>
              <w:rPr>
                <w:rFonts w:hint="eastAsia"/>
                <w:sz w:val="24"/>
                <w:szCs w:val="24"/>
              </w:rPr>
              <w:t>600m</w:t>
            </w:r>
            <w:r>
              <w:rPr>
                <w:rFonts w:hint="eastAsia"/>
                <w:sz w:val="24"/>
                <w:szCs w:val="24"/>
                <w:vertAlign w:val="superscript"/>
              </w:rPr>
              <w:t>3</w:t>
            </w:r>
            <w:r>
              <w:rPr>
                <w:rFonts w:hint="eastAsia"/>
                <w:sz w:val="24"/>
                <w:szCs w:val="24"/>
              </w:rPr>
              <w:t>/a</w:t>
            </w:r>
            <w:r>
              <w:rPr>
                <w:rFonts w:hint="eastAsia"/>
                <w:sz w:val="24"/>
                <w:szCs w:val="24"/>
                <w:lang w:eastAsia="zh-CN"/>
              </w:rPr>
              <w:t>）</w:t>
            </w:r>
            <w:r>
              <w:rPr>
                <w:rFonts w:hint="eastAsia"/>
                <w:sz w:val="24"/>
                <w:szCs w:val="24"/>
              </w:rPr>
              <w:t>，全部</w:t>
            </w:r>
            <w:r>
              <w:rPr>
                <w:rFonts w:hint="eastAsia"/>
                <w:sz w:val="24"/>
                <w:szCs w:val="22"/>
              </w:rPr>
              <w:t>蒸发损耗，不外排。</w:t>
            </w:r>
          </w:p>
          <w:p>
            <w:pPr>
              <w:spacing w:line="360" w:lineRule="auto"/>
              <w:ind w:firstLine="480" w:firstLineChars="200"/>
              <w:rPr>
                <w:sz w:val="24"/>
              </w:rPr>
            </w:pPr>
            <w:r>
              <w:rPr>
                <w:rFonts w:hint="eastAsia"/>
                <w:sz w:val="24"/>
                <w:szCs w:val="22"/>
              </w:rPr>
              <w:t>项目劳动定员10人</w:t>
            </w:r>
            <w:r>
              <w:rPr>
                <w:rFonts w:hint="eastAsia"/>
                <w:sz w:val="24"/>
              </w:rPr>
              <w:t>，厂内食宿5人，</w:t>
            </w:r>
            <w:r>
              <w:rPr>
                <w:color w:val="auto"/>
                <w:sz w:val="24"/>
                <w:u w:val="none"/>
              </w:rPr>
              <w:t>根据</w:t>
            </w:r>
            <w:r>
              <w:rPr>
                <w:rFonts w:hint="eastAsia"/>
                <w:color w:val="auto"/>
                <w:sz w:val="24"/>
                <w:u w:val="none"/>
              </w:rPr>
              <w:t>《</w:t>
            </w:r>
            <w:r>
              <w:rPr>
                <w:rFonts w:hint="eastAsia"/>
                <w:color w:val="auto"/>
                <w:sz w:val="24"/>
                <w:u w:val="none"/>
                <w:lang w:eastAsia="zh-CN"/>
              </w:rPr>
              <w:t>湖南用水定额</w:t>
            </w:r>
            <w:r>
              <w:rPr>
                <w:color w:val="auto"/>
                <w:sz w:val="24"/>
                <w:u w:val="none"/>
              </w:rPr>
              <w:t>》</w:t>
            </w:r>
            <w:r>
              <w:rPr>
                <w:rFonts w:hint="eastAsia"/>
                <w:color w:val="auto"/>
                <w:sz w:val="24"/>
                <w:u w:val="none"/>
                <w:lang w:eastAsia="zh-CN"/>
              </w:rPr>
              <w:t>（</w:t>
            </w:r>
            <w:r>
              <w:rPr>
                <w:rFonts w:hint="eastAsia"/>
                <w:color w:val="auto"/>
                <w:sz w:val="24"/>
                <w:u w:val="none"/>
                <w:lang w:val="en-US" w:eastAsia="zh-CN"/>
              </w:rPr>
              <w:t>DB43T388-2020</w:t>
            </w:r>
            <w:r>
              <w:rPr>
                <w:rFonts w:hint="eastAsia"/>
                <w:color w:val="auto"/>
                <w:sz w:val="24"/>
                <w:u w:val="none"/>
                <w:lang w:eastAsia="zh-CN"/>
              </w:rPr>
              <w:t>）中相关规定，就餐人员参照表</w:t>
            </w:r>
            <w:r>
              <w:rPr>
                <w:rFonts w:hint="eastAsia"/>
                <w:color w:val="auto"/>
                <w:sz w:val="24"/>
                <w:u w:val="none"/>
                <w:lang w:val="en-US" w:eastAsia="zh-CN"/>
              </w:rPr>
              <w:t>31中“国家行政机构”规定办公楼用水为38m</w:t>
            </w:r>
            <w:r>
              <w:rPr>
                <w:rFonts w:hint="eastAsia"/>
                <w:color w:val="auto"/>
                <w:sz w:val="24"/>
                <w:u w:val="none"/>
                <w:vertAlign w:val="superscript"/>
                <w:lang w:val="en-US" w:eastAsia="zh-CN"/>
              </w:rPr>
              <w:t>3</w:t>
            </w:r>
            <w:r>
              <w:rPr>
                <w:rFonts w:hint="eastAsia"/>
                <w:color w:val="auto"/>
                <w:sz w:val="24"/>
                <w:u w:val="none"/>
                <w:lang w:val="en-US" w:eastAsia="zh-CN"/>
              </w:rPr>
              <w:t>/人.年</w:t>
            </w:r>
            <w:r>
              <w:rPr>
                <w:color w:val="auto"/>
                <w:sz w:val="24"/>
                <w:u w:val="none"/>
              </w:rPr>
              <w:t>，</w:t>
            </w:r>
            <w:r>
              <w:rPr>
                <w:rFonts w:hint="eastAsia"/>
                <w:color w:val="auto"/>
                <w:sz w:val="24"/>
                <w:u w:val="none"/>
                <w:lang w:eastAsia="zh-CN"/>
              </w:rPr>
              <w:t>住宿参照表</w:t>
            </w:r>
            <w:r>
              <w:rPr>
                <w:rFonts w:hint="eastAsia"/>
                <w:color w:val="auto"/>
                <w:sz w:val="24"/>
                <w:u w:val="none"/>
                <w:lang w:val="en-US" w:eastAsia="zh-CN"/>
              </w:rPr>
              <w:t>29中“小城市”145L/人.天，</w:t>
            </w:r>
            <w:r>
              <w:rPr>
                <w:rFonts w:hint="eastAsia"/>
                <w:color w:val="auto"/>
                <w:sz w:val="24"/>
                <w:u w:val="none"/>
              </w:rPr>
              <w:t>本项目劳动定员</w:t>
            </w:r>
            <w:r>
              <w:rPr>
                <w:rFonts w:hint="eastAsia"/>
                <w:color w:val="auto"/>
                <w:sz w:val="24"/>
                <w:u w:val="none"/>
                <w:lang w:val="en-US" w:eastAsia="zh-CN"/>
              </w:rPr>
              <w:t>15</w:t>
            </w:r>
            <w:r>
              <w:rPr>
                <w:rFonts w:hint="eastAsia"/>
                <w:color w:val="auto"/>
                <w:sz w:val="24"/>
                <w:u w:val="none"/>
              </w:rPr>
              <w:t>人，</w:t>
            </w:r>
            <w:r>
              <w:rPr>
                <w:rFonts w:hint="eastAsia"/>
                <w:color w:val="auto"/>
                <w:sz w:val="24"/>
                <w:u w:val="none"/>
                <w:lang w:val="en-US" w:eastAsia="zh-CN"/>
              </w:rPr>
              <w:t>3</w:t>
            </w:r>
            <w:r>
              <w:rPr>
                <w:rFonts w:hint="eastAsia"/>
                <w:color w:val="auto"/>
                <w:sz w:val="24"/>
                <w:u w:val="none"/>
              </w:rPr>
              <w:t>人住宿</w:t>
            </w:r>
            <w:r>
              <w:rPr>
                <w:color w:val="auto"/>
                <w:sz w:val="24"/>
                <w:u w:val="none"/>
              </w:rPr>
              <w:t>，年工作时间为</w:t>
            </w:r>
            <w:r>
              <w:rPr>
                <w:rFonts w:hint="eastAsia"/>
                <w:color w:val="auto"/>
                <w:sz w:val="24"/>
                <w:u w:val="none"/>
              </w:rPr>
              <w:t>3</w:t>
            </w:r>
            <w:r>
              <w:rPr>
                <w:rFonts w:hint="eastAsia"/>
                <w:color w:val="auto"/>
                <w:sz w:val="24"/>
                <w:u w:val="none"/>
                <w:lang w:val="en-US" w:eastAsia="zh-CN"/>
              </w:rPr>
              <w:t>00</w:t>
            </w:r>
            <w:r>
              <w:rPr>
                <w:color w:val="auto"/>
                <w:sz w:val="24"/>
                <w:u w:val="none"/>
              </w:rPr>
              <w:t>天</w:t>
            </w:r>
            <w:r>
              <w:rPr>
                <w:rFonts w:hint="eastAsia"/>
                <w:color w:val="auto"/>
                <w:sz w:val="24"/>
                <w:u w:val="none"/>
                <w:lang w:eastAsia="zh-CN"/>
              </w:rPr>
              <w:t>，则</w:t>
            </w:r>
            <w:r>
              <w:rPr>
                <w:rFonts w:hint="eastAsia"/>
                <w:sz w:val="24"/>
              </w:rPr>
              <w:t>用水量为</w:t>
            </w:r>
            <w:r>
              <w:rPr>
                <w:rFonts w:hint="eastAsia"/>
                <w:sz w:val="24"/>
                <w:lang w:val="en-US" w:eastAsia="zh-CN"/>
              </w:rPr>
              <w:t>1.36</w:t>
            </w:r>
            <w:r>
              <w:rPr>
                <w:rFonts w:hint="eastAsia"/>
                <w:sz w:val="24"/>
              </w:rPr>
              <w:t>m</w:t>
            </w:r>
            <w:r>
              <w:rPr>
                <w:rFonts w:hint="eastAsia"/>
                <w:sz w:val="24"/>
                <w:vertAlign w:val="superscript"/>
              </w:rPr>
              <w:t>3</w:t>
            </w:r>
            <w:r>
              <w:rPr>
                <w:rFonts w:hint="eastAsia"/>
                <w:sz w:val="24"/>
              </w:rPr>
              <w:t>/d（</w:t>
            </w:r>
            <w:r>
              <w:rPr>
                <w:rFonts w:hint="eastAsia"/>
                <w:sz w:val="24"/>
                <w:lang w:val="en-US" w:eastAsia="zh-CN"/>
              </w:rPr>
              <w:t>407.5</w:t>
            </w:r>
            <w:r>
              <w:rPr>
                <w:rFonts w:hint="eastAsia"/>
                <w:sz w:val="24"/>
              </w:rPr>
              <w:t>m</w:t>
            </w:r>
            <w:r>
              <w:rPr>
                <w:rFonts w:hint="eastAsia"/>
                <w:sz w:val="24"/>
                <w:vertAlign w:val="superscript"/>
              </w:rPr>
              <w:t>3</w:t>
            </w:r>
            <w:r>
              <w:rPr>
                <w:rFonts w:hint="eastAsia"/>
                <w:sz w:val="24"/>
              </w:rPr>
              <w:t>/a）。</w:t>
            </w:r>
          </w:p>
          <w:p>
            <w:pPr>
              <w:spacing w:line="360" w:lineRule="auto"/>
              <w:ind w:firstLine="480" w:firstLineChars="200"/>
              <w:rPr>
                <w:sz w:val="24"/>
              </w:rPr>
            </w:pPr>
            <w:r>
              <w:rPr>
                <w:rFonts w:hint="eastAsia"/>
                <w:sz w:val="24"/>
              </w:rPr>
              <w:t>故项目总用水量为4</w:t>
            </w:r>
            <w:r>
              <w:rPr>
                <w:rFonts w:hint="eastAsia"/>
                <w:sz w:val="24"/>
                <w:lang w:val="en-US" w:eastAsia="zh-CN"/>
              </w:rPr>
              <w:t>3.36</w:t>
            </w:r>
            <w:r>
              <w:rPr>
                <w:rFonts w:hint="eastAsia"/>
                <w:sz w:val="24"/>
              </w:rPr>
              <w:t>t/d（</w:t>
            </w:r>
            <w:r>
              <w:rPr>
                <w:rFonts w:hint="eastAsia"/>
                <w:sz w:val="24"/>
                <w:lang w:val="en-US" w:eastAsia="zh-CN"/>
              </w:rPr>
              <w:t>13007.5</w:t>
            </w:r>
            <w:r>
              <w:rPr>
                <w:rFonts w:hint="eastAsia"/>
                <w:sz w:val="24"/>
              </w:rPr>
              <w:t>t/a）。</w:t>
            </w:r>
          </w:p>
          <w:p>
            <w:pPr>
              <w:spacing w:line="360" w:lineRule="auto"/>
              <w:ind w:firstLine="480" w:firstLineChars="200"/>
              <w:rPr>
                <w:sz w:val="24"/>
              </w:rPr>
            </w:pPr>
            <w:r>
              <w:rPr>
                <w:rFonts w:hint="eastAsia"/>
                <w:sz w:val="24"/>
              </w:rPr>
              <w:t>（2）</w:t>
            </w:r>
            <w:r>
              <w:rPr>
                <w:sz w:val="24"/>
              </w:rPr>
              <w:t>排水</w:t>
            </w:r>
          </w:p>
          <w:p>
            <w:pPr>
              <w:spacing w:line="360" w:lineRule="auto"/>
              <w:ind w:firstLine="470" w:firstLineChars="196"/>
              <w:rPr>
                <w:sz w:val="24"/>
                <w:szCs w:val="22"/>
              </w:rPr>
            </w:pPr>
            <w:r>
              <w:rPr>
                <w:rFonts w:hint="eastAsia" w:hAnsi="宋体"/>
                <w:sz w:val="24"/>
              </w:rPr>
              <w:t>项目厂区内实行雨污分流，水由厂区内雨水管道收集排入雨水沟；</w:t>
            </w:r>
            <w:r>
              <w:rPr>
                <w:rFonts w:hint="eastAsia"/>
                <w:sz w:val="24"/>
              </w:rPr>
              <w:t>根据建设方提供的资料，项目用水主要为洗砂用水、抑尘洒水和职工生活用水，项目洗砂废水为990t/d，经沉淀池沉淀后循环使用，不外排</w:t>
            </w:r>
            <w:r>
              <w:rPr>
                <w:rFonts w:hint="eastAsia" w:hAnsi="宋体"/>
                <w:sz w:val="24"/>
              </w:rPr>
              <w:t>；项目抑尘用水为600</w:t>
            </w:r>
            <w:r>
              <w:rPr>
                <w:rFonts w:hint="eastAsia"/>
                <w:sz w:val="24"/>
                <w:szCs w:val="24"/>
              </w:rPr>
              <w:t>m</w:t>
            </w:r>
            <w:r>
              <w:rPr>
                <w:rFonts w:hint="eastAsia"/>
                <w:sz w:val="24"/>
                <w:szCs w:val="24"/>
                <w:vertAlign w:val="superscript"/>
              </w:rPr>
              <w:t>3</w:t>
            </w:r>
            <w:r>
              <w:rPr>
                <w:rFonts w:hint="eastAsia"/>
                <w:sz w:val="24"/>
                <w:szCs w:val="24"/>
              </w:rPr>
              <w:t>/a，全部蒸发损耗，不外排；</w:t>
            </w:r>
            <w:r>
              <w:rPr>
                <w:rFonts w:hint="eastAsia"/>
                <w:sz w:val="24"/>
              </w:rPr>
              <w:t>生活污水</w:t>
            </w:r>
            <w:r>
              <w:rPr>
                <w:rFonts w:hint="eastAsia" w:hAnsi="宋体"/>
                <w:sz w:val="24"/>
              </w:rPr>
              <w:t>排放量为80％计算为</w:t>
            </w:r>
            <w:r>
              <w:rPr>
                <w:rFonts w:hint="eastAsia"/>
                <w:sz w:val="24"/>
                <w:lang w:val="en-US" w:eastAsia="zh-CN"/>
              </w:rPr>
              <w:t>1.09</w:t>
            </w:r>
            <w:r>
              <w:rPr>
                <w:rFonts w:hint="eastAsia"/>
                <w:sz w:val="24"/>
              </w:rPr>
              <w:t>m</w:t>
            </w:r>
            <w:r>
              <w:rPr>
                <w:rFonts w:hint="eastAsia"/>
                <w:sz w:val="24"/>
                <w:vertAlign w:val="superscript"/>
              </w:rPr>
              <w:t>3</w:t>
            </w:r>
            <w:r>
              <w:rPr>
                <w:rFonts w:hint="eastAsia"/>
                <w:sz w:val="24"/>
              </w:rPr>
              <w:t>/d（</w:t>
            </w:r>
            <w:r>
              <w:rPr>
                <w:rFonts w:hint="eastAsia"/>
                <w:sz w:val="24"/>
                <w:lang w:val="en-US" w:eastAsia="zh-CN"/>
              </w:rPr>
              <w:t>326</w:t>
            </w:r>
            <w:r>
              <w:rPr>
                <w:rFonts w:hint="eastAsia"/>
                <w:sz w:val="24"/>
              </w:rPr>
              <w:t>m</w:t>
            </w:r>
            <w:r>
              <w:rPr>
                <w:rFonts w:hint="eastAsia"/>
                <w:sz w:val="24"/>
                <w:vertAlign w:val="superscript"/>
              </w:rPr>
              <w:t>3</w:t>
            </w:r>
            <w:r>
              <w:rPr>
                <w:rFonts w:hint="eastAsia"/>
                <w:sz w:val="24"/>
              </w:rPr>
              <w:t>/a）</w:t>
            </w:r>
            <w:r>
              <w:rPr>
                <w:rFonts w:hint="eastAsia" w:hAnsi="宋体"/>
                <w:sz w:val="24"/>
              </w:rPr>
              <w:t>，项目生活废水经厂区现有隔油沉淀+化粪池处理后用于周边农田施肥及厂区内植被绿化，不外排</w:t>
            </w:r>
            <w:r>
              <w:rPr>
                <w:rFonts w:hint="eastAsia"/>
                <w:sz w:val="24"/>
                <w:szCs w:val="22"/>
              </w:rPr>
              <w:t>。</w:t>
            </w:r>
          </w:p>
          <w:p>
            <w:pPr>
              <w:spacing w:line="360" w:lineRule="auto"/>
              <w:ind w:firstLine="480" w:firstLineChars="200"/>
              <w:rPr>
                <w:sz w:val="24"/>
              </w:rPr>
            </w:pPr>
            <w:r>
              <w:rPr>
                <w:rFonts w:hint="eastAsia"/>
                <w:sz w:val="24"/>
              </w:rPr>
              <w:t>（3）能源</w:t>
            </w:r>
          </w:p>
          <w:p>
            <w:pPr>
              <w:spacing w:line="360" w:lineRule="auto"/>
              <w:ind w:firstLine="480" w:firstLineChars="200"/>
              <w:rPr>
                <w:bCs/>
                <w:sz w:val="24"/>
              </w:rPr>
            </w:pPr>
            <w:r>
              <w:rPr>
                <w:rFonts w:hint="eastAsia"/>
                <w:bCs/>
                <w:sz w:val="24"/>
              </w:rPr>
              <w:t>项目厂区电力由万庾镇电网提供，年用电量为300万度，能满足其需求。</w:t>
            </w:r>
          </w:p>
          <w:p>
            <w:pPr>
              <w:spacing w:line="360" w:lineRule="auto"/>
              <w:ind w:firstLine="482" w:firstLineChars="200"/>
              <w:rPr>
                <w:b/>
                <w:sz w:val="24"/>
              </w:rPr>
            </w:pPr>
            <w:r>
              <w:rPr>
                <w:rFonts w:hint="eastAsia"/>
                <w:b/>
                <w:sz w:val="24"/>
              </w:rPr>
              <w:t>5.运输方式</w:t>
            </w:r>
          </w:p>
          <w:p>
            <w:pPr>
              <w:spacing w:line="360" w:lineRule="auto"/>
              <w:ind w:firstLine="480" w:firstLineChars="200"/>
              <w:rPr>
                <w:rFonts w:hint="eastAsia"/>
                <w:b/>
                <w:sz w:val="24"/>
                <w:u w:val="none"/>
              </w:rPr>
            </w:pPr>
            <w:r>
              <w:rPr>
                <w:rFonts w:hint="eastAsia" w:ascii="Times New Roman" w:hAnsi="Times New Roman" w:cs="Times New Roman"/>
                <w:kern w:val="2"/>
                <w:sz w:val="24"/>
                <w:szCs w:val="24"/>
                <w:u w:val="none"/>
                <w:lang w:val="en-US" w:eastAsia="zh-CN" w:bidi="ar-SA"/>
              </w:rPr>
              <w:t>本项目原辅材料及产品均采用长江水路运输方式，原料到达五码口码头后（位于本项目东北侧32km，为现有码头，本项目不另设码头），到达码头后由货车运输经由S202省道往南转S206省道最后往北经由S203省道到达厂区，由厂区进场道路运输至厂区内。</w:t>
            </w:r>
          </w:p>
          <w:p>
            <w:pPr>
              <w:spacing w:line="360" w:lineRule="auto"/>
              <w:ind w:firstLine="482" w:firstLineChars="200"/>
              <w:rPr>
                <w:b/>
                <w:sz w:val="24"/>
              </w:rPr>
            </w:pPr>
            <w:r>
              <w:rPr>
                <w:rFonts w:hint="eastAsia"/>
                <w:b/>
                <w:sz w:val="24"/>
              </w:rPr>
              <w:t xml:space="preserve">6.劳动定员 </w:t>
            </w:r>
          </w:p>
          <w:p>
            <w:pPr>
              <w:spacing w:line="360" w:lineRule="auto"/>
              <w:ind w:firstLine="480" w:firstLineChars="200"/>
              <w:rPr>
                <w:rFonts w:ascii="宋体" w:hAnsi="宋体"/>
                <w:sz w:val="24"/>
                <w:szCs w:val="30"/>
              </w:rPr>
            </w:pPr>
            <w:r>
              <w:rPr>
                <w:sz w:val="24"/>
              </w:rPr>
              <w:t>本项目</w:t>
            </w:r>
            <w:r>
              <w:rPr>
                <w:rFonts w:hint="eastAsia"/>
                <w:sz w:val="24"/>
                <w:szCs w:val="30"/>
              </w:rPr>
              <w:t>劳动定员10</w:t>
            </w:r>
            <w:r>
              <w:rPr>
                <w:sz w:val="24"/>
                <w:szCs w:val="30"/>
              </w:rPr>
              <w:t>名，</w:t>
            </w:r>
            <w:r>
              <w:rPr>
                <w:rFonts w:hint="eastAsia"/>
                <w:sz w:val="24"/>
                <w:szCs w:val="30"/>
              </w:rPr>
              <w:t>厂内食宿5人。年生产天数为300天，采用2班6小时制，可</w:t>
            </w:r>
            <w:r>
              <w:rPr>
                <w:rFonts w:hint="eastAsia" w:ascii="宋体" w:hAnsi="宋体"/>
                <w:sz w:val="24"/>
                <w:szCs w:val="30"/>
              </w:rPr>
              <w:t>满足项目生产、管理及运营需求。</w:t>
            </w: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hint="eastAsia" w:ascii="宋体" w:hAnsi="宋体" w:cs="宋体"/>
                <w:b/>
                <w:bCs/>
                <w:sz w:val="24"/>
              </w:rPr>
            </w:pPr>
          </w:p>
          <w:p>
            <w:pPr>
              <w:spacing w:line="360" w:lineRule="auto"/>
              <w:rPr>
                <w:rFonts w:ascii="宋体" w:hAnsi="宋体" w:cs="宋体"/>
                <w:b/>
                <w:bCs/>
                <w:sz w:val="24"/>
              </w:rPr>
            </w:pPr>
            <w:r>
              <w:rPr>
                <w:rFonts w:hint="eastAsia" w:ascii="宋体" w:hAnsi="宋体" w:cs="宋体"/>
                <w:b/>
                <w:bCs/>
                <w:sz w:val="24"/>
              </w:rPr>
              <w:t>与本项目有关的原有污染源情况及主要环境问题：</w:t>
            </w:r>
          </w:p>
          <w:p>
            <w:pPr>
              <w:spacing w:line="360" w:lineRule="auto"/>
              <w:ind w:firstLine="480" w:firstLineChars="200"/>
              <w:rPr>
                <w:color w:val="FF0000"/>
                <w:sz w:val="24"/>
              </w:rPr>
            </w:pPr>
            <w:r>
              <w:rPr>
                <w:rFonts w:hint="eastAsia" w:ascii="宋体" w:hAnsi="宋体" w:cs="宋体"/>
                <w:sz w:val="24"/>
                <w:szCs w:val="24"/>
              </w:rPr>
              <w:t>本项目位于</w:t>
            </w:r>
            <w:r>
              <w:rPr>
                <w:rFonts w:hint="eastAsia" w:ascii="Basemic Times" w:hAnsi="Basemic Times" w:cs="宋体"/>
                <w:sz w:val="24"/>
              </w:rPr>
              <w:t>华容县万庾镇万庾村苍苔七组</w:t>
            </w:r>
            <w:r>
              <w:rPr>
                <w:rFonts w:hint="eastAsia" w:ascii="宋体" w:hAnsi="宋体" w:cs="宋体"/>
                <w:sz w:val="24"/>
              </w:rPr>
              <w:t>，</w:t>
            </w:r>
            <w:r>
              <w:rPr>
                <w:rFonts w:hint="eastAsia"/>
                <w:kern w:val="0"/>
                <w:sz w:val="24"/>
              </w:rPr>
              <w:t>项目地前身为蒙华铁路搅拌站，目前已停产，场地内的相关生产设备及设施已拆除，项目地周围为农田及分散的少量居民，</w:t>
            </w:r>
            <w:r>
              <w:rPr>
                <w:rFonts w:hint="eastAsia"/>
                <w:sz w:val="24"/>
              </w:rPr>
              <w:t>根据现场勘查，项目地用地范围内地面已得到硬化，场地已平整，不存在原有污染源及主要环境问题。</w:t>
            </w:r>
          </w:p>
        </w:tc>
      </w:tr>
    </w:tbl>
    <w:p>
      <w:pPr>
        <w:rPr>
          <w:rFonts w:ascii="宋体" w:hAnsi="宋体" w:cs="宋体"/>
          <w:b/>
          <w:bCs/>
          <w:color w:val="FF0000"/>
          <w:sz w:val="28"/>
          <w:szCs w:val="28"/>
        </w:rPr>
      </w:pPr>
    </w:p>
    <w:p>
      <w:pPr>
        <w:rPr>
          <w:rFonts w:eastAsia="黑体"/>
          <w:sz w:val="32"/>
        </w:rPr>
      </w:pPr>
      <w:r>
        <w:rPr>
          <w:rFonts w:hint="eastAsia" w:ascii="宋体" w:hAnsi="宋体" w:cs="宋体"/>
          <w:b/>
          <w:bCs/>
          <w:sz w:val="28"/>
          <w:szCs w:val="28"/>
        </w:rPr>
        <w:t>表二、建设项目所在地自然环境简况</w:t>
      </w:r>
    </w:p>
    <w:tbl>
      <w:tblPr>
        <w:tblStyle w:val="28"/>
        <w:tblW w:w="8701"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701"/>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214" w:hRule="atLeast"/>
          <w:jc w:val="center"/>
        </w:trPr>
        <w:tc>
          <w:tcPr>
            <w:tcW w:w="8701" w:type="dxa"/>
          </w:tcPr>
          <w:p>
            <w:pPr>
              <w:spacing w:line="360" w:lineRule="auto"/>
            </w:pPr>
            <w:bookmarkStart w:id="4" w:name="OLE_LINK31"/>
            <w:r>
              <w:rPr>
                <w:b/>
                <w:spacing w:val="-10"/>
                <w:sz w:val="24"/>
              </w:rPr>
              <w:t>自然环境简况（地形、地貌、地质、气候、气象、水文、植被、生物多样性等）</w:t>
            </w:r>
            <w:r>
              <w:rPr>
                <w:b/>
                <w:sz w:val="24"/>
              </w:rPr>
              <w:t>：</w:t>
            </w:r>
          </w:p>
          <w:p>
            <w:pPr>
              <w:pStyle w:val="2"/>
              <w:spacing w:after="0" w:line="360" w:lineRule="auto"/>
              <w:ind w:firstLine="480" w:firstLineChars="200"/>
              <w:rPr>
                <w:sz w:val="24"/>
                <w:szCs w:val="20"/>
              </w:rPr>
            </w:pPr>
            <w:r>
              <w:rPr>
                <w:sz w:val="24"/>
                <w:szCs w:val="20"/>
              </w:rPr>
              <w:t>（一）地理位置</w:t>
            </w:r>
          </w:p>
          <w:p>
            <w:pPr>
              <w:spacing w:line="360" w:lineRule="auto"/>
              <w:ind w:firstLine="480" w:firstLineChars="200"/>
              <w:rPr>
                <w:sz w:val="24"/>
                <w:szCs w:val="22"/>
              </w:rPr>
            </w:pPr>
            <w:r>
              <w:rPr>
                <w:rFonts w:hint="eastAsia"/>
                <w:sz w:val="24"/>
              </w:rPr>
              <w:t>华容县位于湖南省北部边陲，岳阳市西境，地处东径</w:t>
            </w:r>
            <w:r>
              <w:rPr>
                <w:sz w:val="24"/>
              </w:rPr>
              <w:t>120°18′31″—113°1′32″</w:t>
            </w:r>
            <w:r>
              <w:rPr>
                <w:rFonts w:hint="eastAsia"/>
                <w:sz w:val="24"/>
              </w:rPr>
              <w:t>，北纬</w:t>
            </w:r>
            <w:r>
              <w:rPr>
                <w:sz w:val="24"/>
              </w:rPr>
              <w:t>29°10′18″—29°48′27″</w:t>
            </w:r>
            <w:r>
              <w:rPr>
                <w:rFonts w:hint="eastAsia"/>
                <w:sz w:val="24"/>
              </w:rPr>
              <w:t>。北倚长江，南滨洞庭湖。周邻</w:t>
            </w:r>
            <w:r>
              <w:rPr>
                <w:sz w:val="24"/>
              </w:rPr>
              <w:t>6</w:t>
            </w:r>
            <w:r>
              <w:rPr>
                <w:rFonts w:hint="eastAsia"/>
                <w:sz w:val="24"/>
              </w:rPr>
              <w:t>县（市）、场，东与岳阳市君山区交界，西与益阳市南县相邻，南连国营北洲子农场，北接湖北省石首市，东北与湖北省监利县隔江而望。县境广袤</w:t>
            </w:r>
            <w:r>
              <w:rPr>
                <w:sz w:val="24"/>
              </w:rPr>
              <w:t>70</w:t>
            </w:r>
            <w:r>
              <w:rPr>
                <w:rFonts w:hint="eastAsia"/>
                <w:sz w:val="24"/>
              </w:rPr>
              <w:t>公里，境内东西最大横距</w:t>
            </w:r>
            <w:r>
              <w:rPr>
                <w:sz w:val="24"/>
              </w:rPr>
              <w:t>68</w:t>
            </w:r>
            <w:r>
              <w:rPr>
                <w:rFonts w:hint="eastAsia"/>
                <w:sz w:val="24"/>
              </w:rPr>
              <w:t>公里，南北最大纵距</w:t>
            </w:r>
            <w:r>
              <w:rPr>
                <w:sz w:val="24"/>
              </w:rPr>
              <w:t>80</w:t>
            </w:r>
            <w:r>
              <w:rPr>
                <w:rFonts w:hint="eastAsia"/>
                <w:sz w:val="24"/>
              </w:rPr>
              <w:t>公里。集雨面积</w:t>
            </w:r>
            <w:r>
              <w:rPr>
                <w:sz w:val="24"/>
              </w:rPr>
              <w:t>1612</w:t>
            </w:r>
            <w:r>
              <w:rPr>
                <w:rFonts w:hint="eastAsia"/>
                <w:sz w:val="24"/>
              </w:rPr>
              <w:t>平方公里，占全省面积的</w:t>
            </w:r>
            <w:r>
              <w:rPr>
                <w:sz w:val="24"/>
              </w:rPr>
              <w:t>0.76%</w:t>
            </w:r>
            <w:r>
              <w:rPr>
                <w:rFonts w:hint="eastAsia"/>
                <w:sz w:val="24"/>
              </w:rPr>
              <w:t>。其中平原</w:t>
            </w:r>
            <w:r>
              <w:rPr>
                <w:sz w:val="24"/>
              </w:rPr>
              <w:t>1028</w:t>
            </w:r>
            <w:r>
              <w:rPr>
                <w:rFonts w:hint="eastAsia"/>
                <w:sz w:val="24"/>
              </w:rPr>
              <w:t>平方公里，占</w:t>
            </w:r>
            <w:r>
              <w:rPr>
                <w:sz w:val="24"/>
              </w:rPr>
              <w:t>56%</w:t>
            </w:r>
            <w:r>
              <w:rPr>
                <w:rFonts w:hint="eastAsia"/>
                <w:sz w:val="24"/>
              </w:rPr>
              <w:t>；低山丘岗区</w:t>
            </w:r>
            <w:r>
              <w:rPr>
                <w:sz w:val="24"/>
              </w:rPr>
              <w:t>328</w:t>
            </w:r>
            <w:r>
              <w:rPr>
                <w:rFonts w:hint="eastAsia"/>
                <w:sz w:val="24"/>
              </w:rPr>
              <w:t>平方公里，占</w:t>
            </w:r>
            <w:r>
              <w:rPr>
                <w:sz w:val="24"/>
              </w:rPr>
              <w:t>17.8%</w:t>
            </w:r>
            <w:r>
              <w:rPr>
                <w:rFonts w:hint="eastAsia"/>
                <w:sz w:val="24"/>
              </w:rPr>
              <w:t>；水面</w:t>
            </w:r>
            <w:r>
              <w:rPr>
                <w:sz w:val="24"/>
              </w:rPr>
              <w:t>255</w:t>
            </w:r>
            <w:r>
              <w:rPr>
                <w:rFonts w:hint="eastAsia"/>
                <w:sz w:val="24"/>
              </w:rPr>
              <w:t>平方公里</w:t>
            </w:r>
            <w:r>
              <w:rPr>
                <w:rFonts w:hint="eastAsia"/>
                <w:sz w:val="24"/>
                <w:szCs w:val="22"/>
              </w:rPr>
              <w:t>，占26.2%</w:t>
            </w:r>
            <w:r>
              <w:rPr>
                <w:sz w:val="24"/>
                <w:szCs w:val="22"/>
              </w:rPr>
              <w:t>。</w:t>
            </w:r>
          </w:p>
          <w:p>
            <w:pPr>
              <w:spacing w:line="360" w:lineRule="auto"/>
              <w:ind w:firstLine="480" w:firstLineChars="200"/>
              <w:rPr>
                <w:sz w:val="24"/>
                <w:szCs w:val="22"/>
              </w:rPr>
            </w:pPr>
            <w:r>
              <w:rPr>
                <w:rFonts w:hint="eastAsia"/>
                <w:sz w:val="24"/>
                <w:szCs w:val="22"/>
              </w:rPr>
              <w:t>万庾镇南与</w:t>
            </w:r>
            <w:r>
              <w:fldChar w:fldCharType="begin"/>
            </w:r>
            <w:r>
              <w:instrText xml:space="preserve"> HYPERLINK "https://baike.baidu.com/item/%E5%8D%8E%E5%AE%B9%E5%8E%BF" \t "https://baike.baidu.com/item/%E4%B8%87%E5%BA%BE%E9%95%87/_blank" </w:instrText>
            </w:r>
            <w:r>
              <w:fldChar w:fldCharType="separate"/>
            </w:r>
            <w:r>
              <w:rPr>
                <w:sz w:val="24"/>
                <w:szCs w:val="22"/>
              </w:rPr>
              <w:t>华容县</w:t>
            </w:r>
            <w:r>
              <w:rPr>
                <w:sz w:val="24"/>
                <w:szCs w:val="22"/>
              </w:rPr>
              <w:fldChar w:fldCharType="end"/>
            </w:r>
            <w:r>
              <w:rPr>
                <w:sz w:val="24"/>
                <w:szCs w:val="22"/>
              </w:rPr>
              <w:t>城接壤，北与湖北省</w:t>
            </w:r>
            <w:r>
              <w:fldChar w:fldCharType="begin"/>
            </w:r>
            <w:r>
              <w:instrText xml:space="preserve"> HYPERLINK "https://baike.baidu.com/item/%E7%9F%B3%E9%A6%96%E5%B8%82" \t "https://baike.baidu.com/item/%E4%B8%87%E5%BA%BE%E9%95%87/_blank" </w:instrText>
            </w:r>
            <w:r>
              <w:fldChar w:fldCharType="separate"/>
            </w:r>
            <w:r>
              <w:rPr>
                <w:sz w:val="24"/>
                <w:szCs w:val="22"/>
              </w:rPr>
              <w:t>石首市</w:t>
            </w:r>
            <w:r>
              <w:rPr>
                <w:sz w:val="24"/>
                <w:szCs w:val="22"/>
              </w:rPr>
              <w:fldChar w:fldCharType="end"/>
            </w:r>
            <w:r>
              <w:rPr>
                <w:sz w:val="24"/>
                <w:szCs w:val="22"/>
              </w:rPr>
              <w:t>毗连，东邻胜峰乡，西与鲇鱼须镇、宋家嘴镇隔塌西湖相望。因历史上物产丰饶，民众富庶，有万吨粮仓之美誉而得名，境内岳宜高速、S203线、调华公路纵穿南北，岳常高速横贯西东，区域条件优越。全镇下辖万庾镇居民委员会和29个村(场)民委员会。</w:t>
            </w:r>
          </w:p>
          <w:p>
            <w:pPr>
              <w:spacing w:line="360" w:lineRule="auto"/>
              <w:ind w:firstLine="480" w:firstLineChars="200"/>
              <w:rPr>
                <w:sz w:val="24"/>
              </w:rPr>
            </w:pPr>
            <w:r>
              <w:rPr>
                <w:rFonts w:hint="eastAsia"/>
                <w:sz w:val="24"/>
                <w:szCs w:val="22"/>
              </w:rPr>
              <w:t>本项目位于</w:t>
            </w:r>
            <w:r>
              <w:rPr>
                <w:rFonts w:hint="eastAsia" w:ascii="Basemic Times" w:hAnsi="Basemic Times" w:cs="宋体"/>
                <w:sz w:val="24"/>
              </w:rPr>
              <w:t>华容县万庾镇万庾村苍苔七组</w:t>
            </w:r>
            <w:r>
              <w:rPr>
                <w:rFonts w:hint="eastAsia"/>
                <w:sz w:val="24"/>
                <w:szCs w:val="22"/>
              </w:rPr>
              <w:t>，项目地理位置</w:t>
            </w:r>
            <w:r>
              <w:rPr>
                <w:rFonts w:hint="eastAsia"/>
                <w:sz w:val="24"/>
              </w:rPr>
              <w:t>图详见附图一</w:t>
            </w:r>
            <w:r>
              <w:rPr>
                <w:sz w:val="24"/>
              </w:rPr>
              <w:t>。</w:t>
            </w:r>
          </w:p>
          <w:p>
            <w:pPr>
              <w:pStyle w:val="2"/>
              <w:spacing w:after="0" w:line="360" w:lineRule="auto"/>
              <w:rPr>
                <w:sz w:val="24"/>
                <w:szCs w:val="20"/>
              </w:rPr>
            </w:pPr>
            <w:r>
              <w:rPr>
                <w:sz w:val="24"/>
                <w:szCs w:val="20"/>
              </w:rPr>
              <w:t xml:space="preserve">  （二）地形、地质</w:t>
            </w:r>
          </w:p>
          <w:p>
            <w:pPr>
              <w:spacing w:line="360" w:lineRule="auto"/>
              <w:ind w:firstLine="480" w:firstLineChars="200"/>
              <w:rPr>
                <w:sz w:val="24"/>
              </w:rPr>
            </w:pPr>
            <w:r>
              <w:rPr>
                <w:rFonts w:hint="eastAsia"/>
                <w:sz w:val="24"/>
              </w:rPr>
              <w:t>华容县位于扬子准地台的江南地轴上，处于洞庭湖凹陷与汉水凹陷的接触部，属于既具有强烈挤压稽皱上升运动，又有升降运动的江南古陆，地势北高南低，中部丘岗隆起，东西低平开阔，微向东洞庭湖倾斜。地貌分区特征较为明显：东北部为低山丘陵区，间有溪谷平原，中南部为丘岗区，其余为平原。从最高峰雷打岩</w:t>
            </w:r>
            <w:r>
              <w:rPr>
                <w:sz w:val="24"/>
              </w:rPr>
              <w:t>(</w:t>
            </w:r>
            <w:r>
              <w:rPr>
                <w:rFonts w:hint="eastAsia"/>
                <w:sz w:val="24"/>
              </w:rPr>
              <w:t>海拔</w:t>
            </w:r>
            <w:r>
              <w:rPr>
                <w:sz w:val="24"/>
              </w:rPr>
              <w:t>382.9</w:t>
            </w:r>
            <w:r>
              <w:rPr>
                <w:rFonts w:hint="eastAsia"/>
                <w:sz w:val="24"/>
              </w:rPr>
              <w:t>米</w:t>
            </w:r>
            <w:r>
              <w:rPr>
                <w:sz w:val="24"/>
              </w:rPr>
              <w:t>)</w:t>
            </w:r>
            <w:r>
              <w:rPr>
                <w:rFonts w:hint="eastAsia"/>
                <w:sz w:val="24"/>
              </w:rPr>
              <w:t>到最低点东湖湖底</w:t>
            </w:r>
            <w:r>
              <w:rPr>
                <w:sz w:val="24"/>
              </w:rPr>
              <w:t>(</w:t>
            </w:r>
            <w:r>
              <w:rPr>
                <w:rFonts w:hint="eastAsia"/>
                <w:sz w:val="24"/>
              </w:rPr>
              <w:t>海拔</w:t>
            </w:r>
            <w:r>
              <w:rPr>
                <w:sz w:val="24"/>
              </w:rPr>
              <w:t>21</w:t>
            </w:r>
            <w:r>
              <w:rPr>
                <w:rFonts w:hint="eastAsia"/>
                <w:sz w:val="24"/>
              </w:rPr>
              <w:t>米</w:t>
            </w:r>
            <w:r>
              <w:rPr>
                <w:sz w:val="24"/>
              </w:rPr>
              <w:t>)</w:t>
            </w:r>
            <w:r>
              <w:rPr>
                <w:rFonts w:hint="eastAsia"/>
                <w:sz w:val="24"/>
              </w:rPr>
              <w:t>，高差</w:t>
            </w:r>
            <w:r>
              <w:rPr>
                <w:sz w:val="24"/>
              </w:rPr>
              <w:t>361.9</w:t>
            </w:r>
            <w:r>
              <w:rPr>
                <w:rFonts w:hint="eastAsia"/>
                <w:sz w:val="24"/>
              </w:rPr>
              <w:t>米，县城标高</w:t>
            </w:r>
            <w:r>
              <w:rPr>
                <w:sz w:val="24"/>
              </w:rPr>
              <w:t>35m~26m</w:t>
            </w:r>
            <w:r>
              <w:rPr>
                <w:rFonts w:hint="eastAsia"/>
                <w:sz w:val="24"/>
              </w:rPr>
              <w:t>，大部分地面标高在</w:t>
            </w:r>
            <w:r>
              <w:rPr>
                <w:sz w:val="24"/>
              </w:rPr>
              <w:t>30m</w:t>
            </w:r>
            <w:r>
              <w:rPr>
                <w:rFonts w:hint="eastAsia"/>
                <w:sz w:val="24"/>
              </w:rPr>
              <w:t>左右。现代地貌主要是由于燕山运动形成的</w:t>
            </w:r>
            <w:r>
              <w:rPr>
                <w:sz w:val="24"/>
              </w:rPr>
              <w:t>“</w:t>
            </w:r>
            <w:r>
              <w:rPr>
                <w:rFonts w:hint="eastAsia"/>
                <w:sz w:val="24"/>
              </w:rPr>
              <w:t>华容隆起</w:t>
            </w:r>
            <w:r>
              <w:rPr>
                <w:sz w:val="24"/>
              </w:rPr>
              <w:t>”</w:t>
            </w:r>
            <w:r>
              <w:rPr>
                <w:rFonts w:hint="eastAsia"/>
                <w:sz w:val="24"/>
              </w:rPr>
              <w:t>与长江洞庭湖泄洪所起的控制、塑造作用所形成。</w:t>
            </w:r>
          </w:p>
          <w:p>
            <w:pPr>
              <w:spacing w:line="360" w:lineRule="auto"/>
              <w:ind w:firstLine="480" w:firstLineChars="200"/>
              <w:rPr>
                <w:sz w:val="24"/>
              </w:rPr>
            </w:pPr>
            <w:r>
              <w:rPr>
                <w:sz w:val="24"/>
              </w:rPr>
              <w:t>境内地层发育齐全，但由于先期构造的破坏，岩浆岩的侵入及第四世纪沉积物的大面积覆盖，因而古生界全部缺失，元古界、中生界各缺失一部分。以新生界第四纪最发育，次为白垩纪，元古界则在桃花山有大量出露，南山也有零星露出。</w:t>
            </w:r>
          </w:p>
          <w:p>
            <w:pPr>
              <w:spacing w:line="360" w:lineRule="auto"/>
              <w:ind w:firstLine="480" w:firstLineChars="200"/>
              <w:rPr>
                <w:sz w:val="24"/>
              </w:rPr>
            </w:pPr>
            <w:r>
              <w:rPr>
                <w:sz w:val="24"/>
              </w:rPr>
              <w:t>境内岩浆岩出露面积为170平方公里，主要分布在东北部的桃花山一带，均为花岗岩类，形成时代为燕山早期和晚期。</w:t>
            </w:r>
          </w:p>
          <w:p>
            <w:pPr>
              <w:pStyle w:val="2"/>
              <w:spacing w:after="0" w:line="360" w:lineRule="auto"/>
              <w:ind w:firstLine="480" w:firstLineChars="200"/>
              <w:rPr>
                <w:sz w:val="24"/>
                <w:szCs w:val="20"/>
              </w:rPr>
            </w:pPr>
            <w:r>
              <w:rPr>
                <w:rFonts w:hint="eastAsia"/>
                <w:sz w:val="24"/>
                <w:szCs w:val="20"/>
              </w:rPr>
              <w:t>全县按地貌类型可以分为平原和山地两大类。平原面积</w:t>
            </w:r>
            <w:r>
              <w:rPr>
                <w:sz w:val="24"/>
                <w:szCs w:val="20"/>
              </w:rPr>
              <w:t>1028</w:t>
            </w:r>
            <w:r>
              <w:rPr>
                <w:rFonts w:hint="eastAsia"/>
                <w:sz w:val="24"/>
                <w:szCs w:val="20"/>
              </w:rPr>
              <w:t>平方公里（不含江、湖、河、库等水域），按成因可分为江河平原、溪谷平原和滨湖平原。山地总面积</w:t>
            </w:r>
            <w:r>
              <w:rPr>
                <w:sz w:val="24"/>
                <w:szCs w:val="20"/>
              </w:rPr>
              <w:t>328</w:t>
            </w:r>
            <w:r>
              <w:rPr>
                <w:rFonts w:hint="eastAsia"/>
                <w:sz w:val="24"/>
                <w:szCs w:val="20"/>
              </w:rPr>
              <w:t>平方公里，按高程可分为岗地、丘陵、低山</w:t>
            </w:r>
            <w:r>
              <w:rPr>
                <w:sz w:val="24"/>
                <w:szCs w:val="20"/>
              </w:rPr>
              <w:t>3</w:t>
            </w:r>
            <w:r>
              <w:rPr>
                <w:rFonts w:hint="eastAsia"/>
                <w:sz w:val="24"/>
                <w:szCs w:val="20"/>
              </w:rPr>
              <w:t>类。本项目选址地处平原区域</w:t>
            </w:r>
            <w:r>
              <w:rPr>
                <w:sz w:val="24"/>
                <w:szCs w:val="20"/>
              </w:rPr>
              <w:t>，周围地势开阔、平坦。</w:t>
            </w:r>
          </w:p>
          <w:p>
            <w:pPr>
              <w:pStyle w:val="2"/>
              <w:spacing w:after="0" w:line="360" w:lineRule="auto"/>
              <w:ind w:firstLine="480" w:firstLineChars="200"/>
              <w:rPr>
                <w:sz w:val="24"/>
                <w:szCs w:val="20"/>
              </w:rPr>
            </w:pPr>
            <w:r>
              <w:rPr>
                <w:sz w:val="24"/>
                <w:szCs w:val="20"/>
              </w:rPr>
              <w:t>（三）气候、气象</w:t>
            </w:r>
          </w:p>
          <w:p>
            <w:pPr>
              <w:spacing w:line="360" w:lineRule="auto"/>
              <w:ind w:firstLine="480" w:firstLineChars="200"/>
              <w:rPr>
                <w:sz w:val="24"/>
              </w:rPr>
            </w:pPr>
            <w:r>
              <w:rPr>
                <w:rFonts w:hint="eastAsia"/>
                <w:sz w:val="24"/>
              </w:rPr>
              <w:t>华容县属中亚热带向北严热带过度地区的大陆性季风湿气候，在中国气候分区中，属长江中游气候大区。主要气候特征是：光照充足，雨量适度，温暖湿润，四季分明。据华容县气象局资料，历年年平均气温</w:t>
            </w:r>
            <w:r>
              <w:rPr>
                <w:sz w:val="24"/>
              </w:rPr>
              <w:t>16.7</w:t>
            </w:r>
            <w:r>
              <w:rPr>
                <w:rFonts w:hint="eastAsia" w:ascii="宋体" w:hAnsi="宋体" w:cs="宋体"/>
                <w:sz w:val="24"/>
              </w:rPr>
              <w:t>℃</w:t>
            </w:r>
            <w:r>
              <w:rPr>
                <w:rFonts w:hint="eastAsia"/>
                <w:sz w:val="24"/>
              </w:rPr>
              <w:t>，极端最高气温</w:t>
            </w:r>
            <w:r>
              <w:rPr>
                <w:sz w:val="24"/>
              </w:rPr>
              <w:t>40</w:t>
            </w:r>
            <w:r>
              <w:rPr>
                <w:rFonts w:hint="eastAsia" w:ascii="宋体" w:hAnsi="宋体" w:cs="宋体"/>
                <w:sz w:val="24"/>
              </w:rPr>
              <w:t>℃</w:t>
            </w:r>
            <w:r>
              <w:rPr>
                <w:rFonts w:hint="eastAsia"/>
                <w:sz w:val="24"/>
              </w:rPr>
              <w:t>，极端最低气温零下</w:t>
            </w:r>
            <w:r>
              <w:rPr>
                <w:sz w:val="24"/>
              </w:rPr>
              <w:t>12.6</w:t>
            </w:r>
            <w:r>
              <w:rPr>
                <w:rFonts w:hint="eastAsia" w:ascii="宋体" w:hAnsi="宋体" w:cs="宋体"/>
                <w:sz w:val="24"/>
              </w:rPr>
              <w:t>℃</w:t>
            </w:r>
            <w:r>
              <w:rPr>
                <w:rFonts w:hint="eastAsia"/>
                <w:sz w:val="24"/>
              </w:rPr>
              <w:t>。</w:t>
            </w:r>
            <w:r>
              <w:rPr>
                <w:sz w:val="24"/>
              </w:rPr>
              <w:t>6-7</w:t>
            </w:r>
            <w:r>
              <w:rPr>
                <w:rFonts w:hint="eastAsia"/>
                <w:sz w:val="24"/>
              </w:rPr>
              <w:t>月为南风，其他月份偏北风，</w:t>
            </w:r>
            <w:r>
              <w:rPr>
                <w:rFonts w:hint="eastAsia"/>
                <w:bCs/>
                <w:sz w:val="24"/>
              </w:rPr>
              <w:t>年主导风向为北风，</w:t>
            </w:r>
            <w:r>
              <w:rPr>
                <w:rFonts w:hint="eastAsia"/>
                <w:sz w:val="24"/>
              </w:rPr>
              <w:t>年平均风速</w:t>
            </w:r>
            <w:r>
              <w:rPr>
                <w:sz w:val="24"/>
              </w:rPr>
              <w:t>3.0m/s</w:t>
            </w:r>
            <w:r>
              <w:rPr>
                <w:rFonts w:hint="eastAsia"/>
                <w:sz w:val="24"/>
              </w:rPr>
              <w:t>。气温年变化差大，日变化小。年平均降水量</w:t>
            </w:r>
            <w:r>
              <w:rPr>
                <w:sz w:val="24"/>
              </w:rPr>
              <w:t>1214</w:t>
            </w:r>
            <w:r>
              <w:rPr>
                <w:rFonts w:hint="eastAsia"/>
                <w:sz w:val="24"/>
              </w:rPr>
              <w:t>毫米（华容城关站），年最大降水量</w:t>
            </w:r>
            <w:r>
              <w:rPr>
                <w:sz w:val="24"/>
              </w:rPr>
              <w:t>2033.7</w:t>
            </w:r>
            <w:r>
              <w:rPr>
                <w:rFonts w:hint="eastAsia"/>
                <w:sz w:val="24"/>
              </w:rPr>
              <w:t>毫米，年最小为</w:t>
            </w:r>
            <w:r>
              <w:rPr>
                <w:sz w:val="24"/>
              </w:rPr>
              <w:t>750</w:t>
            </w:r>
            <w:r>
              <w:rPr>
                <w:rFonts w:hint="eastAsia"/>
                <w:sz w:val="24"/>
              </w:rPr>
              <w:t>毫米，最大三日降雨</w:t>
            </w:r>
            <w:r>
              <w:rPr>
                <w:sz w:val="24"/>
              </w:rPr>
              <w:t>399.6</w:t>
            </w:r>
            <w:r>
              <w:rPr>
                <w:rFonts w:hint="eastAsia"/>
                <w:sz w:val="24"/>
              </w:rPr>
              <w:t>毫米，最大日降雨</w:t>
            </w:r>
            <w:r>
              <w:rPr>
                <w:sz w:val="24"/>
              </w:rPr>
              <w:t>227.8</w:t>
            </w:r>
            <w:r>
              <w:rPr>
                <w:rFonts w:hint="eastAsia"/>
                <w:sz w:val="24"/>
              </w:rPr>
              <w:t>毫米，年降雨日平均</w:t>
            </w:r>
            <w:r>
              <w:rPr>
                <w:sz w:val="24"/>
              </w:rPr>
              <w:t>134.3</w:t>
            </w:r>
            <w:r>
              <w:rPr>
                <w:rFonts w:hint="eastAsia"/>
                <w:sz w:val="24"/>
              </w:rPr>
              <w:t>天。年降水量的地域分布比较一致，地域之间的年降水量差异在</w:t>
            </w:r>
            <w:r>
              <w:rPr>
                <w:sz w:val="24"/>
              </w:rPr>
              <w:t>100mm</w:t>
            </w:r>
            <w:r>
              <w:rPr>
                <w:rFonts w:hint="eastAsia"/>
                <w:sz w:val="24"/>
              </w:rPr>
              <w:t>上下。初霜早，霜期长，无霜期</w:t>
            </w:r>
            <w:r>
              <w:rPr>
                <w:sz w:val="24"/>
              </w:rPr>
              <w:t>261.7</w:t>
            </w:r>
            <w:r>
              <w:rPr>
                <w:rFonts w:hint="eastAsia"/>
                <w:sz w:val="24"/>
              </w:rPr>
              <w:t>天，县境内水域大，空气湿润，干燥度小，年平均相对湿度</w:t>
            </w:r>
            <w:r>
              <w:rPr>
                <w:sz w:val="24"/>
              </w:rPr>
              <w:t>81%</w:t>
            </w:r>
            <w:r>
              <w:rPr>
                <w:rFonts w:hint="eastAsia"/>
                <w:sz w:val="24"/>
              </w:rPr>
              <w:t>。冷空气由此侵入湖南，冬春多寒潮，夏季降水集中，往往形成风、雹、涝灾害。</w:t>
            </w:r>
          </w:p>
          <w:p>
            <w:pPr>
              <w:spacing w:line="360" w:lineRule="auto"/>
              <w:ind w:firstLine="480" w:firstLineChars="200"/>
              <w:rPr>
                <w:sz w:val="24"/>
                <w:szCs w:val="22"/>
              </w:rPr>
            </w:pPr>
            <w:r>
              <w:rPr>
                <w:sz w:val="24"/>
              </w:rPr>
              <w:t>华容处于低纬区内，全年太阳可照时数为4426.9小时，但实际日照时数仅1612.4小时，年日</w:t>
            </w:r>
            <w:r>
              <w:rPr>
                <w:sz w:val="24"/>
                <w:szCs w:val="22"/>
              </w:rPr>
              <w:t>照率为36％。境内日照时数由北向南呈递减趋势，境内东北地区，日照时数在1800小时以上，境南的注滋口、插旗及东湖一带日照时数1700小时以下，为低值区。</w:t>
            </w:r>
          </w:p>
          <w:p>
            <w:pPr>
              <w:spacing w:line="360" w:lineRule="auto"/>
              <w:ind w:firstLine="480" w:firstLineChars="200"/>
              <w:rPr>
                <w:sz w:val="24"/>
                <w:szCs w:val="22"/>
              </w:rPr>
            </w:pPr>
            <w:r>
              <w:rPr>
                <w:rFonts w:hint="eastAsia"/>
                <w:sz w:val="24"/>
                <w:szCs w:val="22"/>
              </w:rPr>
              <w:t>万庾镇位于北亚热带湿润性季风气候区，四季气候温和，空气湿润。年平均气温16℃，年平均湿度76%，年均无霜期达298天，年平均降雨量1139毫米。</w:t>
            </w:r>
          </w:p>
          <w:p>
            <w:pPr>
              <w:pStyle w:val="2"/>
              <w:spacing w:after="0" w:line="360" w:lineRule="auto"/>
              <w:ind w:firstLine="480" w:firstLineChars="200"/>
              <w:rPr>
                <w:sz w:val="24"/>
                <w:szCs w:val="20"/>
              </w:rPr>
            </w:pPr>
            <w:r>
              <w:rPr>
                <w:sz w:val="24"/>
                <w:szCs w:val="20"/>
              </w:rPr>
              <w:t>（四）水文</w:t>
            </w:r>
          </w:p>
          <w:p>
            <w:pPr>
              <w:spacing w:line="360" w:lineRule="auto"/>
              <w:ind w:firstLine="480" w:firstLineChars="200"/>
              <w:rPr>
                <w:rFonts w:hAnsi="宋体"/>
                <w:sz w:val="24"/>
              </w:rPr>
            </w:pPr>
            <w:r>
              <w:rPr>
                <w:rFonts w:hint="eastAsia" w:hAnsi="宋体"/>
                <w:sz w:val="24"/>
              </w:rPr>
              <w:t>华容境内湖泊星布，河流网织，水系发达。有内湖</w:t>
            </w:r>
            <w:r>
              <w:rPr>
                <w:rFonts w:hAnsi="宋体"/>
                <w:sz w:val="24"/>
              </w:rPr>
              <w:t>21</w:t>
            </w:r>
            <w:r>
              <w:rPr>
                <w:rFonts w:hint="eastAsia" w:hAnsi="宋体"/>
                <w:sz w:val="24"/>
              </w:rPr>
              <w:t>个，蓄水面积</w:t>
            </w:r>
            <w:r>
              <w:rPr>
                <w:rFonts w:hAnsi="宋体"/>
                <w:sz w:val="24"/>
              </w:rPr>
              <w:t>74.5</w:t>
            </w:r>
            <w:r>
              <w:rPr>
                <w:rFonts w:hint="eastAsia" w:hAnsi="宋体"/>
                <w:sz w:val="24"/>
              </w:rPr>
              <w:t>平方公里，调蓄水量</w:t>
            </w:r>
            <w:r>
              <w:rPr>
                <w:rFonts w:hAnsi="宋体"/>
                <w:sz w:val="24"/>
              </w:rPr>
              <w:t>12154</w:t>
            </w:r>
            <w:r>
              <w:rPr>
                <w:rFonts w:hint="eastAsia" w:hAnsi="宋体"/>
                <w:sz w:val="24"/>
              </w:rPr>
              <w:t>万立方米，内河</w:t>
            </w:r>
            <w:r>
              <w:rPr>
                <w:rFonts w:hAnsi="宋体"/>
                <w:sz w:val="24"/>
              </w:rPr>
              <w:t>8</w:t>
            </w:r>
            <w:r>
              <w:rPr>
                <w:rFonts w:hint="eastAsia" w:hAnsi="宋体"/>
                <w:sz w:val="24"/>
              </w:rPr>
              <w:t>条，长</w:t>
            </w:r>
            <w:r>
              <w:rPr>
                <w:rFonts w:hAnsi="宋体"/>
                <w:sz w:val="24"/>
              </w:rPr>
              <w:t>95.1</w:t>
            </w:r>
            <w:r>
              <w:rPr>
                <w:rFonts w:hint="eastAsia" w:hAnsi="宋体"/>
                <w:sz w:val="24"/>
              </w:rPr>
              <w:t>公里，蓄水量</w:t>
            </w:r>
            <w:r>
              <w:rPr>
                <w:rFonts w:hAnsi="宋体"/>
                <w:sz w:val="24"/>
              </w:rPr>
              <w:t>3857</w:t>
            </w:r>
            <w:r>
              <w:rPr>
                <w:rFonts w:hint="eastAsia" w:hAnsi="宋体"/>
                <w:sz w:val="24"/>
              </w:rPr>
              <w:t>万立方米。水库</w:t>
            </w:r>
            <w:r>
              <w:rPr>
                <w:rFonts w:hAnsi="宋体"/>
                <w:sz w:val="24"/>
              </w:rPr>
              <w:t>59</w:t>
            </w:r>
            <w:r>
              <w:rPr>
                <w:rFonts w:hint="eastAsia" w:hAnsi="宋体"/>
                <w:sz w:val="24"/>
              </w:rPr>
              <w:t>座，其中中型水库</w:t>
            </w:r>
            <w:r>
              <w:rPr>
                <w:rFonts w:hAnsi="宋体"/>
                <w:sz w:val="24"/>
              </w:rPr>
              <w:t>2</w:t>
            </w:r>
            <w:r>
              <w:rPr>
                <w:rFonts w:hint="eastAsia" w:hAnsi="宋体"/>
                <w:sz w:val="24"/>
              </w:rPr>
              <w:t>座，小（一）型水库</w:t>
            </w:r>
            <w:r>
              <w:rPr>
                <w:rFonts w:hAnsi="宋体"/>
                <w:sz w:val="24"/>
              </w:rPr>
              <w:t>6</w:t>
            </w:r>
            <w:r>
              <w:rPr>
                <w:rFonts w:hint="eastAsia" w:hAnsi="宋体"/>
                <w:sz w:val="24"/>
              </w:rPr>
              <w:t>座，小（二）型水库</w:t>
            </w:r>
            <w:r>
              <w:rPr>
                <w:rFonts w:hAnsi="宋体"/>
                <w:sz w:val="24"/>
              </w:rPr>
              <w:t>51</w:t>
            </w:r>
            <w:r>
              <w:rPr>
                <w:rFonts w:hint="eastAsia" w:hAnsi="宋体"/>
                <w:sz w:val="24"/>
              </w:rPr>
              <w:t>座，山塘港土当</w:t>
            </w:r>
            <w:r>
              <w:rPr>
                <w:rFonts w:hAnsi="宋体"/>
                <w:sz w:val="24"/>
              </w:rPr>
              <w:t>6208</w:t>
            </w:r>
            <w:r>
              <w:rPr>
                <w:rFonts w:hint="eastAsia" w:hAnsi="宋体"/>
                <w:sz w:val="24"/>
              </w:rPr>
              <w:t>处，总蓄水量</w:t>
            </w:r>
            <w:r>
              <w:rPr>
                <w:rFonts w:hAnsi="宋体"/>
                <w:sz w:val="24"/>
              </w:rPr>
              <w:t>6873</w:t>
            </w:r>
            <w:r>
              <w:rPr>
                <w:rFonts w:hint="eastAsia" w:hAnsi="宋体"/>
                <w:sz w:val="24"/>
              </w:rPr>
              <w:t>万立方米。长江水系藕池河、华容河穿境而过。加上每年平均降雨量</w:t>
            </w:r>
            <w:r>
              <w:rPr>
                <w:rFonts w:hAnsi="宋体"/>
                <w:sz w:val="24"/>
              </w:rPr>
              <w:t>1214</w:t>
            </w:r>
            <w:r>
              <w:rPr>
                <w:rFonts w:hint="eastAsia" w:hAnsi="宋体"/>
                <w:sz w:val="24"/>
              </w:rPr>
              <w:t>毫米，总产水量</w:t>
            </w:r>
            <w:r>
              <w:rPr>
                <w:rFonts w:hAnsi="宋体"/>
                <w:sz w:val="24"/>
              </w:rPr>
              <w:t>21.3</w:t>
            </w:r>
            <w:r>
              <w:rPr>
                <w:rFonts w:hint="eastAsia" w:hAnsi="宋体"/>
                <w:sz w:val="24"/>
              </w:rPr>
              <w:t>亿立方米，减去蒸发量</w:t>
            </w:r>
            <w:r>
              <w:rPr>
                <w:rFonts w:hAnsi="宋体"/>
                <w:sz w:val="24"/>
              </w:rPr>
              <w:t>6.3</w:t>
            </w:r>
            <w:r>
              <w:rPr>
                <w:rFonts w:hint="eastAsia" w:hAnsi="宋体"/>
                <w:sz w:val="24"/>
              </w:rPr>
              <w:t>亿立方米，水资源总量为</w:t>
            </w:r>
            <w:r>
              <w:rPr>
                <w:rFonts w:hAnsi="宋体"/>
                <w:sz w:val="24"/>
              </w:rPr>
              <w:t>15</w:t>
            </w:r>
            <w:r>
              <w:rPr>
                <w:rFonts w:hint="eastAsia" w:hAnsi="宋体"/>
                <w:sz w:val="24"/>
              </w:rPr>
              <w:t>亿立方米，其中地表水为</w:t>
            </w:r>
            <w:r>
              <w:rPr>
                <w:rFonts w:hAnsi="宋体"/>
                <w:sz w:val="24"/>
              </w:rPr>
              <w:t>11.4</w:t>
            </w:r>
            <w:r>
              <w:rPr>
                <w:rFonts w:hint="eastAsia" w:hAnsi="宋体"/>
                <w:sz w:val="24"/>
              </w:rPr>
              <w:t>亿立方米，地下水为</w:t>
            </w:r>
            <w:r>
              <w:rPr>
                <w:rFonts w:hAnsi="宋体"/>
                <w:sz w:val="24"/>
              </w:rPr>
              <w:t>3.6</w:t>
            </w:r>
            <w:r>
              <w:rPr>
                <w:rFonts w:hint="eastAsia" w:hAnsi="宋体"/>
                <w:sz w:val="24"/>
              </w:rPr>
              <w:t>亿立方米，是名副其实的“水乡”。</w:t>
            </w:r>
          </w:p>
          <w:p>
            <w:pPr>
              <w:spacing w:line="360" w:lineRule="auto"/>
              <w:ind w:firstLine="480" w:firstLineChars="200"/>
              <w:rPr>
                <w:rFonts w:hAnsi="宋体"/>
                <w:sz w:val="24"/>
                <w:szCs w:val="22"/>
              </w:rPr>
            </w:pPr>
            <w:r>
              <w:rPr>
                <w:rFonts w:hint="eastAsia" w:hAnsi="宋体"/>
                <w:sz w:val="24"/>
              </w:rPr>
              <w:t>区内地表水域较为广阔，水资源非常丰富，除丰富的地表水资源外，规划区亦有丰富的地下水资源。开采深度约在</w:t>
            </w:r>
            <w:r>
              <w:rPr>
                <w:rFonts w:hAnsi="宋体"/>
                <w:sz w:val="24"/>
              </w:rPr>
              <w:t>20</w:t>
            </w:r>
            <w:r>
              <w:rPr>
                <w:rFonts w:hint="eastAsia" w:hAnsi="宋体"/>
                <w:sz w:val="24"/>
              </w:rPr>
              <w:t>～</w:t>
            </w:r>
            <w:r>
              <w:rPr>
                <w:rFonts w:hAnsi="宋体"/>
                <w:sz w:val="24"/>
              </w:rPr>
              <w:t>50</w:t>
            </w:r>
            <w:r>
              <w:rPr>
                <w:rFonts w:hint="eastAsia" w:hAnsi="宋体"/>
                <w:sz w:val="24"/>
              </w:rPr>
              <w:t>米之间，单井涌水量每日</w:t>
            </w:r>
            <w:r>
              <w:rPr>
                <w:rFonts w:hAnsi="宋体"/>
                <w:sz w:val="24"/>
              </w:rPr>
              <w:t>1000</w:t>
            </w:r>
            <w:r>
              <w:rPr>
                <w:rFonts w:hint="eastAsia" w:hAnsi="宋体"/>
                <w:sz w:val="24"/>
              </w:rPr>
              <w:t>～</w:t>
            </w:r>
            <w:r>
              <w:rPr>
                <w:rFonts w:hAnsi="宋体"/>
                <w:sz w:val="24"/>
              </w:rPr>
              <w:t>5000</w:t>
            </w:r>
            <w:r>
              <w:rPr>
                <w:rFonts w:hint="eastAsia" w:hAnsi="宋体"/>
                <w:sz w:val="24"/>
              </w:rPr>
              <w:t>立方米，矿化度</w:t>
            </w:r>
            <w:r>
              <w:rPr>
                <w:rFonts w:hAnsi="宋体"/>
                <w:sz w:val="24"/>
              </w:rPr>
              <w:t>0.</w:t>
            </w:r>
            <w:r>
              <w:rPr>
                <w:rFonts w:hint="eastAsia" w:hAnsi="宋体"/>
                <w:sz w:val="24"/>
                <w:szCs w:val="22"/>
              </w:rPr>
              <w:t>2～0.5克/升。</w:t>
            </w:r>
          </w:p>
          <w:p>
            <w:pPr>
              <w:spacing w:line="360" w:lineRule="auto"/>
              <w:ind w:firstLine="480" w:firstLineChars="200"/>
              <w:rPr>
                <w:sz w:val="24"/>
              </w:rPr>
            </w:pPr>
            <w:r>
              <w:rPr>
                <w:sz w:val="24"/>
              </w:rPr>
              <w:t>（五）植被及生物多样性</w:t>
            </w:r>
          </w:p>
          <w:p>
            <w:pPr>
              <w:tabs>
                <w:tab w:val="left" w:pos="1021"/>
              </w:tabs>
              <w:spacing w:line="360" w:lineRule="auto"/>
              <w:ind w:firstLine="475" w:firstLineChars="198"/>
              <w:rPr>
                <w:snapToGrid w:val="0"/>
                <w:kern w:val="28"/>
                <w:sz w:val="24"/>
              </w:rPr>
            </w:pPr>
            <w:r>
              <w:rPr>
                <w:sz w:val="24"/>
              </w:rPr>
              <w:t>华容县境内已知的</w:t>
            </w:r>
            <w:r>
              <w:rPr>
                <w:rFonts w:hint="eastAsia"/>
                <w:sz w:val="24"/>
              </w:rPr>
              <w:t>华容野生植物和已经驯化用于林业生产的栽培植物共有904种(包括变种)，按其利用价值可分为防护、用材、食用、药用、工业、农业、观赏等6类。粮食作物有水稻等17种；经济作物有棉花等13种；油料作物有油菜等9种；水果作物有板粟等19种；蔬菜作物有辣椒等58种；绿肥作物有红花草籽等5种；水生植物和野生植物有莲藕等11种。主要养殖家畜家禽共有10种；水生动物有青鱼、鲫鱼等鱼类117种。野生动物有国家一级保护动物中华鲟等10种；二级保护动物有江豚、丽蚌等37种；三级保持动物有豺狗等63种。鸟类有八哥、麻雀等130种。兽类有黄鼠、蝙蝠等23种。</w:t>
            </w:r>
          </w:p>
          <w:p>
            <w:pPr>
              <w:widowControl/>
              <w:spacing w:line="360" w:lineRule="auto"/>
              <w:ind w:firstLine="480"/>
              <w:jc w:val="left"/>
              <w:rPr>
                <w:color w:val="FF0000"/>
                <w:kern w:val="24"/>
                <w:sz w:val="24"/>
              </w:rPr>
            </w:pPr>
            <w:r>
              <w:rPr>
                <w:kern w:val="24"/>
                <w:sz w:val="24"/>
              </w:rPr>
              <w:t>据调查，本工程区</w:t>
            </w:r>
            <w:r>
              <w:rPr>
                <w:rFonts w:hint="eastAsia"/>
                <w:kern w:val="24"/>
                <w:sz w:val="24"/>
              </w:rPr>
              <w:t>人类活动较为频繁，主要为人工种植的经济作物以及家畜家禽，区域内</w:t>
            </w:r>
            <w:r>
              <w:rPr>
                <w:kern w:val="24"/>
                <w:sz w:val="24"/>
              </w:rPr>
              <w:t>未发现珍稀濒危等需要特殊保护的野生</w:t>
            </w:r>
            <w:r>
              <w:rPr>
                <w:rFonts w:hint="eastAsia"/>
                <w:kern w:val="24"/>
                <w:sz w:val="24"/>
              </w:rPr>
              <w:t>动植物。</w:t>
            </w:r>
            <w:bookmarkEnd w:id="4"/>
          </w:p>
        </w:tc>
      </w:tr>
    </w:tbl>
    <w:p>
      <w:pPr>
        <w:rPr>
          <w:rFonts w:ascii="宋体" w:hAnsi="宋体" w:cs="宋体"/>
          <w:b/>
          <w:bCs/>
          <w:sz w:val="28"/>
          <w:szCs w:val="28"/>
        </w:rPr>
      </w:pPr>
    </w:p>
    <w:p>
      <w:pPr>
        <w:rPr>
          <w:rFonts w:ascii="宋体" w:hAnsi="宋体" w:cs="宋体"/>
          <w:b/>
          <w:bCs/>
          <w:sz w:val="28"/>
          <w:szCs w:val="28"/>
        </w:rPr>
      </w:pPr>
      <w:r>
        <w:rPr>
          <w:rFonts w:hint="eastAsia" w:ascii="宋体" w:hAnsi="宋体" w:cs="宋体"/>
          <w:b/>
          <w:bCs/>
          <w:sz w:val="28"/>
          <w:szCs w:val="28"/>
        </w:rPr>
        <w:t>表三、环境质量状况</w:t>
      </w:r>
    </w:p>
    <w:tbl>
      <w:tblPr>
        <w:tblStyle w:val="28"/>
        <w:tblW w:w="852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52" w:hRule="atLeast"/>
          <w:jc w:val="center"/>
        </w:trPr>
        <w:tc>
          <w:tcPr>
            <w:tcW w:w="8522" w:type="dxa"/>
          </w:tcPr>
          <w:p>
            <w:pPr>
              <w:snapToGrid w:val="0"/>
              <w:spacing w:line="360" w:lineRule="auto"/>
              <w:rPr>
                <w:sz w:val="24"/>
              </w:rPr>
            </w:pPr>
            <w:r>
              <w:rPr>
                <w:rFonts w:eastAsia="黑体"/>
                <w:sz w:val="24"/>
              </w:rPr>
              <w:t>建设项目所在地区域环境质量现状及主要环境问题（环境空气、地面水、地下水、声环境、生态环境）：</w:t>
            </w:r>
          </w:p>
          <w:p>
            <w:pPr>
              <w:pStyle w:val="27"/>
              <w:spacing w:after="0"/>
              <w:ind w:firstLine="482" w:firstLineChars="200"/>
              <w:rPr>
                <w:b/>
                <w:bCs/>
                <w:sz w:val="24"/>
                <w:szCs w:val="20"/>
              </w:rPr>
            </w:pPr>
            <w:r>
              <w:rPr>
                <w:rFonts w:hint="eastAsia"/>
                <w:b/>
                <w:bCs/>
                <w:sz w:val="24"/>
                <w:szCs w:val="20"/>
              </w:rPr>
              <w:t>1.空气</w:t>
            </w:r>
            <w:r>
              <w:rPr>
                <w:b/>
                <w:bCs/>
                <w:sz w:val="24"/>
                <w:szCs w:val="20"/>
              </w:rPr>
              <w:t>环境质量现状</w:t>
            </w:r>
          </w:p>
          <w:p>
            <w:pPr>
              <w:spacing w:line="360" w:lineRule="auto"/>
              <w:ind w:firstLine="480" w:firstLineChars="200"/>
              <w:rPr>
                <w:kern w:val="28"/>
                <w:sz w:val="24"/>
              </w:rPr>
            </w:pPr>
            <w:r>
              <w:rPr>
                <w:rFonts w:hint="eastAsia"/>
                <w:kern w:val="28"/>
                <w:sz w:val="24"/>
              </w:rPr>
              <w:t>（1）区域达标情况</w:t>
            </w:r>
          </w:p>
          <w:p>
            <w:pPr>
              <w:spacing w:line="360" w:lineRule="auto"/>
              <w:ind w:firstLine="480" w:firstLineChars="200"/>
              <w:rPr>
                <w:kern w:val="28"/>
                <w:sz w:val="24"/>
                <w:u w:val="none"/>
              </w:rPr>
            </w:pPr>
            <w:r>
              <w:rPr>
                <w:kern w:val="28"/>
                <w:sz w:val="24"/>
                <w:u w:val="none"/>
              </w:rPr>
              <w:t>根据《环境影响评价技术导则-大气环境》(HJ2.2-2018)中二级项目需调查项目所在区域环境质量达标情况，采用评价范围内国家或地方环境空气质量监测网中评价基准年连续一年的监测数据。</w:t>
            </w:r>
          </w:p>
          <w:p>
            <w:pPr>
              <w:spacing w:line="360" w:lineRule="auto"/>
              <w:ind w:firstLine="480" w:firstLineChars="200"/>
              <w:rPr>
                <w:kern w:val="28"/>
                <w:sz w:val="24"/>
                <w:u w:val="none"/>
              </w:rPr>
            </w:pPr>
            <w:r>
              <w:rPr>
                <w:kern w:val="28"/>
                <w:sz w:val="24"/>
                <w:u w:val="none"/>
              </w:rPr>
              <w:t>本项目筛选的评价基准年为201</w:t>
            </w:r>
            <w:r>
              <w:rPr>
                <w:rFonts w:hint="eastAsia"/>
                <w:kern w:val="28"/>
                <w:sz w:val="24"/>
                <w:u w:val="none"/>
              </w:rPr>
              <w:t>9</w:t>
            </w:r>
            <w:r>
              <w:rPr>
                <w:kern w:val="28"/>
                <w:sz w:val="24"/>
                <w:u w:val="none"/>
              </w:rPr>
              <w:t>年。由于本项目评价范围内没有环境空气质量监测网数据，故区域达标判定所用数据引用201</w:t>
            </w:r>
            <w:r>
              <w:rPr>
                <w:rFonts w:hint="eastAsia"/>
                <w:kern w:val="28"/>
                <w:sz w:val="24"/>
                <w:u w:val="none"/>
              </w:rPr>
              <w:t>9</w:t>
            </w:r>
            <w:r>
              <w:rPr>
                <w:kern w:val="28"/>
                <w:sz w:val="24"/>
                <w:u w:val="none"/>
              </w:rPr>
              <w:t>年岳阳市华容县环境监测站点的基本污染物环境质量现状数据。具体达标判定监测数据及评价结果见下表。</w:t>
            </w:r>
          </w:p>
          <w:p>
            <w:pPr>
              <w:spacing w:line="360" w:lineRule="auto"/>
              <w:jc w:val="center"/>
              <w:rPr>
                <w:b/>
                <w:sz w:val="24"/>
                <w:szCs w:val="21"/>
                <w:u w:val="none"/>
                <w:vertAlign w:val="superscript"/>
              </w:rPr>
            </w:pPr>
            <w:r>
              <w:rPr>
                <w:b/>
                <w:sz w:val="24"/>
                <w:szCs w:val="21"/>
                <w:u w:val="none"/>
              </w:rPr>
              <w:t xml:space="preserve">表3-1  </w:t>
            </w:r>
            <w:r>
              <w:rPr>
                <w:b/>
                <w:bCs/>
                <w:sz w:val="24"/>
                <w:u w:val="none"/>
              </w:rPr>
              <w:t>本项目区域环境空气质量现状评价表</w:t>
            </w:r>
            <w:r>
              <w:rPr>
                <w:b/>
                <w:sz w:val="24"/>
                <w:szCs w:val="21"/>
                <w:u w:val="none"/>
              </w:rPr>
              <w:t xml:space="preserve">  单位：μg/m</w:t>
            </w:r>
            <w:r>
              <w:rPr>
                <w:b/>
                <w:sz w:val="24"/>
                <w:szCs w:val="21"/>
                <w:u w:val="none"/>
                <w:vertAlign w:val="superscript"/>
              </w:rPr>
              <w:t>3</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2153"/>
              <w:gridCol w:w="1246"/>
              <w:gridCol w:w="1134"/>
              <w:gridCol w:w="906"/>
              <w:gridCol w:w="921"/>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613" w:type="pct"/>
                  <w:tcBorders>
                    <w:top w:val="single" w:color="auto" w:sz="12"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评价因子</w:t>
                  </w:r>
                </w:p>
              </w:tc>
              <w:tc>
                <w:tcPr>
                  <w:tcW w:w="1297" w:type="pct"/>
                  <w:tcBorders>
                    <w:top w:val="single" w:color="auto" w:sz="12"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评均时段</w:t>
                  </w:r>
                </w:p>
              </w:tc>
              <w:tc>
                <w:tcPr>
                  <w:tcW w:w="751" w:type="pct"/>
                  <w:tcBorders>
                    <w:top w:val="single" w:color="auto" w:sz="12"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现状浓度/</w:t>
                  </w:r>
                </w:p>
                <w:p>
                  <w:pPr>
                    <w:pStyle w:val="2"/>
                    <w:spacing w:after="0"/>
                    <w:jc w:val="center"/>
                    <w:rPr>
                      <w:szCs w:val="21"/>
                      <w:u w:val="none"/>
                    </w:rPr>
                  </w:pPr>
                  <w:r>
                    <w:rPr>
                      <w:szCs w:val="21"/>
                      <w:u w:val="none"/>
                    </w:rPr>
                    <w:t>μg/m</w:t>
                  </w:r>
                  <w:r>
                    <w:rPr>
                      <w:szCs w:val="21"/>
                      <w:u w:val="none"/>
                      <w:vertAlign w:val="superscript"/>
                    </w:rPr>
                    <w:t>3</w:t>
                  </w:r>
                </w:p>
              </w:tc>
              <w:tc>
                <w:tcPr>
                  <w:tcW w:w="683" w:type="pct"/>
                  <w:tcBorders>
                    <w:top w:val="single" w:color="auto" w:sz="12"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标准浓度/</w:t>
                  </w:r>
                </w:p>
                <w:p>
                  <w:pPr>
                    <w:pStyle w:val="2"/>
                    <w:spacing w:after="0"/>
                    <w:jc w:val="center"/>
                    <w:rPr>
                      <w:szCs w:val="21"/>
                      <w:u w:val="none"/>
                      <w:vertAlign w:val="superscript"/>
                    </w:rPr>
                  </w:pPr>
                  <w:r>
                    <w:rPr>
                      <w:szCs w:val="21"/>
                      <w:u w:val="none"/>
                    </w:rPr>
                    <w:t>μg/m</w:t>
                  </w:r>
                  <w:r>
                    <w:rPr>
                      <w:szCs w:val="21"/>
                      <w:u w:val="none"/>
                      <w:vertAlign w:val="superscript"/>
                    </w:rPr>
                    <w:t>3</w:t>
                  </w:r>
                </w:p>
              </w:tc>
              <w:tc>
                <w:tcPr>
                  <w:tcW w:w="546" w:type="pct"/>
                  <w:tcBorders>
                    <w:top w:val="single" w:color="auto" w:sz="12"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占标率/％</w:t>
                  </w:r>
                </w:p>
              </w:tc>
              <w:tc>
                <w:tcPr>
                  <w:tcW w:w="555" w:type="pct"/>
                  <w:tcBorders>
                    <w:top w:val="single" w:color="auto" w:sz="12"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达标情况</w:t>
                  </w:r>
                </w:p>
              </w:tc>
              <w:tc>
                <w:tcPr>
                  <w:tcW w:w="554" w:type="pct"/>
                  <w:tcBorders>
                    <w:top w:val="single" w:color="auto" w:sz="12"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SO</w:t>
                  </w:r>
                  <w:r>
                    <w:rPr>
                      <w:szCs w:val="21"/>
                      <w:u w:val="none"/>
                      <w:vertAlign w:val="subscript"/>
                    </w:rPr>
                    <w:t>2</w:t>
                  </w:r>
                </w:p>
              </w:tc>
              <w:tc>
                <w:tcPr>
                  <w:tcW w:w="1297"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年平均浓度</w:t>
                  </w:r>
                </w:p>
              </w:tc>
              <w:tc>
                <w:tcPr>
                  <w:tcW w:w="751"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7.9</w:t>
                  </w:r>
                </w:p>
              </w:tc>
              <w:tc>
                <w:tcPr>
                  <w:tcW w:w="68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60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13.2</w:t>
                  </w:r>
                </w:p>
              </w:tc>
              <w:tc>
                <w:tcPr>
                  <w:tcW w:w="555"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达标</w:t>
                  </w:r>
                </w:p>
              </w:tc>
              <w:tc>
                <w:tcPr>
                  <w:tcW w:w="554" w:type="pct"/>
                  <w:tcBorders>
                    <w:top w:val="single" w:color="auto" w:sz="4"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Cs w:val="21"/>
                      <w:u w:val="none"/>
                    </w:rPr>
                  </w:pPr>
                </w:p>
              </w:tc>
              <w:tc>
                <w:tcPr>
                  <w:tcW w:w="1297"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24小时平均第98百分位数</w:t>
                  </w:r>
                </w:p>
              </w:tc>
              <w:tc>
                <w:tcPr>
                  <w:tcW w:w="751"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26</w:t>
                  </w:r>
                </w:p>
              </w:tc>
              <w:tc>
                <w:tcPr>
                  <w:tcW w:w="68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150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17.3</w:t>
                  </w:r>
                </w:p>
              </w:tc>
              <w:tc>
                <w:tcPr>
                  <w:tcW w:w="555"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达标</w:t>
                  </w:r>
                </w:p>
              </w:tc>
              <w:tc>
                <w:tcPr>
                  <w:tcW w:w="554" w:type="pct"/>
                  <w:tcBorders>
                    <w:top w:val="single" w:color="auto" w:sz="4"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NO</w:t>
                  </w:r>
                  <w:r>
                    <w:rPr>
                      <w:szCs w:val="21"/>
                      <w:u w:val="none"/>
                      <w:vertAlign w:val="subscript"/>
                    </w:rPr>
                    <w:t>2</w:t>
                  </w:r>
                </w:p>
              </w:tc>
              <w:tc>
                <w:tcPr>
                  <w:tcW w:w="1297"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年平均浓度</w:t>
                  </w:r>
                </w:p>
              </w:tc>
              <w:tc>
                <w:tcPr>
                  <w:tcW w:w="751"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16.4</w:t>
                  </w:r>
                </w:p>
              </w:tc>
              <w:tc>
                <w:tcPr>
                  <w:tcW w:w="68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40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41</w:t>
                  </w:r>
                </w:p>
              </w:tc>
              <w:tc>
                <w:tcPr>
                  <w:tcW w:w="555"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达标</w:t>
                  </w:r>
                </w:p>
              </w:tc>
              <w:tc>
                <w:tcPr>
                  <w:tcW w:w="554" w:type="pct"/>
                  <w:tcBorders>
                    <w:top w:val="single" w:color="auto" w:sz="4"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0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Cs w:val="21"/>
                      <w:u w:val="none"/>
                    </w:rPr>
                  </w:pPr>
                </w:p>
              </w:tc>
              <w:tc>
                <w:tcPr>
                  <w:tcW w:w="1297"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24小时平均第98百分位数</w:t>
                  </w:r>
                </w:p>
              </w:tc>
              <w:tc>
                <w:tcPr>
                  <w:tcW w:w="751"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45</w:t>
                  </w:r>
                </w:p>
              </w:tc>
              <w:tc>
                <w:tcPr>
                  <w:tcW w:w="68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80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56.2</w:t>
                  </w:r>
                </w:p>
              </w:tc>
              <w:tc>
                <w:tcPr>
                  <w:tcW w:w="555"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达标</w:t>
                  </w:r>
                </w:p>
              </w:tc>
              <w:tc>
                <w:tcPr>
                  <w:tcW w:w="554" w:type="pct"/>
                  <w:tcBorders>
                    <w:top w:val="single" w:color="auto" w:sz="4"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1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CO</w:t>
                  </w:r>
                </w:p>
              </w:tc>
              <w:tc>
                <w:tcPr>
                  <w:tcW w:w="1297"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24小时平均第95百分位数</w:t>
                  </w:r>
                </w:p>
              </w:tc>
              <w:tc>
                <w:tcPr>
                  <w:tcW w:w="751"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1500</w:t>
                  </w:r>
                </w:p>
              </w:tc>
              <w:tc>
                <w:tcPr>
                  <w:tcW w:w="68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4000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37.5</w:t>
                  </w:r>
                </w:p>
              </w:tc>
              <w:tc>
                <w:tcPr>
                  <w:tcW w:w="555"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达标</w:t>
                  </w:r>
                </w:p>
              </w:tc>
              <w:tc>
                <w:tcPr>
                  <w:tcW w:w="554" w:type="pct"/>
                  <w:tcBorders>
                    <w:top w:val="single" w:color="auto" w:sz="4"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1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臭氧</w:t>
                  </w:r>
                </w:p>
              </w:tc>
              <w:tc>
                <w:tcPr>
                  <w:tcW w:w="1297"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8h平均第90百分位数</w:t>
                  </w:r>
                </w:p>
              </w:tc>
              <w:tc>
                <w:tcPr>
                  <w:tcW w:w="751"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144</w:t>
                  </w:r>
                </w:p>
              </w:tc>
              <w:tc>
                <w:tcPr>
                  <w:tcW w:w="68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160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90</w:t>
                  </w:r>
                </w:p>
              </w:tc>
              <w:tc>
                <w:tcPr>
                  <w:tcW w:w="555"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达标</w:t>
                  </w:r>
                </w:p>
              </w:tc>
              <w:tc>
                <w:tcPr>
                  <w:tcW w:w="554" w:type="pct"/>
                  <w:tcBorders>
                    <w:top w:val="single" w:color="auto" w:sz="4"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PM</w:t>
                  </w:r>
                  <w:r>
                    <w:rPr>
                      <w:szCs w:val="21"/>
                      <w:u w:val="none"/>
                      <w:vertAlign w:val="subscript"/>
                    </w:rPr>
                    <w:t>2.5</w:t>
                  </w:r>
                </w:p>
              </w:tc>
              <w:tc>
                <w:tcPr>
                  <w:tcW w:w="1297"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年平均浓度</w:t>
                  </w:r>
                </w:p>
              </w:tc>
              <w:tc>
                <w:tcPr>
                  <w:tcW w:w="751"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48</w:t>
                  </w:r>
                </w:p>
              </w:tc>
              <w:tc>
                <w:tcPr>
                  <w:tcW w:w="68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35</w:t>
                  </w:r>
                </w:p>
              </w:tc>
              <w:tc>
                <w:tcPr>
                  <w:tcW w:w="546"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137</w:t>
                  </w:r>
                </w:p>
              </w:tc>
              <w:tc>
                <w:tcPr>
                  <w:tcW w:w="555"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不达标</w:t>
                  </w:r>
                </w:p>
              </w:tc>
              <w:tc>
                <w:tcPr>
                  <w:tcW w:w="554" w:type="pct"/>
                  <w:tcBorders>
                    <w:top w:val="single" w:color="auto" w:sz="4"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0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Cs w:val="21"/>
                      <w:u w:val="none"/>
                    </w:rPr>
                  </w:pPr>
                </w:p>
              </w:tc>
              <w:tc>
                <w:tcPr>
                  <w:tcW w:w="1297"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24小时平均第95百分位数</w:t>
                  </w:r>
                </w:p>
              </w:tc>
              <w:tc>
                <w:tcPr>
                  <w:tcW w:w="751"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110</w:t>
                  </w:r>
                </w:p>
              </w:tc>
              <w:tc>
                <w:tcPr>
                  <w:tcW w:w="68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75</w:t>
                  </w:r>
                </w:p>
              </w:tc>
              <w:tc>
                <w:tcPr>
                  <w:tcW w:w="546"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147</w:t>
                  </w:r>
                </w:p>
              </w:tc>
              <w:tc>
                <w:tcPr>
                  <w:tcW w:w="555"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达标</w:t>
                  </w:r>
                </w:p>
              </w:tc>
              <w:tc>
                <w:tcPr>
                  <w:tcW w:w="554" w:type="pct"/>
                  <w:tcBorders>
                    <w:top w:val="single" w:color="auto" w:sz="4"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u w:val="none"/>
                    </w:rPr>
                  </w:pPr>
                  <w:r>
                    <w:rPr>
                      <w:szCs w:val="21"/>
                      <w:u w:val="none"/>
                    </w:rPr>
                    <w:t>PM</w:t>
                  </w:r>
                  <w:r>
                    <w:rPr>
                      <w:szCs w:val="21"/>
                      <w:u w:val="none"/>
                      <w:vertAlign w:val="subscript"/>
                    </w:rPr>
                    <w:t>10</w:t>
                  </w:r>
                </w:p>
              </w:tc>
              <w:tc>
                <w:tcPr>
                  <w:tcW w:w="1297"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年平均浓度</w:t>
                  </w:r>
                </w:p>
              </w:tc>
              <w:tc>
                <w:tcPr>
                  <w:tcW w:w="751"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66</w:t>
                  </w:r>
                </w:p>
              </w:tc>
              <w:tc>
                <w:tcPr>
                  <w:tcW w:w="683"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70</w:t>
                  </w:r>
                </w:p>
              </w:tc>
              <w:tc>
                <w:tcPr>
                  <w:tcW w:w="546"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szCs w:val="21"/>
                      <w:u w:val="none"/>
                    </w:rPr>
                  </w:pPr>
                  <w:r>
                    <w:rPr>
                      <w:szCs w:val="21"/>
                      <w:u w:val="none"/>
                    </w:rPr>
                    <w:t>94.3</w:t>
                  </w:r>
                </w:p>
              </w:tc>
              <w:tc>
                <w:tcPr>
                  <w:tcW w:w="555" w:type="pct"/>
                  <w:tcBorders>
                    <w:top w:val="single" w:color="auto" w:sz="4" w:space="0"/>
                    <w:left w:val="single" w:color="auto" w:sz="4" w:space="0"/>
                    <w:bottom w:val="single" w:color="auto" w:sz="4" w:space="0"/>
                    <w:right w:val="single" w:color="auto" w:sz="4" w:space="0"/>
                  </w:tcBorders>
                  <w:noWrap w:val="0"/>
                  <w:vAlign w:val="center"/>
                </w:tcPr>
                <w:p>
                  <w:pPr>
                    <w:pStyle w:val="2"/>
                    <w:spacing w:after="0"/>
                    <w:jc w:val="center"/>
                    <w:rPr>
                      <w:u w:val="none"/>
                    </w:rPr>
                  </w:pPr>
                  <w:r>
                    <w:rPr>
                      <w:szCs w:val="21"/>
                      <w:u w:val="none"/>
                    </w:rPr>
                    <w:t>达标</w:t>
                  </w:r>
                </w:p>
              </w:tc>
              <w:tc>
                <w:tcPr>
                  <w:tcW w:w="554" w:type="pct"/>
                  <w:tcBorders>
                    <w:top w:val="single" w:color="auto" w:sz="4" w:space="0"/>
                    <w:left w:val="single" w:color="auto" w:sz="4" w:space="0"/>
                    <w:bottom w:val="single" w:color="auto" w:sz="4" w:space="0"/>
                    <w:right w:val="single" w:color="auto" w:sz="12" w:space="0"/>
                  </w:tcBorders>
                  <w:noWrap w:val="0"/>
                  <w:vAlign w:val="center"/>
                </w:tcPr>
                <w:p>
                  <w:pPr>
                    <w:pStyle w:val="2"/>
                    <w:spacing w:after="0"/>
                    <w:jc w:val="center"/>
                    <w:rPr>
                      <w:szCs w:val="21"/>
                      <w:u w:val="none"/>
                    </w:rPr>
                  </w:pPr>
                  <w:r>
                    <w:rPr>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098" w:type="dxa"/>
                  <w:vMerge w:val="continue"/>
                  <w:tcBorders>
                    <w:top w:val="single" w:color="auto" w:sz="4" w:space="0"/>
                    <w:left w:val="single" w:color="auto" w:sz="4" w:space="0"/>
                    <w:bottom w:val="single" w:color="auto" w:sz="12" w:space="0"/>
                    <w:right w:val="single" w:color="auto" w:sz="4" w:space="0"/>
                  </w:tcBorders>
                  <w:noWrap w:val="0"/>
                  <w:vAlign w:val="center"/>
                </w:tcPr>
                <w:p>
                  <w:pPr>
                    <w:widowControl/>
                    <w:jc w:val="left"/>
                    <w:rPr>
                      <w:u w:val="none"/>
                    </w:rPr>
                  </w:pPr>
                </w:p>
              </w:tc>
              <w:tc>
                <w:tcPr>
                  <w:tcW w:w="1297" w:type="pct"/>
                  <w:tcBorders>
                    <w:top w:val="single" w:color="auto" w:sz="4" w:space="0"/>
                    <w:left w:val="single" w:color="auto" w:sz="4" w:space="0"/>
                    <w:bottom w:val="single" w:color="auto" w:sz="12" w:space="0"/>
                    <w:right w:val="single" w:color="auto" w:sz="4" w:space="0"/>
                  </w:tcBorders>
                  <w:noWrap w:val="0"/>
                  <w:vAlign w:val="center"/>
                </w:tcPr>
                <w:p>
                  <w:pPr>
                    <w:pStyle w:val="2"/>
                    <w:spacing w:after="0"/>
                    <w:jc w:val="center"/>
                    <w:rPr>
                      <w:szCs w:val="21"/>
                      <w:u w:val="none"/>
                    </w:rPr>
                  </w:pPr>
                  <w:r>
                    <w:rPr>
                      <w:szCs w:val="21"/>
                      <w:u w:val="none"/>
                    </w:rPr>
                    <w:t>24小时平均第95百分位数</w:t>
                  </w:r>
                </w:p>
              </w:tc>
              <w:tc>
                <w:tcPr>
                  <w:tcW w:w="751" w:type="pct"/>
                  <w:tcBorders>
                    <w:top w:val="single" w:color="auto" w:sz="4" w:space="0"/>
                    <w:left w:val="single" w:color="auto" w:sz="4" w:space="0"/>
                    <w:bottom w:val="single" w:color="auto" w:sz="12" w:space="0"/>
                    <w:right w:val="single" w:color="auto" w:sz="4" w:space="0"/>
                  </w:tcBorders>
                  <w:noWrap w:val="0"/>
                  <w:vAlign w:val="center"/>
                </w:tcPr>
                <w:p>
                  <w:pPr>
                    <w:pStyle w:val="2"/>
                    <w:spacing w:after="0"/>
                    <w:jc w:val="center"/>
                    <w:rPr>
                      <w:szCs w:val="21"/>
                      <w:u w:val="none"/>
                    </w:rPr>
                  </w:pPr>
                  <w:r>
                    <w:rPr>
                      <w:szCs w:val="21"/>
                      <w:u w:val="none"/>
                    </w:rPr>
                    <w:t>148</w:t>
                  </w:r>
                </w:p>
              </w:tc>
              <w:tc>
                <w:tcPr>
                  <w:tcW w:w="683" w:type="pct"/>
                  <w:tcBorders>
                    <w:top w:val="single" w:color="auto" w:sz="4" w:space="0"/>
                    <w:left w:val="single" w:color="auto" w:sz="4" w:space="0"/>
                    <w:bottom w:val="single" w:color="auto" w:sz="12" w:space="0"/>
                    <w:right w:val="single" w:color="auto" w:sz="4" w:space="0"/>
                  </w:tcBorders>
                  <w:noWrap w:val="0"/>
                  <w:vAlign w:val="center"/>
                </w:tcPr>
                <w:p>
                  <w:pPr>
                    <w:pStyle w:val="2"/>
                    <w:spacing w:after="0"/>
                    <w:jc w:val="center"/>
                    <w:rPr>
                      <w:szCs w:val="21"/>
                      <w:u w:val="none"/>
                    </w:rPr>
                  </w:pPr>
                  <w:r>
                    <w:rPr>
                      <w:szCs w:val="21"/>
                      <w:u w:val="none"/>
                    </w:rPr>
                    <w:t>150</w:t>
                  </w:r>
                </w:p>
              </w:tc>
              <w:tc>
                <w:tcPr>
                  <w:tcW w:w="546" w:type="pct"/>
                  <w:tcBorders>
                    <w:top w:val="single" w:color="auto" w:sz="4" w:space="0"/>
                    <w:left w:val="single" w:color="auto" w:sz="4" w:space="0"/>
                    <w:bottom w:val="single" w:color="auto" w:sz="12" w:space="0"/>
                    <w:right w:val="single" w:color="auto" w:sz="4" w:space="0"/>
                  </w:tcBorders>
                  <w:noWrap w:val="0"/>
                  <w:vAlign w:val="center"/>
                </w:tcPr>
                <w:p>
                  <w:pPr>
                    <w:pStyle w:val="2"/>
                    <w:spacing w:after="0"/>
                    <w:jc w:val="center"/>
                    <w:rPr>
                      <w:szCs w:val="21"/>
                      <w:u w:val="none"/>
                    </w:rPr>
                  </w:pPr>
                  <w:r>
                    <w:rPr>
                      <w:szCs w:val="21"/>
                      <w:u w:val="none"/>
                    </w:rPr>
                    <w:t>98.7</w:t>
                  </w:r>
                </w:p>
              </w:tc>
              <w:tc>
                <w:tcPr>
                  <w:tcW w:w="555" w:type="pct"/>
                  <w:tcBorders>
                    <w:top w:val="single" w:color="auto" w:sz="4" w:space="0"/>
                    <w:left w:val="single" w:color="auto" w:sz="4" w:space="0"/>
                    <w:bottom w:val="single" w:color="auto" w:sz="12" w:space="0"/>
                    <w:right w:val="single" w:color="auto" w:sz="4" w:space="0"/>
                  </w:tcBorders>
                  <w:noWrap w:val="0"/>
                  <w:vAlign w:val="center"/>
                </w:tcPr>
                <w:p>
                  <w:pPr>
                    <w:pStyle w:val="2"/>
                    <w:spacing w:after="0"/>
                    <w:jc w:val="center"/>
                    <w:rPr>
                      <w:szCs w:val="21"/>
                      <w:u w:val="none"/>
                    </w:rPr>
                  </w:pPr>
                  <w:r>
                    <w:rPr>
                      <w:szCs w:val="21"/>
                      <w:u w:val="none"/>
                    </w:rPr>
                    <w:t>达标</w:t>
                  </w:r>
                </w:p>
              </w:tc>
              <w:tc>
                <w:tcPr>
                  <w:tcW w:w="554" w:type="pct"/>
                  <w:tcBorders>
                    <w:top w:val="single" w:color="auto" w:sz="4" w:space="0"/>
                    <w:left w:val="single" w:color="auto" w:sz="4" w:space="0"/>
                    <w:bottom w:val="single" w:color="auto" w:sz="12" w:space="0"/>
                    <w:right w:val="single" w:color="auto" w:sz="12" w:space="0"/>
                  </w:tcBorders>
                  <w:noWrap w:val="0"/>
                  <w:vAlign w:val="center"/>
                </w:tcPr>
                <w:p>
                  <w:pPr>
                    <w:pStyle w:val="2"/>
                    <w:spacing w:after="0"/>
                    <w:jc w:val="center"/>
                    <w:rPr>
                      <w:szCs w:val="21"/>
                      <w:u w:val="none"/>
                    </w:rPr>
                  </w:pPr>
                  <w:r>
                    <w:rPr>
                      <w:szCs w:val="21"/>
                      <w:u w:val="none"/>
                    </w:rPr>
                    <w:t>/</w:t>
                  </w:r>
                </w:p>
              </w:tc>
            </w:tr>
          </w:tbl>
          <w:p>
            <w:pPr>
              <w:spacing w:line="360" w:lineRule="auto"/>
              <w:ind w:firstLine="480" w:firstLineChars="200"/>
              <w:rPr>
                <w:sz w:val="24"/>
                <w:u w:val="none"/>
              </w:rPr>
            </w:pPr>
            <w:r>
              <w:rPr>
                <w:sz w:val="24"/>
                <w:u w:val="none"/>
              </w:rPr>
              <w:t>根据上表中监测数据可看出，华容县环境空气质量监测污染物PM</w:t>
            </w:r>
            <w:r>
              <w:rPr>
                <w:sz w:val="24"/>
                <w:u w:val="none"/>
                <w:vertAlign w:val="subscript"/>
              </w:rPr>
              <w:t>2.5</w:t>
            </w:r>
            <w:r>
              <w:rPr>
                <w:sz w:val="24"/>
                <w:u w:val="none"/>
              </w:rPr>
              <w:t xml:space="preserve">在年平均浓度、24小时平均第95百分位数均不达标，超标倍数分别为0.37、0.47，因此本项目所在区域（华容县）为不达标区域。 </w:t>
            </w:r>
          </w:p>
          <w:p>
            <w:pPr>
              <w:spacing w:line="360" w:lineRule="auto"/>
              <w:ind w:firstLine="480" w:firstLineChars="200"/>
              <w:rPr>
                <w:sz w:val="24"/>
                <w:szCs w:val="22"/>
                <w:u w:val="none"/>
              </w:rPr>
            </w:pPr>
            <w:r>
              <w:rPr>
                <w:sz w:val="24"/>
                <w:u w:val="none"/>
              </w:rPr>
              <w:t>华容县人民</w:t>
            </w:r>
            <w:r>
              <w:rPr>
                <w:sz w:val="24"/>
                <w:szCs w:val="22"/>
                <w:u w:val="none"/>
              </w:rPr>
              <w:t>政府根据国务院下发的《国务院关于印发打赢蓝天保卫战三年行动计划的通知》（国发【2018】22号）文件以及岳阳市贯彻落实《大气污染防治行动计划》实施方案，华容县全面开展大气环境整治行动，通过源头防控、重点防治、科学合理、循序渐进有效治理污染以及创新环境监管方式，拟通过3年努力降低细颗粒物浓度，明显减少重污染天数。使得环境质量趋于改善状态。</w:t>
            </w:r>
          </w:p>
          <w:p>
            <w:pPr>
              <w:spacing w:line="360" w:lineRule="auto"/>
              <w:ind w:firstLine="480" w:firstLineChars="200"/>
              <w:rPr>
                <w:sz w:val="24"/>
                <w:szCs w:val="22"/>
                <w:u w:val="single"/>
              </w:rPr>
            </w:pPr>
            <w:r>
              <w:rPr>
                <w:rFonts w:hint="eastAsia"/>
                <w:sz w:val="24"/>
                <w:szCs w:val="22"/>
                <w:u w:val="single"/>
              </w:rPr>
              <w:t>（2）其他污染物环境质量现状评价</w:t>
            </w:r>
          </w:p>
          <w:p>
            <w:pPr>
              <w:spacing w:line="360" w:lineRule="auto"/>
              <w:ind w:firstLine="480" w:firstLineChars="200"/>
              <w:rPr>
                <w:sz w:val="24"/>
                <w:szCs w:val="22"/>
                <w:u w:val="single"/>
              </w:rPr>
            </w:pPr>
            <w:r>
              <w:rPr>
                <w:rFonts w:hint="eastAsia"/>
                <w:sz w:val="24"/>
                <w:szCs w:val="22"/>
                <w:u w:val="single"/>
              </w:rPr>
              <w:t>本项目特征因子</w:t>
            </w:r>
            <w:r>
              <w:rPr>
                <w:rFonts w:hint="eastAsia"/>
                <w:sz w:val="24"/>
                <w:szCs w:val="22"/>
                <w:u w:val="single"/>
                <w:lang w:val="en-US" w:eastAsia="zh-CN"/>
              </w:rPr>
              <w:t>TSP</w:t>
            </w:r>
            <w:r>
              <w:rPr>
                <w:rFonts w:hint="eastAsia"/>
                <w:sz w:val="24"/>
                <w:szCs w:val="22"/>
                <w:u w:val="single"/>
              </w:rPr>
              <w:t>委托</w:t>
            </w:r>
            <w:r>
              <w:rPr>
                <w:sz w:val="24"/>
                <w:szCs w:val="22"/>
                <w:u w:val="single"/>
              </w:rPr>
              <w:t>湖南精科检测有限公司于2020年</w:t>
            </w:r>
            <w:r>
              <w:rPr>
                <w:rFonts w:hint="eastAsia"/>
                <w:sz w:val="24"/>
                <w:szCs w:val="22"/>
                <w:u w:val="single"/>
              </w:rPr>
              <w:t>7</w:t>
            </w:r>
            <w:r>
              <w:rPr>
                <w:sz w:val="24"/>
                <w:szCs w:val="22"/>
                <w:u w:val="single"/>
              </w:rPr>
              <w:t>月</w:t>
            </w:r>
            <w:r>
              <w:rPr>
                <w:rFonts w:hint="eastAsia"/>
                <w:sz w:val="24"/>
                <w:szCs w:val="22"/>
                <w:u w:val="single"/>
              </w:rPr>
              <w:t>2</w:t>
            </w:r>
            <w:r>
              <w:rPr>
                <w:sz w:val="24"/>
                <w:szCs w:val="22"/>
                <w:u w:val="single"/>
              </w:rPr>
              <w:t>日~</w:t>
            </w:r>
            <w:r>
              <w:rPr>
                <w:rFonts w:hint="eastAsia"/>
                <w:sz w:val="24"/>
                <w:szCs w:val="22"/>
                <w:u w:val="single"/>
              </w:rPr>
              <w:t>7</w:t>
            </w:r>
            <w:r>
              <w:rPr>
                <w:sz w:val="24"/>
                <w:szCs w:val="22"/>
                <w:u w:val="single"/>
              </w:rPr>
              <w:t>月</w:t>
            </w:r>
            <w:r>
              <w:rPr>
                <w:rFonts w:hint="eastAsia"/>
                <w:sz w:val="24"/>
                <w:szCs w:val="22"/>
                <w:u w:val="single"/>
              </w:rPr>
              <w:t>8</w:t>
            </w:r>
            <w:r>
              <w:rPr>
                <w:sz w:val="24"/>
                <w:szCs w:val="22"/>
                <w:u w:val="single"/>
              </w:rPr>
              <w:t>日对项目周边的环境空气进行了现状监测。</w:t>
            </w:r>
          </w:p>
          <w:p>
            <w:pPr>
              <w:spacing w:line="360" w:lineRule="auto"/>
              <w:ind w:firstLine="480" w:firstLineChars="200"/>
              <w:rPr>
                <w:sz w:val="24"/>
                <w:szCs w:val="22"/>
                <w:u w:val="single"/>
              </w:rPr>
            </w:pPr>
            <w:r>
              <w:rPr>
                <w:rFonts w:hint="eastAsia"/>
                <w:sz w:val="24"/>
                <w:szCs w:val="22"/>
                <w:u w:val="single"/>
              </w:rPr>
              <w:t>①</w:t>
            </w:r>
            <w:r>
              <w:rPr>
                <w:sz w:val="24"/>
                <w:szCs w:val="22"/>
                <w:u w:val="single"/>
              </w:rPr>
              <w:t>监测布点</w:t>
            </w:r>
          </w:p>
          <w:p>
            <w:pPr>
              <w:spacing w:line="360" w:lineRule="auto"/>
              <w:ind w:firstLine="480" w:firstLineChars="200"/>
              <w:rPr>
                <w:sz w:val="24"/>
                <w:szCs w:val="22"/>
                <w:u w:val="single"/>
              </w:rPr>
            </w:pPr>
            <w:r>
              <w:rPr>
                <w:sz w:val="24"/>
                <w:szCs w:val="22"/>
                <w:u w:val="single"/>
              </w:rPr>
              <w:t>具体监测和布点情况见表</w:t>
            </w:r>
            <w:r>
              <w:rPr>
                <w:rFonts w:hint="eastAsia"/>
                <w:sz w:val="24"/>
                <w:szCs w:val="22"/>
                <w:u w:val="single"/>
              </w:rPr>
              <w:t>3</w:t>
            </w:r>
            <w:r>
              <w:rPr>
                <w:sz w:val="24"/>
                <w:szCs w:val="22"/>
                <w:u w:val="single"/>
              </w:rPr>
              <w:t>-2。</w:t>
            </w:r>
          </w:p>
          <w:p>
            <w:pPr>
              <w:spacing w:beforeLines="10" w:line="240" w:lineRule="atLeast"/>
              <w:jc w:val="center"/>
              <w:rPr>
                <w:b/>
                <w:color w:val="FF0000"/>
                <w:szCs w:val="21"/>
                <w:u w:val="single"/>
              </w:rPr>
            </w:pPr>
            <w:r>
              <w:rPr>
                <w:b/>
                <w:color w:val="auto"/>
                <w:szCs w:val="21"/>
                <w:u w:val="single"/>
              </w:rPr>
              <w:t>表</w:t>
            </w:r>
            <w:r>
              <w:rPr>
                <w:rFonts w:hint="eastAsia"/>
                <w:b/>
                <w:color w:val="auto"/>
                <w:szCs w:val="21"/>
                <w:u w:val="single"/>
              </w:rPr>
              <w:t>3</w:t>
            </w:r>
            <w:r>
              <w:rPr>
                <w:b/>
                <w:color w:val="auto"/>
                <w:szCs w:val="21"/>
                <w:u w:val="single"/>
              </w:rPr>
              <w:t>-2    其他污染物补充监测点位基本信息</w:t>
            </w:r>
          </w:p>
          <w:tbl>
            <w:tblPr>
              <w:tblStyle w:val="28"/>
              <w:tblW w:w="499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1"/>
              <w:gridCol w:w="2097"/>
              <w:gridCol w:w="1520"/>
              <w:gridCol w:w="768"/>
              <w:gridCol w:w="996"/>
              <w:gridCol w:w="16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63" w:type="pct"/>
                  <w:vMerge w:val="restart"/>
                  <w:shd w:val="clear" w:color="auto" w:fill="auto"/>
                  <w:noWrap/>
                  <w:vAlign w:val="center"/>
                </w:tcPr>
                <w:p>
                  <w:pPr>
                    <w:adjustRightInd w:val="0"/>
                    <w:snapToGrid w:val="0"/>
                    <w:jc w:val="center"/>
                    <w:rPr>
                      <w:b/>
                      <w:color w:val="auto"/>
                      <w:szCs w:val="21"/>
                      <w:u w:val="single"/>
                    </w:rPr>
                  </w:pPr>
                  <w:r>
                    <w:rPr>
                      <w:b/>
                      <w:color w:val="auto"/>
                      <w:szCs w:val="21"/>
                      <w:u w:val="single"/>
                    </w:rPr>
                    <w:t>监测点名称</w:t>
                  </w:r>
                </w:p>
              </w:tc>
              <w:tc>
                <w:tcPr>
                  <w:tcW w:w="1268" w:type="pct"/>
                  <w:vMerge w:val="restart"/>
                  <w:shd w:val="clear" w:color="auto" w:fill="auto"/>
                  <w:noWrap/>
                  <w:vAlign w:val="center"/>
                </w:tcPr>
                <w:p>
                  <w:pPr>
                    <w:adjustRightInd w:val="0"/>
                    <w:snapToGrid w:val="0"/>
                    <w:jc w:val="center"/>
                    <w:rPr>
                      <w:b/>
                      <w:color w:val="auto"/>
                      <w:szCs w:val="21"/>
                      <w:u w:val="single"/>
                    </w:rPr>
                  </w:pPr>
                  <w:r>
                    <w:rPr>
                      <w:b/>
                      <w:color w:val="auto"/>
                      <w:szCs w:val="21"/>
                      <w:u w:val="single"/>
                    </w:rPr>
                    <w:t>监测因子</w:t>
                  </w:r>
                </w:p>
              </w:tc>
              <w:tc>
                <w:tcPr>
                  <w:tcW w:w="919" w:type="pct"/>
                  <w:vMerge w:val="restart"/>
                  <w:shd w:val="clear" w:color="auto" w:fill="auto"/>
                  <w:noWrap/>
                  <w:vAlign w:val="center"/>
                </w:tcPr>
                <w:p>
                  <w:pPr>
                    <w:adjustRightInd w:val="0"/>
                    <w:snapToGrid w:val="0"/>
                    <w:jc w:val="center"/>
                    <w:rPr>
                      <w:b/>
                      <w:color w:val="auto"/>
                      <w:szCs w:val="21"/>
                      <w:u w:val="single"/>
                    </w:rPr>
                  </w:pPr>
                  <w:r>
                    <w:rPr>
                      <w:b/>
                      <w:color w:val="auto"/>
                      <w:szCs w:val="21"/>
                      <w:u w:val="single"/>
                    </w:rPr>
                    <w:t>监测时段</w:t>
                  </w:r>
                </w:p>
              </w:tc>
              <w:tc>
                <w:tcPr>
                  <w:tcW w:w="464" w:type="pct"/>
                  <w:vMerge w:val="restart"/>
                  <w:shd w:val="clear" w:color="auto" w:fill="auto"/>
                  <w:noWrap/>
                  <w:vAlign w:val="center"/>
                </w:tcPr>
                <w:p>
                  <w:pPr>
                    <w:adjustRightInd w:val="0"/>
                    <w:snapToGrid w:val="0"/>
                    <w:jc w:val="center"/>
                    <w:rPr>
                      <w:b/>
                      <w:color w:val="auto"/>
                      <w:szCs w:val="21"/>
                      <w:u w:val="single"/>
                    </w:rPr>
                  </w:pPr>
                  <w:r>
                    <w:rPr>
                      <w:b/>
                      <w:color w:val="auto"/>
                      <w:szCs w:val="21"/>
                      <w:u w:val="single"/>
                    </w:rPr>
                    <w:t>相对厂址方位</w:t>
                  </w:r>
                </w:p>
              </w:tc>
              <w:tc>
                <w:tcPr>
                  <w:tcW w:w="602" w:type="pct"/>
                  <w:vMerge w:val="restart"/>
                  <w:shd w:val="clear" w:color="auto" w:fill="auto"/>
                  <w:noWrap/>
                  <w:vAlign w:val="center"/>
                </w:tcPr>
                <w:p>
                  <w:pPr>
                    <w:adjustRightInd w:val="0"/>
                    <w:snapToGrid w:val="0"/>
                    <w:jc w:val="center"/>
                    <w:rPr>
                      <w:b/>
                      <w:color w:val="auto"/>
                      <w:szCs w:val="21"/>
                      <w:u w:val="single"/>
                    </w:rPr>
                  </w:pPr>
                  <w:r>
                    <w:rPr>
                      <w:b/>
                      <w:color w:val="auto"/>
                      <w:szCs w:val="21"/>
                      <w:u w:val="single"/>
                    </w:rPr>
                    <w:t>相对厂界距离/m</w:t>
                  </w:r>
                </w:p>
              </w:tc>
              <w:tc>
                <w:tcPr>
                  <w:tcW w:w="980" w:type="pct"/>
                  <w:vMerge w:val="restart"/>
                  <w:shd w:val="clear" w:color="auto" w:fill="auto"/>
                  <w:noWrap/>
                  <w:vAlign w:val="center"/>
                </w:tcPr>
                <w:p>
                  <w:pPr>
                    <w:adjustRightInd w:val="0"/>
                    <w:snapToGrid w:val="0"/>
                    <w:jc w:val="center"/>
                    <w:rPr>
                      <w:b/>
                      <w:color w:val="auto"/>
                      <w:szCs w:val="21"/>
                      <w:u w:val="single"/>
                    </w:rPr>
                  </w:pPr>
                  <w:r>
                    <w:rPr>
                      <w:b/>
                      <w:color w:val="auto"/>
                      <w:szCs w:val="21"/>
                      <w:u w:val="single"/>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763" w:type="pct"/>
                  <w:vMerge w:val="continue"/>
                  <w:shd w:val="clear" w:color="auto" w:fill="auto"/>
                  <w:noWrap/>
                  <w:vAlign w:val="center"/>
                </w:tcPr>
                <w:p>
                  <w:pPr>
                    <w:adjustRightInd w:val="0"/>
                    <w:snapToGrid w:val="0"/>
                    <w:jc w:val="center"/>
                    <w:rPr>
                      <w:b/>
                      <w:color w:val="auto"/>
                      <w:szCs w:val="21"/>
                      <w:u w:val="single"/>
                    </w:rPr>
                  </w:pPr>
                </w:p>
              </w:tc>
              <w:tc>
                <w:tcPr>
                  <w:tcW w:w="1268" w:type="pct"/>
                  <w:vMerge w:val="continue"/>
                  <w:shd w:val="clear" w:color="auto" w:fill="auto"/>
                  <w:noWrap/>
                  <w:vAlign w:val="center"/>
                </w:tcPr>
                <w:p>
                  <w:pPr>
                    <w:adjustRightInd w:val="0"/>
                    <w:snapToGrid w:val="0"/>
                    <w:jc w:val="center"/>
                    <w:rPr>
                      <w:b/>
                      <w:color w:val="auto"/>
                      <w:szCs w:val="21"/>
                      <w:u w:val="single"/>
                    </w:rPr>
                  </w:pPr>
                </w:p>
              </w:tc>
              <w:tc>
                <w:tcPr>
                  <w:tcW w:w="919" w:type="pct"/>
                  <w:vMerge w:val="continue"/>
                  <w:shd w:val="clear" w:color="auto" w:fill="auto"/>
                  <w:noWrap/>
                  <w:vAlign w:val="center"/>
                </w:tcPr>
                <w:p>
                  <w:pPr>
                    <w:adjustRightInd w:val="0"/>
                    <w:snapToGrid w:val="0"/>
                    <w:jc w:val="center"/>
                    <w:rPr>
                      <w:b/>
                      <w:color w:val="auto"/>
                      <w:szCs w:val="21"/>
                      <w:u w:val="single"/>
                    </w:rPr>
                  </w:pPr>
                </w:p>
              </w:tc>
              <w:tc>
                <w:tcPr>
                  <w:tcW w:w="464" w:type="pct"/>
                  <w:vMerge w:val="continue"/>
                  <w:shd w:val="clear" w:color="auto" w:fill="auto"/>
                  <w:noWrap/>
                  <w:vAlign w:val="center"/>
                </w:tcPr>
                <w:p>
                  <w:pPr>
                    <w:adjustRightInd w:val="0"/>
                    <w:snapToGrid w:val="0"/>
                    <w:jc w:val="center"/>
                    <w:rPr>
                      <w:b/>
                      <w:color w:val="auto"/>
                      <w:szCs w:val="21"/>
                      <w:u w:val="single"/>
                    </w:rPr>
                  </w:pPr>
                </w:p>
              </w:tc>
              <w:tc>
                <w:tcPr>
                  <w:tcW w:w="602" w:type="pct"/>
                  <w:vMerge w:val="continue"/>
                  <w:shd w:val="clear" w:color="auto" w:fill="auto"/>
                  <w:noWrap/>
                  <w:vAlign w:val="center"/>
                </w:tcPr>
                <w:p>
                  <w:pPr>
                    <w:adjustRightInd w:val="0"/>
                    <w:snapToGrid w:val="0"/>
                    <w:jc w:val="center"/>
                    <w:rPr>
                      <w:b/>
                      <w:color w:val="auto"/>
                      <w:szCs w:val="21"/>
                      <w:u w:val="single"/>
                    </w:rPr>
                  </w:pPr>
                </w:p>
              </w:tc>
              <w:tc>
                <w:tcPr>
                  <w:tcW w:w="980" w:type="pct"/>
                  <w:vMerge w:val="continue"/>
                  <w:shd w:val="clear" w:color="auto" w:fill="auto"/>
                  <w:noWrap/>
                  <w:vAlign w:val="center"/>
                </w:tcPr>
                <w:p>
                  <w:pPr>
                    <w:adjustRightInd w:val="0"/>
                    <w:snapToGrid w:val="0"/>
                    <w:jc w:val="center"/>
                    <w:rPr>
                      <w:b/>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763" w:type="pct"/>
                  <w:shd w:val="clear" w:color="auto" w:fill="auto"/>
                  <w:noWrap/>
                  <w:vAlign w:val="center"/>
                </w:tcPr>
                <w:p>
                  <w:pPr>
                    <w:pStyle w:val="93"/>
                    <w:spacing w:beforeLines="20" w:afterLines="20" w:line="300" w:lineRule="exact"/>
                    <w:rPr>
                      <w:rFonts w:hint="eastAsia" w:eastAsia="宋体"/>
                      <w:color w:val="auto"/>
                      <w:szCs w:val="21"/>
                      <w:u w:val="single"/>
                      <w:lang w:eastAsia="zh-CN"/>
                    </w:rPr>
                  </w:pPr>
                  <w:r>
                    <w:rPr>
                      <w:rFonts w:cs="Times New Roman"/>
                      <w:bCs/>
                      <w:color w:val="auto"/>
                      <w:szCs w:val="21"/>
                      <w:u w:val="single"/>
                    </w:rPr>
                    <w:t xml:space="preserve">G1 </w:t>
                  </w:r>
                  <w:r>
                    <w:rPr>
                      <w:rFonts w:cs="Times New Roman"/>
                      <w:color w:val="auto"/>
                      <w:szCs w:val="21"/>
                      <w:u w:val="single"/>
                    </w:rPr>
                    <w:t>项目</w:t>
                  </w:r>
                  <w:r>
                    <w:rPr>
                      <w:rFonts w:hint="eastAsia" w:cs="Times New Roman"/>
                      <w:color w:val="auto"/>
                      <w:szCs w:val="21"/>
                      <w:u w:val="single"/>
                      <w:lang w:val="en-US" w:eastAsia="zh-CN"/>
                    </w:rPr>
                    <w:t>所在地</w:t>
                  </w:r>
                </w:p>
              </w:tc>
              <w:tc>
                <w:tcPr>
                  <w:tcW w:w="1268" w:type="pct"/>
                  <w:shd w:val="clear" w:color="auto" w:fill="auto"/>
                  <w:noWrap/>
                  <w:vAlign w:val="center"/>
                </w:tcPr>
                <w:p>
                  <w:pPr>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总悬浮颗粒物</w:t>
                  </w:r>
                </w:p>
              </w:tc>
              <w:tc>
                <w:tcPr>
                  <w:tcW w:w="919" w:type="pct"/>
                  <w:shd w:val="clear" w:color="auto" w:fill="auto"/>
                  <w:noWrap/>
                  <w:vAlign w:val="center"/>
                </w:tcPr>
                <w:p>
                  <w:pPr>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日均值</w:t>
                  </w:r>
                </w:p>
              </w:tc>
              <w:tc>
                <w:tcPr>
                  <w:tcW w:w="464" w:type="pct"/>
                  <w:shd w:val="clear" w:color="auto" w:fill="auto"/>
                  <w:noWrap/>
                  <w:vAlign w:val="center"/>
                </w:tcPr>
                <w:p>
                  <w:pPr>
                    <w:adjustRightInd w:val="0"/>
                    <w:snapToGrid w:val="0"/>
                    <w:jc w:val="center"/>
                    <w:rPr>
                      <w:rFonts w:hint="eastAsia" w:eastAsia="宋体"/>
                      <w:color w:val="auto"/>
                      <w:szCs w:val="21"/>
                      <w:u w:val="single"/>
                      <w:lang w:val="en-US" w:eastAsia="zh-CN"/>
                    </w:rPr>
                  </w:pPr>
                  <w:r>
                    <w:rPr>
                      <w:color w:val="auto"/>
                      <w:szCs w:val="21"/>
                      <w:u w:val="single"/>
                    </w:rPr>
                    <w:t>项目</w:t>
                  </w:r>
                  <w:r>
                    <w:rPr>
                      <w:rFonts w:hint="eastAsia"/>
                      <w:color w:val="auto"/>
                      <w:szCs w:val="21"/>
                      <w:u w:val="single"/>
                      <w:lang w:val="en-US" w:eastAsia="zh-CN"/>
                    </w:rPr>
                    <w:t>地</w:t>
                  </w:r>
                </w:p>
              </w:tc>
              <w:tc>
                <w:tcPr>
                  <w:tcW w:w="602" w:type="pct"/>
                  <w:shd w:val="clear" w:color="auto" w:fill="auto"/>
                  <w:noWrap/>
                  <w:vAlign w:val="center"/>
                </w:tcPr>
                <w:p>
                  <w:pPr>
                    <w:adjustRightInd w:val="0"/>
                    <w:snapToGrid w:val="0"/>
                    <w:jc w:val="center"/>
                    <w:rPr>
                      <w:rFonts w:hint="eastAsia" w:eastAsia="宋体"/>
                      <w:color w:val="auto"/>
                      <w:szCs w:val="21"/>
                      <w:u w:val="single"/>
                      <w:lang w:eastAsia="zh-CN"/>
                    </w:rPr>
                  </w:pPr>
                  <w:r>
                    <w:rPr>
                      <w:rFonts w:hint="eastAsia"/>
                      <w:color w:val="auto"/>
                      <w:szCs w:val="21"/>
                      <w:u w:val="single"/>
                      <w:lang w:val="en-US" w:eastAsia="zh-CN"/>
                    </w:rPr>
                    <w:t>0</w:t>
                  </w:r>
                </w:p>
              </w:tc>
              <w:tc>
                <w:tcPr>
                  <w:tcW w:w="980" w:type="pct"/>
                  <w:vMerge w:val="restart"/>
                  <w:shd w:val="clear" w:color="auto" w:fill="auto"/>
                  <w:noWrap/>
                  <w:vAlign w:val="center"/>
                </w:tcPr>
                <w:p>
                  <w:pPr>
                    <w:adjustRightInd w:val="0"/>
                    <w:snapToGrid w:val="0"/>
                    <w:jc w:val="center"/>
                    <w:rPr>
                      <w:color w:val="auto"/>
                      <w:szCs w:val="21"/>
                      <w:u w:val="single"/>
                    </w:rPr>
                  </w:pPr>
                  <w:r>
                    <w:rPr>
                      <w:color w:val="auto"/>
                      <w:szCs w:val="21"/>
                      <w:u w:val="single"/>
                    </w:rPr>
                    <w:t>实测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763" w:type="pct"/>
                  <w:shd w:val="clear" w:color="auto" w:fill="auto"/>
                  <w:noWrap/>
                  <w:vAlign w:val="center"/>
                </w:tcPr>
                <w:p>
                  <w:pPr>
                    <w:pStyle w:val="93"/>
                    <w:spacing w:beforeLines="20" w:afterLines="20" w:line="300" w:lineRule="exact"/>
                    <w:rPr>
                      <w:rFonts w:hint="default" w:eastAsia="宋体"/>
                      <w:color w:val="auto"/>
                      <w:szCs w:val="21"/>
                      <w:u w:val="single"/>
                      <w:lang w:val="en-US" w:eastAsia="zh-CN"/>
                    </w:rPr>
                  </w:pPr>
                  <w:r>
                    <w:rPr>
                      <w:rFonts w:cs="Times New Roman"/>
                      <w:bCs/>
                      <w:color w:val="auto"/>
                      <w:szCs w:val="21"/>
                      <w:u w:val="single"/>
                    </w:rPr>
                    <w:t xml:space="preserve">G2 </w:t>
                  </w:r>
                  <w:r>
                    <w:rPr>
                      <w:rFonts w:cs="Times New Roman"/>
                      <w:color w:val="auto"/>
                      <w:szCs w:val="21"/>
                      <w:u w:val="single"/>
                    </w:rPr>
                    <w:t>项目</w:t>
                  </w:r>
                  <w:r>
                    <w:rPr>
                      <w:rFonts w:hint="eastAsia" w:cs="Times New Roman"/>
                      <w:color w:val="auto"/>
                      <w:szCs w:val="21"/>
                      <w:u w:val="single"/>
                      <w:lang w:val="en-US" w:eastAsia="zh-CN"/>
                    </w:rPr>
                    <w:t>下风向一个点</w:t>
                  </w:r>
                </w:p>
              </w:tc>
              <w:tc>
                <w:tcPr>
                  <w:tcW w:w="1268" w:type="pct"/>
                  <w:shd w:val="clear" w:color="auto" w:fill="auto"/>
                  <w:noWrap/>
                  <w:vAlign w:val="center"/>
                </w:tcPr>
                <w:p>
                  <w:pPr>
                    <w:adjustRightInd w:val="0"/>
                    <w:snapToGrid w:val="0"/>
                    <w:jc w:val="center"/>
                    <w:rPr>
                      <w:color w:val="auto"/>
                      <w:szCs w:val="21"/>
                      <w:u w:val="single"/>
                    </w:rPr>
                  </w:pPr>
                  <w:r>
                    <w:rPr>
                      <w:rFonts w:hint="eastAsia"/>
                      <w:color w:val="auto"/>
                      <w:szCs w:val="21"/>
                      <w:u w:val="single"/>
                      <w:lang w:val="en-US" w:eastAsia="zh-CN"/>
                    </w:rPr>
                    <w:t>总悬浮颗粒物</w:t>
                  </w:r>
                </w:p>
              </w:tc>
              <w:tc>
                <w:tcPr>
                  <w:tcW w:w="919" w:type="pct"/>
                  <w:shd w:val="clear" w:color="auto" w:fill="auto"/>
                  <w:noWrap/>
                  <w:vAlign w:val="center"/>
                </w:tcPr>
                <w:p>
                  <w:pPr>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日均值</w:t>
                  </w:r>
                </w:p>
              </w:tc>
              <w:tc>
                <w:tcPr>
                  <w:tcW w:w="464" w:type="pct"/>
                  <w:shd w:val="clear" w:color="auto" w:fill="auto"/>
                  <w:noWrap/>
                  <w:vAlign w:val="center"/>
                </w:tcPr>
                <w:p>
                  <w:pPr>
                    <w:adjustRightInd w:val="0"/>
                    <w:snapToGrid w:val="0"/>
                    <w:jc w:val="center"/>
                    <w:rPr>
                      <w:color w:val="auto"/>
                      <w:szCs w:val="21"/>
                      <w:u w:val="single"/>
                    </w:rPr>
                  </w:pPr>
                  <w:r>
                    <w:rPr>
                      <w:color w:val="auto"/>
                      <w:szCs w:val="21"/>
                      <w:u w:val="single"/>
                    </w:rPr>
                    <w:t>项目</w:t>
                  </w:r>
                  <w:r>
                    <w:rPr>
                      <w:rFonts w:hint="eastAsia"/>
                      <w:color w:val="auto"/>
                      <w:szCs w:val="21"/>
                      <w:u w:val="single"/>
                      <w:lang w:val="en-US" w:eastAsia="zh-CN"/>
                    </w:rPr>
                    <w:t>东</w:t>
                  </w:r>
                  <w:r>
                    <w:rPr>
                      <w:rFonts w:hint="eastAsia"/>
                      <w:color w:val="auto"/>
                      <w:szCs w:val="21"/>
                      <w:u w:val="single"/>
                    </w:rPr>
                    <w:t>南侧</w:t>
                  </w:r>
                </w:p>
              </w:tc>
              <w:tc>
                <w:tcPr>
                  <w:tcW w:w="602" w:type="pct"/>
                  <w:shd w:val="clear" w:color="auto" w:fill="auto"/>
                  <w:noWrap/>
                  <w:vAlign w:val="center"/>
                </w:tcPr>
                <w:p>
                  <w:pPr>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70</w:t>
                  </w:r>
                </w:p>
              </w:tc>
              <w:tc>
                <w:tcPr>
                  <w:tcW w:w="980" w:type="pct"/>
                  <w:vMerge w:val="continue"/>
                  <w:shd w:val="clear" w:color="auto" w:fill="auto"/>
                  <w:noWrap/>
                  <w:vAlign w:val="center"/>
                </w:tcPr>
                <w:p>
                  <w:pPr>
                    <w:adjustRightInd w:val="0"/>
                    <w:snapToGrid w:val="0"/>
                    <w:jc w:val="center"/>
                    <w:rPr>
                      <w:color w:val="FF0000"/>
                      <w:szCs w:val="21"/>
                      <w:u w:val="single"/>
                    </w:rPr>
                  </w:pPr>
                </w:p>
              </w:tc>
            </w:tr>
          </w:tbl>
          <w:p>
            <w:pPr>
              <w:pStyle w:val="2"/>
              <w:spacing w:line="360" w:lineRule="auto"/>
              <w:ind w:firstLine="480" w:firstLineChars="200"/>
              <w:rPr>
                <w:rFonts w:hint="eastAsia"/>
                <w:color w:val="auto"/>
                <w:sz w:val="24"/>
                <w:u w:val="single"/>
              </w:rPr>
            </w:pPr>
            <w:r>
              <w:rPr>
                <w:rFonts w:hint="eastAsia"/>
                <w:color w:val="auto"/>
                <w:sz w:val="24"/>
                <w:u w:val="single"/>
              </w:rPr>
              <w:t>②监测频次</w:t>
            </w:r>
          </w:p>
          <w:p>
            <w:pPr>
              <w:jc w:val="center"/>
              <w:rPr>
                <w:b/>
                <w:color w:val="auto"/>
                <w:szCs w:val="21"/>
                <w:u w:val="single"/>
              </w:rPr>
            </w:pPr>
            <w:r>
              <w:rPr>
                <w:b/>
                <w:color w:val="auto"/>
                <w:szCs w:val="21"/>
                <w:u w:val="single"/>
              </w:rPr>
              <w:t>表</w:t>
            </w:r>
            <w:r>
              <w:rPr>
                <w:rFonts w:hint="eastAsia"/>
                <w:b/>
                <w:color w:val="auto"/>
                <w:szCs w:val="21"/>
                <w:u w:val="single"/>
              </w:rPr>
              <w:t>3</w:t>
            </w:r>
            <w:r>
              <w:rPr>
                <w:b/>
                <w:color w:val="auto"/>
                <w:szCs w:val="21"/>
                <w:u w:val="single"/>
              </w:rPr>
              <w:t>-3      其他污染物补充监测监测频次一览表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0"/>
              <w:gridCol w:w="1749"/>
              <w:gridCol w:w="1347"/>
              <w:gridCol w:w="1127"/>
              <w:gridCol w:w="988"/>
              <w:gridCol w:w="843"/>
              <w:gridCol w:w="10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2" w:hRule="atLeast"/>
                <w:tblHeader/>
              </w:trPr>
              <w:tc>
                <w:tcPr>
                  <w:tcW w:w="712" w:type="pct"/>
                  <w:shd w:val="clear" w:color="auto" w:fill="auto"/>
                  <w:noWrap/>
                  <w:vAlign w:val="center"/>
                </w:tcPr>
                <w:p>
                  <w:pPr>
                    <w:adjustRightInd w:val="0"/>
                    <w:snapToGrid w:val="0"/>
                    <w:jc w:val="center"/>
                    <w:rPr>
                      <w:b/>
                      <w:color w:val="auto"/>
                      <w:szCs w:val="21"/>
                      <w:u w:val="single"/>
                    </w:rPr>
                  </w:pPr>
                  <w:r>
                    <w:rPr>
                      <w:b/>
                      <w:color w:val="auto"/>
                      <w:szCs w:val="21"/>
                      <w:u w:val="single"/>
                    </w:rPr>
                    <w:t>监测点名称</w:t>
                  </w:r>
                </w:p>
              </w:tc>
              <w:tc>
                <w:tcPr>
                  <w:tcW w:w="1056" w:type="pct"/>
                  <w:shd w:val="clear" w:color="auto" w:fill="auto"/>
                  <w:noWrap/>
                  <w:vAlign w:val="center"/>
                </w:tcPr>
                <w:p>
                  <w:pPr>
                    <w:adjustRightInd w:val="0"/>
                    <w:snapToGrid w:val="0"/>
                    <w:jc w:val="center"/>
                    <w:rPr>
                      <w:b/>
                      <w:color w:val="auto"/>
                      <w:szCs w:val="21"/>
                      <w:u w:val="single"/>
                    </w:rPr>
                  </w:pPr>
                  <w:r>
                    <w:rPr>
                      <w:b/>
                      <w:color w:val="auto"/>
                      <w:szCs w:val="21"/>
                      <w:u w:val="single"/>
                    </w:rPr>
                    <w:t>监测因子</w:t>
                  </w:r>
                </w:p>
              </w:tc>
              <w:tc>
                <w:tcPr>
                  <w:tcW w:w="813" w:type="pct"/>
                  <w:shd w:val="clear" w:color="auto" w:fill="auto"/>
                  <w:noWrap/>
                  <w:vAlign w:val="center"/>
                </w:tcPr>
                <w:p>
                  <w:pPr>
                    <w:adjustRightInd w:val="0"/>
                    <w:snapToGrid w:val="0"/>
                    <w:jc w:val="center"/>
                    <w:rPr>
                      <w:b/>
                      <w:color w:val="auto"/>
                      <w:szCs w:val="21"/>
                      <w:u w:val="single"/>
                    </w:rPr>
                  </w:pPr>
                  <w:r>
                    <w:rPr>
                      <w:b/>
                      <w:color w:val="auto"/>
                      <w:szCs w:val="21"/>
                      <w:u w:val="single"/>
                    </w:rPr>
                    <w:t>监测时段</w:t>
                  </w:r>
                </w:p>
              </w:tc>
              <w:tc>
                <w:tcPr>
                  <w:tcW w:w="680" w:type="pct"/>
                  <w:shd w:val="clear" w:color="auto" w:fill="auto"/>
                  <w:noWrap/>
                  <w:vAlign w:val="center"/>
                </w:tcPr>
                <w:p>
                  <w:pPr>
                    <w:adjustRightInd w:val="0"/>
                    <w:snapToGrid w:val="0"/>
                    <w:jc w:val="center"/>
                    <w:rPr>
                      <w:b/>
                      <w:color w:val="auto"/>
                      <w:szCs w:val="21"/>
                      <w:u w:val="single"/>
                    </w:rPr>
                  </w:pPr>
                  <w:r>
                    <w:rPr>
                      <w:b/>
                      <w:color w:val="auto"/>
                      <w:szCs w:val="21"/>
                      <w:u w:val="single"/>
                    </w:rPr>
                    <w:t>监测时间</w:t>
                  </w:r>
                </w:p>
              </w:tc>
              <w:tc>
                <w:tcPr>
                  <w:tcW w:w="596" w:type="pct"/>
                  <w:shd w:val="clear" w:color="auto" w:fill="auto"/>
                  <w:noWrap/>
                  <w:vAlign w:val="center"/>
                </w:tcPr>
                <w:p>
                  <w:pPr>
                    <w:adjustRightInd w:val="0"/>
                    <w:snapToGrid w:val="0"/>
                    <w:jc w:val="center"/>
                    <w:rPr>
                      <w:b/>
                      <w:color w:val="auto"/>
                      <w:szCs w:val="21"/>
                      <w:u w:val="single"/>
                    </w:rPr>
                  </w:pPr>
                  <w:r>
                    <w:rPr>
                      <w:b/>
                      <w:color w:val="auto"/>
                      <w:szCs w:val="21"/>
                      <w:u w:val="single"/>
                    </w:rPr>
                    <w:t>相对厂址方位</w:t>
                  </w:r>
                </w:p>
              </w:tc>
              <w:tc>
                <w:tcPr>
                  <w:tcW w:w="509" w:type="pct"/>
                  <w:shd w:val="clear" w:color="auto" w:fill="auto"/>
                  <w:noWrap/>
                  <w:vAlign w:val="center"/>
                </w:tcPr>
                <w:p>
                  <w:pPr>
                    <w:adjustRightInd w:val="0"/>
                    <w:snapToGrid w:val="0"/>
                    <w:jc w:val="center"/>
                    <w:rPr>
                      <w:b/>
                      <w:color w:val="auto"/>
                      <w:szCs w:val="21"/>
                      <w:u w:val="single"/>
                    </w:rPr>
                  </w:pPr>
                  <w:r>
                    <w:rPr>
                      <w:b/>
                      <w:color w:val="auto"/>
                      <w:szCs w:val="21"/>
                      <w:u w:val="single"/>
                    </w:rPr>
                    <w:t>相对厂界距离/m</w:t>
                  </w:r>
                </w:p>
              </w:tc>
              <w:tc>
                <w:tcPr>
                  <w:tcW w:w="629" w:type="pct"/>
                  <w:shd w:val="clear" w:color="auto" w:fill="auto"/>
                  <w:noWrap/>
                  <w:vAlign w:val="center"/>
                </w:tcPr>
                <w:p>
                  <w:pPr>
                    <w:adjustRightInd w:val="0"/>
                    <w:snapToGrid w:val="0"/>
                    <w:jc w:val="center"/>
                    <w:rPr>
                      <w:b/>
                      <w:color w:val="auto"/>
                      <w:szCs w:val="21"/>
                      <w:u w:val="single"/>
                    </w:rPr>
                  </w:pPr>
                  <w:r>
                    <w:rPr>
                      <w:rFonts w:hint="eastAsia"/>
                      <w:b/>
                      <w:color w:val="auto"/>
                      <w:szCs w:val="21"/>
                      <w:u w:val="single"/>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4" w:hRule="atLeast"/>
              </w:trPr>
              <w:tc>
                <w:tcPr>
                  <w:tcW w:w="1180" w:type="dxa"/>
                  <w:shd w:val="clear" w:color="auto" w:fill="auto"/>
                  <w:noWrap/>
                  <w:vAlign w:val="center"/>
                </w:tcPr>
                <w:p>
                  <w:pPr>
                    <w:pStyle w:val="93"/>
                    <w:spacing w:beforeLines="20" w:afterLines="20" w:line="300" w:lineRule="exact"/>
                    <w:rPr>
                      <w:color w:val="FF0000"/>
                      <w:szCs w:val="21"/>
                      <w:u w:val="single"/>
                    </w:rPr>
                  </w:pPr>
                  <w:r>
                    <w:rPr>
                      <w:rFonts w:cs="Times New Roman"/>
                      <w:bCs/>
                      <w:color w:val="auto"/>
                      <w:szCs w:val="21"/>
                      <w:u w:val="single"/>
                    </w:rPr>
                    <w:t xml:space="preserve">G1 </w:t>
                  </w:r>
                  <w:r>
                    <w:rPr>
                      <w:rFonts w:cs="Times New Roman"/>
                      <w:color w:val="auto"/>
                      <w:szCs w:val="21"/>
                      <w:u w:val="single"/>
                    </w:rPr>
                    <w:t>项目</w:t>
                  </w:r>
                  <w:r>
                    <w:rPr>
                      <w:rFonts w:hint="eastAsia" w:cs="Times New Roman"/>
                      <w:color w:val="auto"/>
                      <w:szCs w:val="21"/>
                      <w:u w:val="single"/>
                      <w:lang w:val="en-US" w:eastAsia="zh-CN"/>
                    </w:rPr>
                    <w:t>所在地</w:t>
                  </w:r>
                </w:p>
              </w:tc>
              <w:tc>
                <w:tcPr>
                  <w:tcW w:w="1749" w:type="dxa"/>
                  <w:shd w:val="clear" w:color="auto" w:fill="auto"/>
                  <w:noWrap/>
                  <w:vAlign w:val="center"/>
                </w:tcPr>
                <w:p>
                  <w:pPr>
                    <w:adjustRightInd w:val="0"/>
                    <w:snapToGrid w:val="0"/>
                    <w:jc w:val="center"/>
                    <w:rPr>
                      <w:color w:val="FF0000"/>
                      <w:szCs w:val="21"/>
                      <w:u w:val="single"/>
                    </w:rPr>
                  </w:pPr>
                  <w:r>
                    <w:rPr>
                      <w:rFonts w:hint="eastAsia"/>
                      <w:color w:val="auto"/>
                      <w:szCs w:val="21"/>
                      <w:u w:val="single"/>
                      <w:lang w:val="en-US" w:eastAsia="zh-CN"/>
                    </w:rPr>
                    <w:t>总悬浮颗粒物</w:t>
                  </w:r>
                </w:p>
              </w:tc>
              <w:tc>
                <w:tcPr>
                  <w:tcW w:w="1347" w:type="dxa"/>
                  <w:shd w:val="clear" w:color="auto" w:fill="auto"/>
                  <w:noWrap/>
                  <w:vAlign w:val="center"/>
                </w:tcPr>
                <w:p>
                  <w:pPr>
                    <w:adjustRightInd w:val="0"/>
                    <w:snapToGrid w:val="0"/>
                    <w:jc w:val="center"/>
                    <w:rPr>
                      <w:color w:val="FF0000"/>
                      <w:szCs w:val="21"/>
                      <w:u w:val="single"/>
                    </w:rPr>
                  </w:pPr>
                  <w:r>
                    <w:rPr>
                      <w:rFonts w:hint="eastAsia"/>
                      <w:color w:val="auto"/>
                      <w:szCs w:val="21"/>
                      <w:u w:val="single"/>
                      <w:lang w:val="en-US" w:eastAsia="zh-CN"/>
                    </w:rPr>
                    <w:t>日均值</w:t>
                  </w:r>
                </w:p>
              </w:tc>
              <w:tc>
                <w:tcPr>
                  <w:tcW w:w="680" w:type="pct"/>
                  <w:shd w:val="clear" w:color="auto" w:fill="auto"/>
                  <w:noWrap/>
                  <w:vAlign w:val="center"/>
                </w:tcPr>
                <w:p>
                  <w:pPr>
                    <w:adjustRightInd w:val="0"/>
                    <w:snapToGrid w:val="0"/>
                    <w:jc w:val="center"/>
                    <w:rPr>
                      <w:color w:val="auto"/>
                      <w:szCs w:val="21"/>
                      <w:u w:val="single"/>
                    </w:rPr>
                  </w:pPr>
                  <w:r>
                    <w:rPr>
                      <w:color w:val="auto"/>
                      <w:szCs w:val="21"/>
                      <w:u w:val="single"/>
                    </w:rPr>
                    <w:t>2020.</w:t>
                  </w:r>
                  <w:r>
                    <w:rPr>
                      <w:rFonts w:hint="eastAsia"/>
                      <w:color w:val="auto"/>
                      <w:szCs w:val="21"/>
                      <w:u w:val="single"/>
                    </w:rPr>
                    <w:t>7</w:t>
                  </w:r>
                  <w:r>
                    <w:rPr>
                      <w:color w:val="auto"/>
                      <w:szCs w:val="21"/>
                      <w:u w:val="single"/>
                    </w:rPr>
                    <w:t>.</w:t>
                  </w:r>
                  <w:r>
                    <w:rPr>
                      <w:rFonts w:hint="eastAsia"/>
                      <w:color w:val="auto"/>
                      <w:szCs w:val="21"/>
                      <w:u w:val="single"/>
                    </w:rPr>
                    <w:t>2</w:t>
                  </w:r>
                  <w:r>
                    <w:rPr>
                      <w:color w:val="auto"/>
                      <w:szCs w:val="21"/>
                      <w:u w:val="single"/>
                    </w:rPr>
                    <w:t>~2020.</w:t>
                  </w:r>
                  <w:r>
                    <w:rPr>
                      <w:rFonts w:hint="eastAsia"/>
                      <w:color w:val="auto"/>
                      <w:szCs w:val="21"/>
                      <w:u w:val="single"/>
                    </w:rPr>
                    <w:t>7</w:t>
                  </w:r>
                  <w:r>
                    <w:rPr>
                      <w:color w:val="auto"/>
                      <w:szCs w:val="21"/>
                      <w:u w:val="single"/>
                    </w:rPr>
                    <w:t>.</w:t>
                  </w:r>
                  <w:r>
                    <w:rPr>
                      <w:rFonts w:hint="eastAsia"/>
                      <w:color w:val="auto"/>
                      <w:szCs w:val="21"/>
                      <w:u w:val="single"/>
                    </w:rPr>
                    <w:t>8</w:t>
                  </w:r>
                </w:p>
              </w:tc>
              <w:tc>
                <w:tcPr>
                  <w:tcW w:w="596" w:type="pct"/>
                  <w:shd w:val="clear" w:color="auto" w:fill="auto"/>
                  <w:noWrap/>
                  <w:vAlign w:val="center"/>
                </w:tcPr>
                <w:p>
                  <w:pPr>
                    <w:adjustRightInd w:val="0"/>
                    <w:snapToGrid w:val="0"/>
                    <w:jc w:val="center"/>
                    <w:rPr>
                      <w:rFonts w:hint="eastAsia" w:eastAsia="宋体"/>
                      <w:color w:val="auto"/>
                      <w:szCs w:val="21"/>
                      <w:u w:val="single"/>
                      <w:lang w:eastAsia="zh-CN"/>
                    </w:rPr>
                  </w:pPr>
                  <w:r>
                    <w:rPr>
                      <w:color w:val="auto"/>
                      <w:szCs w:val="21"/>
                      <w:u w:val="single"/>
                    </w:rPr>
                    <w:t>项目</w:t>
                  </w:r>
                  <w:r>
                    <w:rPr>
                      <w:rFonts w:hint="eastAsia"/>
                      <w:color w:val="auto"/>
                      <w:szCs w:val="21"/>
                      <w:u w:val="single"/>
                      <w:lang w:val="en-US" w:eastAsia="zh-CN"/>
                    </w:rPr>
                    <w:t>地</w:t>
                  </w:r>
                </w:p>
              </w:tc>
              <w:tc>
                <w:tcPr>
                  <w:tcW w:w="509" w:type="pct"/>
                  <w:shd w:val="clear" w:color="auto" w:fill="auto"/>
                  <w:noWrap/>
                  <w:vAlign w:val="center"/>
                </w:tcPr>
                <w:p>
                  <w:pPr>
                    <w:adjustRightInd w:val="0"/>
                    <w:snapToGrid w:val="0"/>
                    <w:jc w:val="center"/>
                    <w:rPr>
                      <w:rFonts w:hint="eastAsia" w:eastAsia="宋体"/>
                      <w:color w:val="auto"/>
                      <w:szCs w:val="21"/>
                      <w:u w:val="single"/>
                      <w:lang w:eastAsia="zh-CN"/>
                    </w:rPr>
                  </w:pPr>
                  <w:r>
                    <w:rPr>
                      <w:rFonts w:hint="eastAsia"/>
                      <w:color w:val="auto"/>
                      <w:szCs w:val="21"/>
                      <w:u w:val="single"/>
                      <w:lang w:val="en-US" w:eastAsia="zh-CN"/>
                    </w:rPr>
                    <w:t>0</w:t>
                  </w:r>
                </w:p>
              </w:tc>
              <w:tc>
                <w:tcPr>
                  <w:tcW w:w="629" w:type="pct"/>
                  <w:vMerge w:val="restart"/>
                  <w:shd w:val="clear" w:color="auto" w:fill="auto"/>
                  <w:noWrap/>
                  <w:vAlign w:val="center"/>
                </w:tcPr>
                <w:p>
                  <w:pPr>
                    <w:adjustRightInd w:val="0"/>
                    <w:snapToGrid w:val="0"/>
                    <w:jc w:val="center"/>
                    <w:rPr>
                      <w:color w:val="FF0000"/>
                      <w:szCs w:val="21"/>
                      <w:u w:val="single"/>
                    </w:rPr>
                  </w:pPr>
                  <w:r>
                    <w:rPr>
                      <w:rFonts w:hint="eastAsia"/>
                      <w:color w:val="auto"/>
                      <w:szCs w:val="21"/>
                      <w:u w:val="single"/>
                    </w:rPr>
                    <w:t>每天1次、</w:t>
                  </w:r>
                  <w:r>
                    <w:rPr>
                      <w:color w:val="auto"/>
                      <w:szCs w:val="21"/>
                      <w:u w:val="single"/>
                    </w:rPr>
                    <w:t>连续监测</w:t>
                  </w:r>
                  <w:r>
                    <w:rPr>
                      <w:rFonts w:hint="eastAsia"/>
                      <w:color w:val="auto"/>
                      <w:szCs w:val="21"/>
                      <w:u w:val="single"/>
                    </w:rPr>
                    <w:t>7</w:t>
                  </w:r>
                  <w:r>
                    <w:rPr>
                      <w:color w:val="auto"/>
                      <w:szCs w:val="21"/>
                      <w:u w:val="single"/>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80" w:type="dxa"/>
                  <w:shd w:val="clear" w:color="auto" w:fill="auto"/>
                  <w:noWrap/>
                  <w:vAlign w:val="center"/>
                </w:tcPr>
                <w:p>
                  <w:pPr>
                    <w:pStyle w:val="93"/>
                    <w:spacing w:beforeLines="20" w:afterLines="20" w:line="300" w:lineRule="exact"/>
                    <w:rPr>
                      <w:color w:val="FF0000"/>
                      <w:szCs w:val="21"/>
                      <w:u w:val="single"/>
                    </w:rPr>
                  </w:pPr>
                  <w:r>
                    <w:rPr>
                      <w:rFonts w:cs="Times New Roman"/>
                      <w:bCs/>
                      <w:color w:val="auto"/>
                      <w:szCs w:val="21"/>
                      <w:u w:val="single"/>
                    </w:rPr>
                    <w:t xml:space="preserve">G2 </w:t>
                  </w:r>
                  <w:r>
                    <w:rPr>
                      <w:rFonts w:cs="Times New Roman"/>
                      <w:color w:val="auto"/>
                      <w:szCs w:val="21"/>
                      <w:u w:val="single"/>
                    </w:rPr>
                    <w:t>项目</w:t>
                  </w:r>
                  <w:r>
                    <w:rPr>
                      <w:rFonts w:hint="eastAsia" w:cs="Times New Roman"/>
                      <w:color w:val="auto"/>
                      <w:szCs w:val="21"/>
                      <w:u w:val="single"/>
                      <w:lang w:val="en-US" w:eastAsia="zh-CN"/>
                    </w:rPr>
                    <w:t>下风向一个点</w:t>
                  </w:r>
                </w:p>
              </w:tc>
              <w:tc>
                <w:tcPr>
                  <w:tcW w:w="1749" w:type="dxa"/>
                  <w:shd w:val="clear" w:color="auto" w:fill="auto"/>
                  <w:noWrap/>
                  <w:vAlign w:val="center"/>
                </w:tcPr>
                <w:p>
                  <w:pPr>
                    <w:adjustRightInd w:val="0"/>
                    <w:snapToGrid w:val="0"/>
                    <w:jc w:val="center"/>
                    <w:rPr>
                      <w:color w:val="FF0000"/>
                      <w:szCs w:val="21"/>
                      <w:u w:val="single"/>
                    </w:rPr>
                  </w:pPr>
                  <w:r>
                    <w:rPr>
                      <w:rFonts w:hint="eastAsia"/>
                      <w:color w:val="auto"/>
                      <w:szCs w:val="21"/>
                      <w:u w:val="single"/>
                      <w:lang w:val="en-US" w:eastAsia="zh-CN"/>
                    </w:rPr>
                    <w:t>总悬浮颗粒物</w:t>
                  </w:r>
                </w:p>
              </w:tc>
              <w:tc>
                <w:tcPr>
                  <w:tcW w:w="1347" w:type="dxa"/>
                  <w:shd w:val="clear" w:color="auto" w:fill="auto"/>
                  <w:noWrap/>
                  <w:vAlign w:val="center"/>
                </w:tcPr>
                <w:p>
                  <w:pPr>
                    <w:adjustRightInd w:val="0"/>
                    <w:snapToGrid w:val="0"/>
                    <w:jc w:val="center"/>
                    <w:rPr>
                      <w:color w:val="FF0000"/>
                      <w:szCs w:val="21"/>
                      <w:u w:val="single"/>
                    </w:rPr>
                  </w:pPr>
                  <w:r>
                    <w:rPr>
                      <w:rFonts w:hint="eastAsia"/>
                      <w:color w:val="auto"/>
                      <w:szCs w:val="21"/>
                      <w:u w:val="single"/>
                      <w:lang w:val="en-US" w:eastAsia="zh-CN"/>
                    </w:rPr>
                    <w:t>日均值</w:t>
                  </w:r>
                </w:p>
              </w:tc>
              <w:tc>
                <w:tcPr>
                  <w:tcW w:w="680" w:type="pct"/>
                  <w:shd w:val="clear" w:color="auto" w:fill="auto"/>
                  <w:noWrap/>
                  <w:vAlign w:val="center"/>
                </w:tcPr>
                <w:p>
                  <w:pPr>
                    <w:adjustRightInd w:val="0"/>
                    <w:snapToGrid w:val="0"/>
                    <w:jc w:val="center"/>
                    <w:rPr>
                      <w:color w:val="auto"/>
                      <w:szCs w:val="21"/>
                      <w:u w:val="single"/>
                    </w:rPr>
                  </w:pPr>
                  <w:r>
                    <w:rPr>
                      <w:color w:val="auto"/>
                      <w:szCs w:val="21"/>
                      <w:u w:val="single"/>
                    </w:rPr>
                    <w:t>2020.</w:t>
                  </w:r>
                  <w:r>
                    <w:rPr>
                      <w:rFonts w:hint="eastAsia"/>
                      <w:color w:val="auto"/>
                      <w:szCs w:val="21"/>
                      <w:u w:val="single"/>
                    </w:rPr>
                    <w:t>7</w:t>
                  </w:r>
                  <w:r>
                    <w:rPr>
                      <w:color w:val="auto"/>
                      <w:szCs w:val="21"/>
                      <w:u w:val="single"/>
                    </w:rPr>
                    <w:t>.</w:t>
                  </w:r>
                  <w:r>
                    <w:rPr>
                      <w:rFonts w:hint="eastAsia"/>
                      <w:color w:val="auto"/>
                      <w:szCs w:val="21"/>
                      <w:u w:val="single"/>
                    </w:rPr>
                    <w:t>2</w:t>
                  </w:r>
                  <w:r>
                    <w:rPr>
                      <w:color w:val="auto"/>
                      <w:szCs w:val="21"/>
                      <w:u w:val="single"/>
                    </w:rPr>
                    <w:t>~2020.</w:t>
                  </w:r>
                  <w:r>
                    <w:rPr>
                      <w:rFonts w:hint="eastAsia"/>
                      <w:color w:val="auto"/>
                      <w:szCs w:val="21"/>
                      <w:u w:val="single"/>
                    </w:rPr>
                    <w:t>7</w:t>
                  </w:r>
                  <w:r>
                    <w:rPr>
                      <w:color w:val="auto"/>
                      <w:szCs w:val="21"/>
                      <w:u w:val="single"/>
                    </w:rPr>
                    <w:t>.</w:t>
                  </w:r>
                  <w:r>
                    <w:rPr>
                      <w:rFonts w:hint="eastAsia"/>
                      <w:color w:val="auto"/>
                      <w:szCs w:val="21"/>
                      <w:u w:val="single"/>
                    </w:rPr>
                    <w:t>8</w:t>
                  </w:r>
                </w:p>
              </w:tc>
              <w:tc>
                <w:tcPr>
                  <w:tcW w:w="596" w:type="pct"/>
                  <w:shd w:val="clear" w:color="auto" w:fill="auto"/>
                  <w:noWrap/>
                  <w:vAlign w:val="center"/>
                </w:tcPr>
                <w:p>
                  <w:pPr>
                    <w:adjustRightInd w:val="0"/>
                    <w:snapToGrid w:val="0"/>
                    <w:jc w:val="center"/>
                    <w:rPr>
                      <w:rFonts w:hint="eastAsia" w:eastAsia="宋体"/>
                      <w:color w:val="auto"/>
                      <w:szCs w:val="21"/>
                      <w:u w:val="single"/>
                      <w:lang w:eastAsia="zh-CN"/>
                    </w:rPr>
                  </w:pPr>
                  <w:r>
                    <w:rPr>
                      <w:color w:val="auto"/>
                      <w:szCs w:val="21"/>
                      <w:u w:val="single"/>
                    </w:rPr>
                    <w:t>项目</w:t>
                  </w:r>
                  <w:r>
                    <w:rPr>
                      <w:rFonts w:hint="eastAsia"/>
                      <w:color w:val="auto"/>
                      <w:szCs w:val="21"/>
                      <w:u w:val="single"/>
                      <w:lang w:val="en-US" w:eastAsia="zh-CN"/>
                    </w:rPr>
                    <w:t>下风向</w:t>
                  </w:r>
                </w:p>
              </w:tc>
              <w:tc>
                <w:tcPr>
                  <w:tcW w:w="509" w:type="pct"/>
                  <w:tcBorders>
                    <w:top w:val="single" w:color="000000" w:sz="4" w:space="0"/>
                  </w:tcBorders>
                  <w:shd w:val="clear" w:color="auto" w:fill="auto"/>
                  <w:noWrap/>
                  <w:vAlign w:val="center"/>
                </w:tcPr>
                <w:p>
                  <w:pPr>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70</w:t>
                  </w:r>
                </w:p>
              </w:tc>
              <w:tc>
                <w:tcPr>
                  <w:tcW w:w="629" w:type="pct"/>
                  <w:vMerge w:val="continue"/>
                  <w:shd w:val="clear" w:color="auto" w:fill="auto"/>
                  <w:noWrap/>
                  <w:vAlign w:val="center"/>
                </w:tcPr>
                <w:p>
                  <w:pPr>
                    <w:adjustRightInd w:val="0"/>
                    <w:snapToGrid w:val="0"/>
                    <w:jc w:val="center"/>
                    <w:rPr>
                      <w:color w:val="FF0000"/>
                      <w:szCs w:val="21"/>
                      <w:u w:val="single"/>
                    </w:rPr>
                  </w:pPr>
                </w:p>
              </w:tc>
            </w:tr>
          </w:tbl>
          <w:p>
            <w:pPr>
              <w:pStyle w:val="2"/>
              <w:spacing w:line="360" w:lineRule="auto"/>
              <w:ind w:firstLine="480" w:firstLineChars="200"/>
              <w:rPr>
                <w:rFonts w:hint="eastAsia"/>
                <w:color w:val="auto"/>
                <w:sz w:val="24"/>
                <w:u w:val="single"/>
              </w:rPr>
            </w:pPr>
            <w:r>
              <w:rPr>
                <w:rFonts w:hint="eastAsia"/>
                <w:color w:val="auto"/>
                <w:sz w:val="24"/>
                <w:u w:val="single"/>
              </w:rPr>
              <w:t>③环境空气质量监测结果</w:t>
            </w:r>
          </w:p>
          <w:p>
            <w:pPr>
              <w:pStyle w:val="2"/>
              <w:spacing w:line="360" w:lineRule="auto"/>
              <w:ind w:firstLine="480" w:firstLineChars="200"/>
              <w:rPr>
                <w:rFonts w:hint="eastAsia"/>
                <w:color w:val="auto"/>
                <w:sz w:val="24"/>
                <w:u w:val="single"/>
              </w:rPr>
            </w:pPr>
            <w:r>
              <w:rPr>
                <w:rFonts w:hint="eastAsia"/>
                <w:color w:val="auto"/>
                <w:sz w:val="24"/>
                <w:u w:val="single"/>
              </w:rPr>
              <w:t>环境空气质量现状监测结果见下表。</w:t>
            </w:r>
          </w:p>
          <w:p>
            <w:pPr>
              <w:jc w:val="center"/>
              <w:rPr>
                <w:b/>
                <w:bCs/>
                <w:color w:val="auto"/>
                <w:szCs w:val="21"/>
                <w:u w:val="single"/>
                <w:vertAlign w:val="superscript"/>
              </w:rPr>
            </w:pPr>
            <w:r>
              <w:rPr>
                <w:b/>
                <w:color w:val="auto"/>
                <w:szCs w:val="21"/>
                <w:u w:val="single"/>
              </w:rPr>
              <w:t>表</w:t>
            </w:r>
            <w:r>
              <w:rPr>
                <w:rFonts w:hint="eastAsia"/>
                <w:b/>
                <w:color w:val="auto"/>
                <w:szCs w:val="21"/>
                <w:u w:val="single"/>
              </w:rPr>
              <w:t>3</w:t>
            </w:r>
            <w:r>
              <w:rPr>
                <w:b/>
                <w:color w:val="auto"/>
                <w:szCs w:val="21"/>
                <w:u w:val="single"/>
              </w:rPr>
              <w:t xml:space="preserve">-4     环境空气质量现状监测结果一览表            </w:t>
            </w:r>
            <w:r>
              <w:rPr>
                <w:b/>
                <w:bCs/>
                <w:color w:val="auto"/>
                <w:szCs w:val="21"/>
                <w:u w:val="single"/>
              </w:rPr>
              <w:t>单位：</w:t>
            </w:r>
            <w:r>
              <w:rPr>
                <w:b/>
                <w:color w:val="auto"/>
                <w:spacing w:val="-5"/>
                <w:kern w:val="0"/>
                <w:szCs w:val="21"/>
                <w:u w:val="single"/>
              </w:rPr>
              <w:t>mg/m</w:t>
            </w:r>
            <w:r>
              <w:rPr>
                <w:b/>
                <w:color w:val="auto"/>
                <w:spacing w:val="-5"/>
                <w:kern w:val="0"/>
                <w:szCs w:val="21"/>
                <w:u w:val="single"/>
                <w:vertAlign w:val="superscript"/>
              </w:rPr>
              <w:t>3</w:t>
            </w:r>
          </w:p>
          <w:tbl>
            <w:tblPr>
              <w:tblStyle w:val="28"/>
              <w:tblW w:w="81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96"/>
              <w:gridCol w:w="2690"/>
              <w:gridCol w:w="23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6" w:hRule="atLeast"/>
                <w:jc w:val="center"/>
              </w:trPr>
              <w:tc>
                <w:tcPr>
                  <w:tcW w:w="3096" w:type="dxa"/>
                  <w:vMerge w:val="restart"/>
                  <w:tcBorders>
                    <w:tl2br w:val="nil"/>
                    <w:tr2bl w:val="nil"/>
                  </w:tcBorders>
                  <w:noWrap/>
                  <w:tcMar>
                    <w:top w:w="15" w:type="dxa"/>
                    <w:left w:w="15" w:type="dxa"/>
                    <w:right w:w="15" w:type="dxa"/>
                  </w:tcMar>
                  <w:vAlign w:val="center"/>
                </w:tcPr>
                <w:p>
                  <w:pPr>
                    <w:widowControl/>
                    <w:jc w:val="center"/>
                    <w:textAlignment w:val="center"/>
                    <w:rPr>
                      <w:b/>
                      <w:color w:val="auto"/>
                      <w:szCs w:val="21"/>
                      <w:u w:val="single"/>
                    </w:rPr>
                  </w:pPr>
                  <w:r>
                    <w:rPr>
                      <w:b/>
                      <w:color w:val="auto"/>
                      <w:spacing w:val="-5"/>
                      <w:kern w:val="0"/>
                      <w:szCs w:val="21"/>
                      <w:u w:val="single"/>
                    </w:rPr>
                    <w:t>采样点位</w:t>
                  </w:r>
                </w:p>
              </w:tc>
              <w:tc>
                <w:tcPr>
                  <w:tcW w:w="2690" w:type="dxa"/>
                  <w:vMerge w:val="restart"/>
                  <w:tcBorders>
                    <w:tl2br w:val="nil"/>
                    <w:tr2bl w:val="nil"/>
                  </w:tcBorders>
                  <w:noWrap/>
                  <w:tcMar>
                    <w:top w:w="15" w:type="dxa"/>
                    <w:left w:w="15" w:type="dxa"/>
                    <w:right w:w="15" w:type="dxa"/>
                  </w:tcMar>
                  <w:vAlign w:val="center"/>
                </w:tcPr>
                <w:p>
                  <w:pPr>
                    <w:widowControl/>
                    <w:jc w:val="center"/>
                    <w:textAlignment w:val="center"/>
                    <w:rPr>
                      <w:b/>
                      <w:color w:val="auto"/>
                      <w:szCs w:val="21"/>
                      <w:u w:val="single"/>
                    </w:rPr>
                  </w:pPr>
                  <w:r>
                    <w:rPr>
                      <w:b/>
                      <w:color w:val="auto"/>
                      <w:spacing w:val="-5"/>
                      <w:kern w:val="0"/>
                      <w:szCs w:val="21"/>
                      <w:u w:val="single"/>
                    </w:rPr>
                    <w:t>采样日期</w:t>
                  </w:r>
                </w:p>
              </w:tc>
              <w:tc>
                <w:tcPr>
                  <w:tcW w:w="2333" w:type="dxa"/>
                  <w:tcBorders>
                    <w:left w:val="single" w:color="auto" w:sz="4" w:space="0"/>
                    <w:tl2br w:val="nil"/>
                    <w:tr2bl w:val="nil"/>
                  </w:tcBorders>
                  <w:noWrap/>
                  <w:tcMar>
                    <w:top w:w="15" w:type="dxa"/>
                    <w:left w:w="15" w:type="dxa"/>
                    <w:right w:w="15" w:type="dxa"/>
                  </w:tcMar>
                  <w:vAlign w:val="center"/>
                </w:tcPr>
                <w:p>
                  <w:pPr>
                    <w:widowControl/>
                    <w:jc w:val="center"/>
                    <w:textAlignment w:val="center"/>
                    <w:rPr>
                      <w:b/>
                      <w:color w:val="auto"/>
                      <w:spacing w:val="-5"/>
                      <w:kern w:val="0"/>
                      <w:szCs w:val="21"/>
                      <w:u w:val="single"/>
                    </w:rPr>
                  </w:pPr>
                  <w:r>
                    <w:rPr>
                      <w:b/>
                      <w:color w:val="auto"/>
                      <w:spacing w:val="-5"/>
                      <w:kern w:val="0"/>
                      <w:szCs w:val="21"/>
                      <w:u w:val="single"/>
                    </w:rPr>
                    <w:t>检测结果（mg/m</w:t>
                  </w:r>
                  <w:r>
                    <w:rPr>
                      <w:b/>
                      <w:color w:val="auto"/>
                      <w:spacing w:val="-5"/>
                      <w:kern w:val="0"/>
                      <w:szCs w:val="21"/>
                      <w:u w:val="single"/>
                      <w:vertAlign w:val="superscript"/>
                    </w:rPr>
                    <w:t>3</w:t>
                  </w:r>
                  <w:r>
                    <w:rPr>
                      <w:b/>
                      <w:color w:val="auto"/>
                      <w:spacing w:val="-5"/>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p>
              </w:tc>
              <w:tc>
                <w:tcPr>
                  <w:tcW w:w="2690" w:type="dxa"/>
                  <w:vMerge w:val="continue"/>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p>
              </w:tc>
              <w:tc>
                <w:tcPr>
                  <w:tcW w:w="2333" w:type="dxa"/>
                  <w:tcBorders>
                    <w:tl2br w:val="nil"/>
                    <w:tr2bl w:val="nil"/>
                  </w:tcBorders>
                  <w:noWrap/>
                  <w:tcMar>
                    <w:top w:w="15" w:type="dxa"/>
                    <w:left w:w="15" w:type="dxa"/>
                    <w:right w:w="15" w:type="dxa"/>
                  </w:tcMar>
                  <w:vAlign w:val="center"/>
                </w:tcPr>
                <w:p>
                  <w:pPr>
                    <w:widowControl/>
                    <w:jc w:val="center"/>
                    <w:textAlignment w:val="center"/>
                    <w:rPr>
                      <w:rFonts w:hint="default" w:eastAsia="宋体"/>
                      <w:color w:val="auto"/>
                      <w:szCs w:val="21"/>
                      <w:u w:val="single"/>
                      <w:lang w:val="en-US" w:eastAsia="zh-CN"/>
                    </w:rPr>
                  </w:pPr>
                  <w:r>
                    <w:rPr>
                      <w:b/>
                      <w:color w:val="auto"/>
                      <w:szCs w:val="21"/>
                      <w:u w:val="single"/>
                    </w:rPr>
                    <w:t>总</w:t>
                  </w:r>
                  <w:r>
                    <w:rPr>
                      <w:rFonts w:hint="eastAsia"/>
                      <w:b/>
                      <w:color w:val="auto"/>
                      <w:szCs w:val="21"/>
                      <w:u w:val="single"/>
                      <w:lang w:val="en-US" w:eastAsia="zh-CN"/>
                    </w:rPr>
                    <w:t>悬浮颗粒物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restart"/>
                  <w:tcBorders>
                    <w:tl2br w:val="nil"/>
                    <w:tr2bl w:val="nil"/>
                  </w:tcBorders>
                  <w:noWrap/>
                  <w:tcMar>
                    <w:top w:w="15" w:type="dxa"/>
                    <w:left w:w="15" w:type="dxa"/>
                    <w:right w:w="15" w:type="dxa"/>
                  </w:tcMar>
                  <w:vAlign w:val="center"/>
                </w:tcPr>
                <w:p>
                  <w:pPr>
                    <w:pStyle w:val="93"/>
                    <w:spacing w:beforeLines="20" w:afterLines="20" w:line="300" w:lineRule="exact"/>
                    <w:rPr>
                      <w:rFonts w:hint="eastAsia" w:eastAsia="宋体" w:cs="Times New Roman"/>
                      <w:b/>
                      <w:color w:val="auto"/>
                      <w:szCs w:val="21"/>
                      <w:u w:val="single"/>
                      <w:lang w:eastAsia="zh-CN"/>
                    </w:rPr>
                  </w:pPr>
                  <w:r>
                    <w:rPr>
                      <w:rFonts w:cs="Times New Roman"/>
                      <w:bCs/>
                      <w:color w:val="auto"/>
                      <w:szCs w:val="21"/>
                      <w:u w:val="single"/>
                    </w:rPr>
                    <w:t xml:space="preserve">G1 </w:t>
                  </w:r>
                  <w:r>
                    <w:rPr>
                      <w:rFonts w:cs="Times New Roman"/>
                      <w:color w:val="auto"/>
                      <w:szCs w:val="21"/>
                      <w:u w:val="single"/>
                    </w:rPr>
                    <w:t>项目</w:t>
                  </w:r>
                  <w:r>
                    <w:rPr>
                      <w:rFonts w:hint="eastAsia" w:cs="Times New Roman"/>
                      <w:color w:val="auto"/>
                      <w:szCs w:val="21"/>
                      <w:u w:val="single"/>
                      <w:lang w:val="en-US" w:eastAsia="zh-CN"/>
                    </w:rPr>
                    <w:t>地</w:t>
                  </w: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2020.7.2</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2020.7.3</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2020.7.4</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2020.7.5</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2020.7.6</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2020.7.7</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2020.7.8</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restart"/>
                  <w:tcBorders>
                    <w:tl2br w:val="nil"/>
                    <w:tr2bl w:val="nil"/>
                  </w:tcBorders>
                  <w:noWrap/>
                  <w:tcMar>
                    <w:top w:w="15" w:type="dxa"/>
                    <w:left w:w="15" w:type="dxa"/>
                    <w:right w:w="15" w:type="dxa"/>
                  </w:tcMar>
                  <w:vAlign w:val="center"/>
                </w:tcPr>
                <w:p>
                  <w:pPr>
                    <w:pStyle w:val="93"/>
                    <w:spacing w:beforeLines="20" w:afterLines="20" w:line="300" w:lineRule="exact"/>
                    <w:rPr>
                      <w:rFonts w:hint="eastAsia" w:eastAsia="宋体" w:cs="Times New Roman"/>
                      <w:b/>
                      <w:color w:val="auto"/>
                      <w:szCs w:val="21"/>
                      <w:u w:val="single"/>
                      <w:lang w:eastAsia="zh-CN"/>
                    </w:rPr>
                  </w:pPr>
                  <w:r>
                    <w:rPr>
                      <w:rFonts w:cs="Times New Roman"/>
                      <w:bCs/>
                      <w:color w:val="auto"/>
                      <w:szCs w:val="21"/>
                      <w:u w:val="single"/>
                    </w:rPr>
                    <w:t xml:space="preserve">G2 </w:t>
                  </w:r>
                  <w:r>
                    <w:rPr>
                      <w:rFonts w:cs="Times New Roman"/>
                      <w:color w:val="auto"/>
                      <w:szCs w:val="21"/>
                      <w:u w:val="single"/>
                    </w:rPr>
                    <w:t>项目</w:t>
                  </w:r>
                  <w:r>
                    <w:rPr>
                      <w:rFonts w:hint="eastAsia" w:cs="Times New Roman"/>
                      <w:color w:val="auto"/>
                      <w:szCs w:val="21"/>
                      <w:u w:val="single"/>
                      <w:lang w:val="en-US" w:eastAsia="zh-CN"/>
                    </w:rPr>
                    <w:t>下风向</w:t>
                  </w: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2020.7.2</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2020.7.3</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2020.7.4</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2020.7.5</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2020.7.6</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2020.7.7</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3096" w:type="dxa"/>
                  <w:vMerge w:val="continue"/>
                  <w:tcBorders>
                    <w:tl2br w:val="nil"/>
                    <w:tr2bl w:val="nil"/>
                  </w:tcBorders>
                  <w:noWrap/>
                  <w:tcMar>
                    <w:top w:w="15" w:type="dxa"/>
                    <w:left w:w="15" w:type="dxa"/>
                    <w:right w:w="15" w:type="dxa"/>
                  </w:tcMar>
                  <w:vAlign w:val="center"/>
                </w:tcPr>
                <w:p>
                  <w:pPr>
                    <w:widowControl/>
                    <w:jc w:val="center"/>
                    <w:rPr>
                      <w:b/>
                      <w:color w:val="auto"/>
                      <w:szCs w:val="21"/>
                      <w:u w:val="single"/>
                    </w:rPr>
                  </w:pPr>
                </w:p>
              </w:tc>
              <w:tc>
                <w:tcPr>
                  <w:tcW w:w="2690" w:type="dxa"/>
                  <w:tcBorders>
                    <w:tl2br w:val="nil"/>
                    <w:tr2bl w:val="nil"/>
                  </w:tcBorders>
                  <w:noWrap/>
                  <w:tcMar>
                    <w:top w:w="15" w:type="dxa"/>
                    <w:left w:w="15" w:type="dxa"/>
                    <w:right w:w="15" w:type="dxa"/>
                  </w:tcMar>
                  <w:vAlign w:val="center"/>
                </w:tcPr>
                <w:p>
                  <w:pPr>
                    <w:widowControl/>
                    <w:jc w:val="center"/>
                    <w:textAlignment w:val="center"/>
                    <w:rPr>
                      <w:color w:val="auto"/>
                      <w:szCs w:val="21"/>
                      <w:u w:val="single"/>
                    </w:rPr>
                  </w:pPr>
                  <w:r>
                    <w:rPr>
                      <w:color w:val="auto"/>
                      <w:spacing w:val="-5"/>
                      <w:kern w:val="0"/>
                      <w:szCs w:val="21"/>
                      <w:u w:val="single"/>
                    </w:rPr>
                    <w:t>2020.7.8</w:t>
                  </w:r>
                </w:p>
              </w:tc>
              <w:tc>
                <w:tcPr>
                  <w:tcW w:w="2333" w:type="dxa"/>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firstLine="0" w:firstLineChars="0"/>
                    <w:jc w:val="center"/>
                    <w:textAlignment w:val="auto"/>
                    <w:rPr>
                      <w:color w:val="FF0000"/>
                      <w:szCs w:val="21"/>
                      <w:u w:val="single"/>
                    </w:rPr>
                  </w:pPr>
                  <w:r>
                    <w:rPr>
                      <w:rFonts w:hint="default" w:ascii="Times New Roman" w:hAnsi="Times New Roman" w:eastAsia="宋体" w:cs="Times New Roman"/>
                      <w:spacing w:val="0"/>
                      <w:sz w:val="21"/>
                      <w:szCs w:val="21"/>
                      <w:highlight w:val="none"/>
                      <w:u w:val="single"/>
                      <w:lang w:val="en-US" w:eastAsia="zh-CN" w:bidi="ar-SA"/>
                    </w:rPr>
                    <w:t>0.152</w:t>
                  </w:r>
                </w:p>
              </w:tc>
            </w:tr>
          </w:tbl>
          <w:p>
            <w:pPr>
              <w:spacing w:line="360" w:lineRule="auto"/>
              <w:ind w:firstLine="480" w:firstLineChars="200"/>
              <w:rPr>
                <w:color w:val="auto"/>
                <w:sz w:val="24"/>
                <w:u w:val="single"/>
              </w:rPr>
            </w:pPr>
            <w:r>
              <w:rPr>
                <w:rFonts w:hint="eastAsia"/>
                <w:color w:val="auto"/>
                <w:sz w:val="24"/>
                <w:u w:val="single"/>
              </w:rPr>
              <w:t>④</w:t>
            </w:r>
            <w:r>
              <w:rPr>
                <w:color w:val="auto"/>
                <w:sz w:val="24"/>
                <w:u w:val="single"/>
              </w:rPr>
              <w:t>现状评价</w:t>
            </w:r>
          </w:p>
          <w:p>
            <w:pPr>
              <w:spacing w:line="360" w:lineRule="auto"/>
              <w:ind w:firstLine="496" w:firstLineChars="200"/>
              <w:rPr>
                <w:color w:val="auto"/>
                <w:sz w:val="24"/>
                <w:u w:val="single"/>
              </w:rPr>
            </w:pPr>
            <w:r>
              <w:rPr>
                <w:color w:val="auto"/>
                <w:spacing w:val="4"/>
                <w:sz w:val="24"/>
                <w:u w:val="single"/>
              </w:rPr>
              <w:t>根据上述监测数据，</w:t>
            </w:r>
            <w:r>
              <w:rPr>
                <w:color w:val="auto"/>
                <w:sz w:val="24"/>
                <w:u w:val="single"/>
              </w:rPr>
              <w:t>对环境空气现状监测数据进行了达标统计分析，结果见表</w:t>
            </w:r>
            <w:r>
              <w:rPr>
                <w:rFonts w:hint="eastAsia"/>
                <w:color w:val="auto"/>
                <w:sz w:val="24"/>
                <w:u w:val="single"/>
              </w:rPr>
              <w:t>3</w:t>
            </w:r>
            <w:r>
              <w:rPr>
                <w:color w:val="auto"/>
                <w:sz w:val="24"/>
                <w:u w:val="single"/>
              </w:rPr>
              <w:t>-5。</w:t>
            </w:r>
          </w:p>
          <w:p>
            <w:pPr>
              <w:jc w:val="center"/>
              <w:rPr>
                <w:b/>
                <w:color w:val="auto"/>
                <w:szCs w:val="21"/>
                <w:u w:val="single"/>
                <w:vertAlign w:val="superscript"/>
              </w:rPr>
            </w:pPr>
            <w:r>
              <w:rPr>
                <w:b/>
                <w:color w:val="auto"/>
                <w:szCs w:val="21"/>
                <w:u w:val="single"/>
              </w:rPr>
              <w:t>表</w:t>
            </w:r>
            <w:r>
              <w:rPr>
                <w:rFonts w:hint="eastAsia"/>
                <w:b/>
                <w:color w:val="auto"/>
                <w:szCs w:val="21"/>
                <w:u w:val="single"/>
              </w:rPr>
              <w:t>3</w:t>
            </w:r>
            <w:r>
              <w:rPr>
                <w:b/>
                <w:color w:val="auto"/>
                <w:szCs w:val="21"/>
                <w:u w:val="single"/>
              </w:rPr>
              <w:t>-5       其它污染物环境质量现状评价表         单位：</w:t>
            </w:r>
            <w:r>
              <w:rPr>
                <w:b/>
                <w:color w:val="auto"/>
                <w:spacing w:val="-5"/>
                <w:kern w:val="0"/>
                <w:szCs w:val="21"/>
                <w:u w:val="single"/>
              </w:rPr>
              <w:t>mg/m</w:t>
            </w:r>
            <w:r>
              <w:rPr>
                <w:b/>
                <w:color w:val="auto"/>
                <w:spacing w:val="-5"/>
                <w:kern w:val="0"/>
                <w:szCs w:val="21"/>
                <w:u w:val="single"/>
                <w:vertAlign w:val="superscript"/>
              </w:rPr>
              <w:t>3</w:t>
            </w:r>
          </w:p>
          <w:tbl>
            <w:tblPr>
              <w:tblStyle w:val="28"/>
              <w:tblW w:w="498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7"/>
              <w:gridCol w:w="942"/>
              <w:gridCol w:w="874"/>
              <w:gridCol w:w="1258"/>
              <w:gridCol w:w="1363"/>
              <w:gridCol w:w="931"/>
              <w:gridCol w:w="875"/>
              <w:gridCol w:w="8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blHeader/>
              </w:trPr>
              <w:tc>
                <w:tcPr>
                  <w:tcW w:w="718" w:type="pct"/>
                  <w:vMerge w:val="restart"/>
                  <w:shd w:val="clear" w:color="auto" w:fill="auto"/>
                  <w:noWrap/>
                  <w:vAlign w:val="center"/>
                </w:tcPr>
                <w:p>
                  <w:pPr>
                    <w:jc w:val="center"/>
                    <w:rPr>
                      <w:b/>
                      <w:color w:val="auto"/>
                      <w:szCs w:val="21"/>
                      <w:u w:val="single"/>
                    </w:rPr>
                  </w:pPr>
                  <w:r>
                    <w:rPr>
                      <w:b/>
                      <w:color w:val="auto"/>
                      <w:szCs w:val="21"/>
                      <w:u w:val="single"/>
                    </w:rPr>
                    <w:t>监测点位</w:t>
                  </w:r>
                </w:p>
              </w:tc>
              <w:tc>
                <w:tcPr>
                  <w:tcW w:w="570" w:type="pct"/>
                  <w:vMerge w:val="restart"/>
                  <w:shd w:val="clear" w:color="auto" w:fill="auto"/>
                  <w:noWrap/>
                  <w:vAlign w:val="center"/>
                </w:tcPr>
                <w:p>
                  <w:pPr>
                    <w:jc w:val="center"/>
                    <w:rPr>
                      <w:b/>
                      <w:color w:val="auto"/>
                      <w:szCs w:val="21"/>
                      <w:u w:val="single"/>
                    </w:rPr>
                  </w:pPr>
                  <w:r>
                    <w:rPr>
                      <w:b/>
                      <w:color w:val="auto"/>
                      <w:szCs w:val="21"/>
                      <w:u w:val="single"/>
                    </w:rPr>
                    <w:t>污染物</w:t>
                  </w:r>
                </w:p>
              </w:tc>
              <w:tc>
                <w:tcPr>
                  <w:tcW w:w="529" w:type="pct"/>
                  <w:vMerge w:val="restart"/>
                  <w:shd w:val="clear" w:color="auto" w:fill="auto"/>
                  <w:noWrap/>
                  <w:vAlign w:val="center"/>
                </w:tcPr>
                <w:p>
                  <w:pPr>
                    <w:jc w:val="center"/>
                    <w:rPr>
                      <w:b/>
                      <w:color w:val="auto"/>
                      <w:szCs w:val="21"/>
                      <w:u w:val="single"/>
                    </w:rPr>
                  </w:pPr>
                  <w:r>
                    <w:rPr>
                      <w:b/>
                      <w:color w:val="auto"/>
                      <w:szCs w:val="21"/>
                      <w:u w:val="single"/>
                    </w:rPr>
                    <w:t>平均时间</w:t>
                  </w:r>
                </w:p>
              </w:tc>
              <w:tc>
                <w:tcPr>
                  <w:tcW w:w="761" w:type="pct"/>
                  <w:vMerge w:val="restart"/>
                  <w:shd w:val="clear" w:color="auto" w:fill="auto"/>
                  <w:noWrap/>
                  <w:vAlign w:val="center"/>
                </w:tcPr>
                <w:p>
                  <w:pPr>
                    <w:jc w:val="center"/>
                    <w:rPr>
                      <w:b/>
                      <w:color w:val="auto"/>
                      <w:szCs w:val="21"/>
                      <w:u w:val="single"/>
                    </w:rPr>
                  </w:pPr>
                  <w:r>
                    <w:rPr>
                      <w:b/>
                      <w:color w:val="auto"/>
                      <w:szCs w:val="21"/>
                      <w:u w:val="single"/>
                    </w:rPr>
                    <w:t>评价标准/（</w:t>
                  </w:r>
                  <w:r>
                    <w:rPr>
                      <w:b/>
                      <w:color w:val="auto"/>
                      <w:spacing w:val="-5"/>
                      <w:kern w:val="0"/>
                      <w:szCs w:val="21"/>
                      <w:u w:val="single"/>
                    </w:rPr>
                    <w:t>mg/m</w:t>
                  </w:r>
                  <w:r>
                    <w:rPr>
                      <w:b/>
                      <w:color w:val="auto"/>
                      <w:spacing w:val="-5"/>
                      <w:kern w:val="0"/>
                      <w:szCs w:val="21"/>
                      <w:u w:val="single"/>
                      <w:vertAlign w:val="superscript"/>
                    </w:rPr>
                    <w:t>3</w:t>
                  </w:r>
                  <w:r>
                    <w:rPr>
                      <w:b/>
                      <w:color w:val="auto"/>
                      <w:szCs w:val="21"/>
                      <w:u w:val="single"/>
                    </w:rPr>
                    <w:t>）</w:t>
                  </w:r>
                </w:p>
              </w:tc>
              <w:tc>
                <w:tcPr>
                  <w:tcW w:w="825" w:type="pct"/>
                  <w:vMerge w:val="restart"/>
                  <w:shd w:val="clear" w:color="auto" w:fill="auto"/>
                  <w:noWrap/>
                  <w:vAlign w:val="center"/>
                </w:tcPr>
                <w:p>
                  <w:pPr>
                    <w:jc w:val="center"/>
                    <w:rPr>
                      <w:b/>
                      <w:color w:val="auto"/>
                      <w:szCs w:val="21"/>
                      <w:u w:val="single"/>
                    </w:rPr>
                  </w:pPr>
                  <w:r>
                    <w:rPr>
                      <w:b/>
                      <w:color w:val="auto"/>
                      <w:szCs w:val="21"/>
                      <w:u w:val="single"/>
                    </w:rPr>
                    <w:t>监测浓度范围/（</w:t>
                  </w:r>
                  <w:r>
                    <w:rPr>
                      <w:b/>
                      <w:color w:val="auto"/>
                      <w:spacing w:val="-5"/>
                      <w:kern w:val="0"/>
                      <w:szCs w:val="21"/>
                      <w:u w:val="single"/>
                    </w:rPr>
                    <w:t>mg/m</w:t>
                  </w:r>
                  <w:r>
                    <w:rPr>
                      <w:b/>
                      <w:color w:val="auto"/>
                      <w:spacing w:val="-5"/>
                      <w:kern w:val="0"/>
                      <w:szCs w:val="21"/>
                      <w:u w:val="single"/>
                      <w:vertAlign w:val="superscript"/>
                    </w:rPr>
                    <w:t>3</w:t>
                  </w:r>
                  <w:r>
                    <w:rPr>
                      <w:b/>
                      <w:color w:val="auto"/>
                      <w:szCs w:val="21"/>
                      <w:u w:val="single"/>
                    </w:rPr>
                    <w:t>）</w:t>
                  </w:r>
                </w:p>
              </w:tc>
              <w:tc>
                <w:tcPr>
                  <w:tcW w:w="563" w:type="pct"/>
                  <w:vMerge w:val="restart"/>
                  <w:shd w:val="clear" w:color="auto" w:fill="auto"/>
                  <w:noWrap/>
                  <w:vAlign w:val="center"/>
                </w:tcPr>
                <w:p>
                  <w:pPr>
                    <w:jc w:val="center"/>
                    <w:rPr>
                      <w:b/>
                      <w:color w:val="auto"/>
                      <w:szCs w:val="21"/>
                      <w:u w:val="single"/>
                    </w:rPr>
                  </w:pPr>
                  <w:r>
                    <w:rPr>
                      <w:b/>
                      <w:color w:val="auto"/>
                      <w:szCs w:val="21"/>
                      <w:u w:val="single"/>
                    </w:rPr>
                    <w:t>最大浓度占标率/%</w:t>
                  </w:r>
                </w:p>
              </w:tc>
              <w:tc>
                <w:tcPr>
                  <w:tcW w:w="529" w:type="pct"/>
                  <w:vMerge w:val="restart"/>
                  <w:shd w:val="clear" w:color="auto" w:fill="auto"/>
                  <w:noWrap/>
                  <w:vAlign w:val="center"/>
                </w:tcPr>
                <w:p>
                  <w:pPr>
                    <w:jc w:val="center"/>
                    <w:rPr>
                      <w:b/>
                      <w:color w:val="auto"/>
                      <w:szCs w:val="21"/>
                      <w:u w:val="single"/>
                    </w:rPr>
                  </w:pPr>
                  <w:r>
                    <w:rPr>
                      <w:b/>
                      <w:color w:val="auto"/>
                      <w:szCs w:val="21"/>
                      <w:u w:val="single"/>
                    </w:rPr>
                    <w:t>超标率/%</w:t>
                  </w:r>
                </w:p>
              </w:tc>
              <w:tc>
                <w:tcPr>
                  <w:tcW w:w="500" w:type="pct"/>
                  <w:vMerge w:val="restart"/>
                  <w:shd w:val="clear" w:color="auto" w:fill="auto"/>
                  <w:noWrap/>
                  <w:vAlign w:val="center"/>
                </w:tcPr>
                <w:p>
                  <w:pPr>
                    <w:jc w:val="center"/>
                    <w:rPr>
                      <w:b/>
                      <w:color w:val="auto"/>
                      <w:szCs w:val="21"/>
                      <w:u w:val="single"/>
                    </w:rPr>
                  </w:pPr>
                  <w:r>
                    <w:rPr>
                      <w:b/>
                      <w:color w:val="auto"/>
                      <w:szCs w:val="21"/>
                      <w:u w:val="single"/>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blHeader/>
              </w:trPr>
              <w:tc>
                <w:tcPr>
                  <w:tcW w:w="718" w:type="pct"/>
                  <w:vMerge w:val="continue"/>
                  <w:shd w:val="clear" w:color="auto" w:fill="auto"/>
                  <w:noWrap/>
                  <w:vAlign w:val="center"/>
                </w:tcPr>
                <w:p>
                  <w:pPr>
                    <w:jc w:val="center"/>
                    <w:rPr>
                      <w:b/>
                      <w:color w:val="FF0000"/>
                      <w:szCs w:val="21"/>
                      <w:u w:val="single"/>
                    </w:rPr>
                  </w:pPr>
                </w:p>
              </w:tc>
              <w:tc>
                <w:tcPr>
                  <w:tcW w:w="570" w:type="pct"/>
                  <w:vMerge w:val="continue"/>
                  <w:shd w:val="clear" w:color="auto" w:fill="auto"/>
                  <w:noWrap/>
                  <w:vAlign w:val="center"/>
                </w:tcPr>
                <w:p>
                  <w:pPr>
                    <w:jc w:val="center"/>
                    <w:rPr>
                      <w:b/>
                      <w:color w:val="FF0000"/>
                      <w:szCs w:val="21"/>
                      <w:u w:val="single"/>
                    </w:rPr>
                  </w:pPr>
                </w:p>
              </w:tc>
              <w:tc>
                <w:tcPr>
                  <w:tcW w:w="529" w:type="pct"/>
                  <w:vMerge w:val="continue"/>
                  <w:shd w:val="clear" w:color="auto" w:fill="auto"/>
                  <w:noWrap/>
                  <w:vAlign w:val="center"/>
                </w:tcPr>
                <w:p>
                  <w:pPr>
                    <w:jc w:val="center"/>
                    <w:rPr>
                      <w:b/>
                      <w:color w:val="FF0000"/>
                      <w:szCs w:val="21"/>
                      <w:u w:val="single"/>
                    </w:rPr>
                  </w:pPr>
                </w:p>
              </w:tc>
              <w:tc>
                <w:tcPr>
                  <w:tcW w:w="761" w:type="pct"/>
                  <w:vMerge w:val="continue"/>
                  <w:shd w:val="clear" w:color="auto" w:fill="auto"/>
                  <w:noWrap/>
                  <w:vAlign w:val="center"/>
                </w:tcPr>
                <w:p>
                  <w:pPr>
                    <w:jc w:val="center"/>
                    <w:rPr>
                      <w:b/>
                      <w:color w:val="FF0000"/>
                      <w:szCs w:val="21"/>
                      <w:u w:val="single"/>
                    </w:rPr>
                  </w:pPr>
                </w:p>
              </w:tc>
              <w:tc>
                <w:tcPr>
                  <w:tcW w:w="825" w:type="pct"/>
                  <w:vMerge w:val="continue"/>
                  <w:shd w:val="clear" w:color="auto" w:fill="auto"/>
                  <w:noWrap/>
                  <w:vAlign w:val="center"/>
                </w:tcPr>
                <w:p>
                  <w:pPr>
                    <w:jc w:val="center"/>
                    <w:rPr>
                      <w:b/>
                      <w:color w:val="auto"/>
                      <w:szCs w:val="21"/>
                      <w:u w:val="single"/>
                    </w:rPr>
                  </w:pPr>
                </w:p>
              </w:tc>
              <w:tc>
                <w:tcPr>
                  <w:tcW w:w="563" w:type="pct"/>
                  <w:vMerge w:val="continue"/>
                  <w:shd w:val="clear" w:color="auto" w:fill="auto"/>
                  <w:noWrap/>
                  <w:vAlign w:val="center"/>
                </w:tcPr>
                <w:p>
                  <w:pPr>
                    <w:jc w:val="center"/>
                    <w:rPr>
                      <w:b/>
                      <w:color w:val="FF0000"/>
                      <w:szCs w:val="21"/>
                      <w:u w:val="single"/>
                    </w:rPr>
                  </w:pPr>
                </w:p>
              </w:tc>
              <w:tc>
                <w:tcPr>
                  <w:tcW w:w="529" w:type="pct"/>
                  <w:vMerge w:val="continue"/>
                  <w:shd w:val="clear" w:color="auto" w:fill="auto"/>
                  <w:noWrap/>
                  <w:vAlign w:val="center"/>
                </w:tcPr>
                <w:p>
                  <w:pPr>
                    <w:jc w:val="center"/>
                    <w:rPr>
                      <w:b/>
                      <w:color w:val="FF0000"/>
                      <w:szCs w:val="21"/>
                      <w:u w:val="single"/>
                    </w:rPr>
                  </w:pPr>
                </w:p>
              </w:tc>
              <w:tc>
                <w:tcPr>
                  <w:tcW w:w="500" w:type="pct"/>
                  <w:vMerge w:val="continue"/>
                  <w:shd w:val="clear" w:color="auto" w:fill="auto"/>
                  <w:noWrap/>
                  <w:vAlign w:val="center"/>
                </w:tcPr>
                <w:p>
                  <w:pPr>
                    <w:jc w:val="center"/>
                    <w:rPr>
                      <w:b/>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trPr>
              <w:tc>
                <w:tcPr>
                  <w:tcW w:w="718" w:type="pct"/>
                  <w:shd w:val="clear" w:color="auto" w:fill="auto"/>
                  <w:noWrap/>
                  <w:vAlign w:val="center"/>
                </w:tcPr>
                <w:p>
                  <w:pPr>
                    <w:pStyle w:val="93"/>
                    <w:spacing w:beforeLines="20" w:afterLines="20" w:line="300" w:lineRule="exact"/>
                    <w:rPr>
                      <w:color w:val="auto"/>
                      <w:szCs w:val="21"/>
                      <w:u w:val="single"/>
                    </w:rPr>
                  </w:pPr>
                  <w:r>
                    <w:rPr>
                      <w:color w:val="auto"/>
                      <w:szCs w:val="21"/>
                      <w:u w:val="single"/>
                    </w:rPr>
                    <w:t>G1 项目</w:t>
                  </w:r>
                  <w:r>
                    <w:rPr>
                      <w:rFonts w:hint="eastAsia"/>
                      <w:color w:val="auto"/>
                      <w:szCs w:val="21"/>
                      <w:u w:val="single"/>
                      <w:lang w:val="en-US" w:eastAsia="zh-CN"/>
                    </w:rPr>
                    <w:t>地</w:t>
                  </w:r>
                </w:p>
              </w:tc>
              <w:tc>
                <w:tcPr>
                  <w:tcW w:w="570" w:type="pct"/>
                  <w:shd w:val="clear" w:color="auto" w:fill="auto"/>
                  <w:noWrap/>
                  <w:vAlign w:val="center"/>
                </w:tcPr>
                <w:p>
                  <w:pPr>
                    <w:pStyle w:val="93"/>
                    <w:spacing w:beforeLines="20" w:afterLines="20" w:line="300" w:lineRule="exact"/>
                    <w:rPr>
                      <w:color w:val="auto"/>
                      <w:szCs w:val="21"/>
                      <w:u w:val="single"/>
                    </w:rPr>
                  </w:pPr>
                  <w:r>
                    <w:rPr>
                      <w:color w:val="auto"/>
                      <w:szCs w:val="21"/>
                      <w:u w:val="single"/>
                    </w:rPr>
                    <w:t>总</w:t>
                  </w:r>
                  <w:r>
                    <w:rPr>
                      <w:rFonts w:hint="eastAsia"/>
                      <w:color w:val="auto"/>
                      <w:szCs w:val="21"/>
                      <w:u w:val="single"/>
                      <w:lang w:val="en-US" w:eastAsia="zh-CN"/>
                    </w:rPr>
                    <w:t>悬浮颗粒物</w:t>
                  </w:r>
                </w:p>
              </w:tc>
              <w:tc>
                <w:tcPr>
                  <w:tcW w:w="529" w:type="pct"/>
                  <w:shd w:val="clear" w:color="auto" w:fill="auto"/>
                  <w:noWrap/>
                  <w:vAlign w:val="center"/>
                </w:tcPr>
                <w:p>
                  <w:pPr>
                    <w:adjustRightInd w:val="0"/>
                    <w:snapToGrid w:val="0"/>
                    <w:jc w:val="center"/>
                    <w:rPr>
                      <w:rFonts w:hint="eastAsia" w:eastAsia="宋体"/>
                      <w:color w:val="auto"/>
                      <w:szCs w:val="21"/>
                      <w:u w:val="single"/>
                      <w:lang w:eastAsia="zh-CN"/>
                    </w:rPr>
                  </w:pPr>
                  <w:r>
                    <w:rPr>
                      <w:rFonts w:hint="eastAsia"/>
                      <w:color w:val="auto"/>
                      <w:szCs w:val="21"/>
                      <w:u w:val="single"/>
                      <w:lang w:val="en-US" w:eastAsia="zh-CN"/>
                    </w:rPr>
                    <w:t>日均值</w:t>
                  </w:r>
                </w:p>
              </w:tc>
              <w:tc>
                <w:tcPr>
                  <w:tcW w:w="761" w:type="pct"/>
                  <w:shd w:val="clear" w:color="auto" w:fill="auto"/>
                  <w:noWrap/>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0.3</w:t>
                  </w:r>
                </w:p>
              </w:tc>
              <w:tc>
                <w:tcPr>
                  <w:tcW w:w="825" w:type="pct"/>
                  <w:shd w:val="clear" w:color="auto" w:fill="auto"/>
                  <w:noWrap/>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0.137</w:t>
                  </w:r>
                  <w:r>
                    <w:rPr>
                      <w:color w:val="auto"/>
                      <w:szCs w:val="21"/>
                      <w:u w:val="single"/>
                    </w:rPr>
                    <w:t>~</w:t>
                  </w:r>
                  <w:r>
                    <w:rPr>
                      <w:rFonts w:hint="eastAsia"/>
                      <w:color w:val="auto"/>
                      <w:szCs w:val="21"/>
                      <w:u w:val="single"/>
                      <w:lang w:val="en-US" w:eastAsia="zh-CN"/>
                    </w:rPr>
                    <w:t>0.164</w:t>
                  </w:r>
                </w:p>
              </w:tc>
              <w:tc>
                <w:tcPr>
                  <w:tcW w:w="563" w:type="pct"/>
                  <w:shd w:val="clear" w:color="auto" w:fill="auto"/>
                  <w:noWrap/>
                  <w:vAlign w:val="center"/>
                </w:tcPr>
                <w:p>
                  <w:pPr>
                    <w:jc w:val="center"/>
                    <w:rPr>
                      <w:color w:val="auto"/>
                      <w:szCs w:val="21"/>
                      <w:u w:val="single"/>
                    </w:rPr>
                  </w:pPr>
                  <w:r>
                    <w:rPr>
                      <w:rFonts w:hint="eastAsia"/>
                      <w:color w:val="auto"/>
                      <w:szCs w:val="21"/>
                      <w:u w:val="single"/>
                      <w:lang w:val="en-US" w:eastAsia="zh-CN"/>
                    </w:rPr>
                    <w:t>54.67</w:t>
                  </w:r>
                  <w:r>
                    <w:rPr>
                      <w:color w:val="auto"/>
                      <w:szCs w:val="21"/>
                      <w:u w:val="single"/>
                    </w:rPr>
                    <w:t>%</w:t>
                  </w:r>
                </w:p>
              </w:tc>
              <w:tc>
                <w:tcPr>
                  <w:tcW w:w="529" w:type="pct"/>
                  <w:shd w:val="clear" w:color="auto" w:fill="auto"/>
                  <w:noWrap/>
                  <w:vAlign w:val="center"/>
                </w:tcPr>
                <w:p>
                  <w:pPr>
                    <w:jc w:val="center"/>
                    <w:rPr>
                      <w:color w:val="auto"/>
                      <w:szCs w:val="21"/>
                      <w:u w:val="single"/>
                    </w:rPr>
                  </w:pPr>
                  <w:r>
                    <w:rPr>
                      <w:color w:val="auto"/>
                      <w:szCs w:val="21"/>
                      <w:u w:val="single"/>
                    </w:rPr>
                    <w:t>0</w:t>
                  </w:r>
                </w:p>
              </w:tc>
              <w:tc>
                <w:tcPr>
                  <w:tcW w:w="500" w:type="pct"/>
                  <w:shd w:val="clear" w:color="auto" w:fill="auto"/>
                  <w:noWrap/>
                  <w:vAlign w:val="center"/>
                </w:tcPr>
                <w:p>
                  <w:pPr>
                    <w:jc w:val="center"/>
                    <w:rPr>
                      <w:color w:val="auto"/>
                      <w:szCs w:val="21"/>
                      <w:u w:val="single"/>
                    </w:rPr>
                  </w:pPr>
                  <w:r>
                    <w:rPr>
                      <w:color w:val="auto"/>
                      <w:szCs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trPr>
              <w:tc>
                <w:tcPr>
                  <w:tcW w:w="718" w:type="pct"/>
                  <w:shd w:val="clear" w:color="auto" w:fill="auto"/>
                  <w:noWrap/>
                  <w:vAlign w:val="center"/>
                </w:tcPr>
                <w:p>
                  <w:pPr>
                    <w:pStyle w:val="93"/>
                    <w:spacing w:beforeLines="20" w:afterLines="20" w:line="300" w:lineRule="exact"/>
                    <w:rPr>
                      <w:color w:val="auto"/>
                      <w:szCs w:val="21"/>
                      <w:u w:val="single"/>
                    </w:rPr>
                  </w:pPr>
                  <w:r>
                    <w:rPr>
                      <w:color w:val="auto"/>
                      <w:szCs w:val="21"/>
                      <w:u w:val="single"/>
                    </w:rPr>
                    <w:t>G2 项目</w:t>
                  </w:r>
                  <w:r>
                    <w:rPr>
                      <w:rFonts w:hint="eastAsia"/>
                      <w:color w:val="auto"/>
                      <w:szCs w:val="21"/>
                      <w:u w:val="single"/>
                      <w:lang w:val="en-US" w:eastAsia="zh-CN"/>
                    </w:rPr>
                    <w:t>下风向</w:t>
                  </w:r>
                </w:p>
              </w:tc>
              <w:tc>
                <w:tcPr>
                  <w:tcW w:w="570" w:type="pct"/>
                  <w:shd w:val="clear" w:color="auto" w:fill="auto"/>
                  <w:noWrap/>
                  <w:vAlign w:val="center"/>
                </w:tcPr>
                <w:p>
                  <w:pPr>
                    <w:pStyle w:val="93"/>
                    <w:spacing w:beforeLines="20" w:afterLines="20" w:line="300" w:lineRule="exact"/>
                    <w:rPr>
                      <w:color w:val="auto"/>
                      <w:szCs w:val="21"/>
                      <w:u w:val="single"/>
                    </w:rPr>
                  </w:pPr>
                  <w:r>
                    <w:rPr>
                      <w:color w:val="auto"/>
                      <w:szCs w:val="21"/>
                      <w:u w:val="single"/>
                    </w:rPr>
                    <w:t>总</w:t>
                  </w:r>
                  <w:r>
                    <w:rPr>
                      <w:rFonts w:hint="eastAsia"/>
                      <w:color w:val="auto"/>
                      <w:szCs w:val="21"/>
                      <w:u w:val="single"/>
                      <w:lang w:val="en-US" w:eastAsia="zh-CN"/>
                    </w:rPr>
                    <w:t>悬浮颗粒物</w:t>
                  </w:r>
                </w:p>
              </w:tc>
              <w:tc>
                <w:tcPr>
                  <w:tcW w:w="529" w:type="pct"/>
                  <w:shd w:val="clear" w:color="auto" w:fill="auto"/>
                  <w:noWrap/>
                  <w:vAlign w:val="center"/>
                </w:tcPr>
                <w:p>
                  <w:pPr>
                    <w:adjustRightInd w:val="0"/>
                    <w:snapToGrid w:val="0"/>
                    <w:jc w:val="center"/>
                    <w:rPr>
                      <w:rFonts w:hint="eastAsia" w:eastAsia="宋体"/>
                      <w:color w:val="auto"/>
                      <w:szCs w:val="21"/>
                      <w:u w:val="single"/>
                      <w:lang w:eastAsia="zh-CN"/>
                    </w:rPr>
                  </w:pPr>
                  <w:r>
                    <w:rPr>
                      <w:rFonts w:hint="eastAsia"/>
                      <w:color w:val="auto"/>
                      <w:szCs w:val="21"/>
                      <w:u w:val="single"/>
                      <w:lang w:val="en-US" w:eastAsia="zh-CN"/>
                    </w:rPr>
                    <w:t>日均值</w:t>
                  </w:r>
                </w:p>
              </w:tc>
              <w:tc>
                <w:tcPr>
                  <w:tcW w:w="761" w:type="pct"/>
                  <w:shd w:val="clear" w:color="auto" w:fill="auto"/>
                  <w:noWrap/>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0.3</w:t>
                  </w:r>
                </w:p>
              </w:tc>
              <w:tc>
                <w:tcPr>
                  <w:tcW w:w="825" w:type="pct"/>
                  <w:shd w:val="clear" w:color="auto" w:fill="auto"/>
                  <w:noWrap/>
                  <w:vAlign w:val="center"/>
                </w:tcPr>
                <w:p>
                  <w:pPr>
                    <w:jc w:val="center"/>
                    <w:rPr>
                      <w:rFonts w:hint="default" w:eastAsia="宋体"/>
                      <w:color w:val="auto"/>
                      <w:szCs w:val="21"/>
                      <w:u w:val="single"/>
                      <w:lang w:val="en-US" w:eastAsia="zh-CN"/>
                    </w:rPr>
                  </w:pPr>
                  <w:r>
                    <w:rPr>
                      <w:rFonts w:hint="eastAsia"/>
                      <w:color w:val="auto"/>
                      <w:szCs w:val="21"/>
                      <w:u w:val="single"/>
                      <w:lang w:val="en-US" w:eastAsia="zh-CN"/>
                    </w:rPr>
                    <w:t>0.124</w:t>
                  </w:r>
                  <w:r>
                    <w:rPr>
                      <w:color w:val="auto"/>
                      <w:szCs w:val="21"/>
                      <w:u w:val="single"/>
                    </w:rPr>
                    <w:t>~</w:t>
                  </w:r>
                  <w:r>
                    <w:rPr>
                      <w:rFonts w:hint="eastAsia"/>
                      <w:color w:val="auto"/>
                      <w:szCs w:val="21"/>
                      <w:u w:val="single"/>
                      <w:lang w:val="en-US" w:eastAsia="zh-CN"/>
                    </w:rPr>
                    <w:t>0.156</w:t>
                  </w:r>
                </w:p>
              </w:tc>
              <w:tc>
                <w:tcPr>
                  <w:tcW w:w="563" w:type="pct"/>
                  <w:shd w:val="clear" w:color="auto" w:fill="auto"/>
                  <w:noWrap/>
                  <w:vAlign w:val="center"/>
                </w:tcPr>
                <w:p>
                  <w:pPr>
                    <w:jc w:val="center"/>
                    <w:rPr>
                      <w:color w:val="auto"/>
                      <w:szCs w:val="21"/>
                      <w:u w:val="single"/>
                    </w:rPr>
                  </w:pPr>
                  <w:r>
                    <w:rPr>
                      <w:rFonts w:hint="eastAsia"/>
                      <w:color w:val="auto"/>
                      <w:szCs w:val="21"/>
                      <w:u w:val="single"/>
                      <w:lang w:val="en-US" w:eastAsia="zh-CN"/>
                    </w:rPr>
                    <w:t>52</w:t>
                  </w:r>
                  <w:r>
                    <w:rPr>
                      <w:color w:val="auto"/>
                      <w:szCs w:val="21"/>
                      <w:u w:val="single"/>
                    </w:rPr>
                    <w:t>%</w:t>
                  </w:r>
                </w:p>
              </w:tc>
              <w:tc>
                <w:tcPr>
                  <w:tcW w:w="529" w:type="pct"/>
                  <w:shd w:val="clear" w:color="auto" w:fill="auto"/>
                  <w:noWrap/>
                  <w:vAlign w:val="center"/>
                </w:tcPr>
                <w:p>
                  <w:pPr>
                    <w:jc w:val="center"/>
                    <w:rPr>
                      <w:color w:val="auto"/>
                      <w:szCs w:val="21"/>
                      <w:u w:val="single"/>
                    </w:rPr>
                  </w:pPr>
                  <w:r>
                    <w:rPr>
                      <w:color w:val="auto"/>
                      <w:szCs w:val="21"/>
                      <w:u w:val="single"/>
                    </w:rPr>
                    <w:t>0</w:t>
                  </w:r>
                </w:p>
              </w:tc>
              <w:tc>
                <w:tcPr>
                  <w:tcW w:w="500" w:type="pct"/>
                  <w:shd w:val="clear" w:color="auto" w:fill="auto"/>
                  <w:noWrap/>
                  <w:vAlign w:val="center"/>
                </w:tcPr>
                <w:p>
                  <w:pPr>
                    <w:jc w:val="center"/>
                    <w:rPr>
                      <w:color w:val="auto"/>
                      <w:szCs w:val="21"/>
                      <w:u w:val="single"/>
                    </w:rPr>
                  </w:pPr>
                  <w:r>
                    <w:rPr>
                      <w:color w:val="auto"/>
                      <w:szCs w:val="21"/>
                      <w:u w:val="single"/>
                    </w:rPr>
                    <w:t>达标</w:t>
                  </w:r>
                </w:p>
              </w:tc>
            </w:tr>
          </w:tbl>
          <w:p>
            <w:pPr>
              <w:spacing w:line="520" w:lineRule="exact"/>
              <w:ind w:firstLine="480" w:firstLineChars="200"/>
              <w:rPr>
                <w:color w:val="auto"/>
                <w:sz w:val="24"/>
                <w:szCs w:val="24"/>
                <w:u w:val="single"/>
              </w:rPr>
            </w:pPr>
            <w:r>
              <w:rPr>
                <w:color w:val="auto"/>
                <w:sz w:val="24"/>
                <w:szCs w:val="24"/>
                <w:u w:val="single"/>
              </w:rPr>
              <w:t>根据湖南精科检测有限公司于2020年</w:t>
            </w:r>
            <w:r>
              <w:rPr>
                <w:rFonts w:hint="eastAsia"/>
                <w:color w:val="auto"/>
                <w:sz w:val="24"/>
                <w:szCs w:val="24"/>
                <w:u w:val="single"/>
              </w:rPr>
              <w:t>7</w:t>
            </w:r>
            <w:r>
              <w:rPr>
                <w:color w:val="auto"/>
                <w:sz w:val="24"/>
                <w:szCs w:val="24"/>
                <w:u w:val="single"/>
              </w:rPr>
              <w:t>月</w:t>
            </w:r>
            <w:r>
              <w:rPr>
                <w:rFonts w:hint="eastAsia"/>
                <w:color w:val="auto"/>
                <w:sz w:val="24"/>
                <w:szCs w:val="24"/>
                <w:u w:val="single"/>
              </w:rPr>
              <w:t>2</w:t>
            </w:r>
            <w:r>
              <w:rPr>
                <w:color w:val="auto"/>
                <w:sz w:val="24"/>
                <w:szCs w:val="24"/>
                <w:u w:val="single"/>
              </w:rPr>
              <w:t>日~</w:t>
            </w:r>
            <w:r>
              <w:rPr>
                <w:rFonts w:hint="eastAsia"/>
                <w:color w:val="auto"/>
                <w:sz w:val="24"/>
                <w:szCs w:val="24"/>
                <w:u w:val="single"/>
              </w:rPr>
              <w:t>7</w:t>
            </w:r>
            <w:r>
              <w:rPr>
                <w:color w:val="auto"/>
                <w:sz w:val="24"/>
                <w:szCs w:val="24"/>
                <w:u w:val="single"/>
              </w:rPr>
              <w:t>月</w:t>
            </w:r>
            <w:r>
              <w:rPr>
                <w:rFonts w:hint="eastAsia"/>
                <w:color w:val="auto"/>
                <w:sz w:val="24"/>
                <w:szCs w:val="24"/>
                <w:u w:val="single"/>
              </w:rPr>
              <w:t>8</w:t>
            </w:r>
            <w:r>
              <w:rPr>
                <w:color w:val="auto"/>
                <w:sz w:val="24"/>
                <w:szCs w:val="24"/>
                <w:u w:val="single"/>
              </w:rPr>
              <w:t>日对</w:t>
            </w:r>
            <w:r>
              <w:rPr>
                <w:rFonts w:hint="eastAsia"/>
                <w:color w:val="auto"/>
                <w:sz w:val="24"/>
                <w:szCs w:val="24"/>
                <w:u w:val="single"/>
              </w:rPr>
              <w:t>项目</w:t>
            </w:r>
            <w:r>
              <w:rPr>
                <w:color w:val="auto"/>
                <w:sz w:val="24"/>
                <w:szCs w:val="24"/>
                <w:u w:val="single"/>
              </w:rPr>
              <w:t>周边的环境空气监测数据，监测结果表明：项目所在区域的</w:t>
            </w:r>
            <w:r>
              <w:rPr>
                <w:rFonts w:hint="eastAsia"/>
                <w:color w:val="auto"/>
                <w:sz w:val="24"/>
                <w:szCs w:val="24"/>
                <w:u w:val="single"/>
                <w:lang w:val="en-US" w:eastAsia="zh-CN"/>
              </w:rPr>
              <w:t>总悬浮颗粒物</w:t>
            </w:r>
            <w:r>
              <w:rPr>
                <w:rFonts w:hint="eastAsia"/>
                <w:color w:val="auto"/>
                <w:sz w:val="24"/>
                <w:szCs w:val="24"/>
                <w:u w:val="single"/>
              </w:rPr>
              <w:t>均</w:t>
            </w:r>
            <w:r>
              <w:rPr>
                <w:color w:val="auto"/>
                <w:sz w:val="24"/>
                <w:szCs w:val="24"/>
                <w:u w:val="single"/>
              </w:rPr>
              <w:t>能</w:t>
            </w:r>
            <w:r>
              <w:rPr>
                <w:bCs/>
                <w:color w:val="auto"/>
                <w:sz w:val="24"/>
                <w:szCs w:val="24"/>
                <w:u w:val="single"/>
              </w:rPr>
              <w:t>满足《环境</w:t>
            </w:r>
            <w:r>
              <w:rPr>
                <w:rFonts w:hint="eastAsia"/>
                <w:bCs/>
                <w:color w:val="auto"/>
                <w:sz w:val="24"/>
                <w:szCs w:val="24"/>
                <w:u w:val="single"/>
                <w:lang w:val="en-US" w:eastAsia="zh-CN"/>
              </w:rPr>
              <w:t>空气质量标准</w:t>
            </w:r>
            <w:r>
              <w:rPr>
                <w:bCs/>
                <w:color w:val="auto"/>
                <w:sz w:val="24"/>
                <w:szCs w:val="24"/>
                <w:u w:val="single"/>
              </w:rPr>
              <w:t>》(</w:t>
            </w:r>
            <w:r>
              <w:rPr>
                <w:rFonts w:hint="eastAsia"/>
                <w:bCs/>
                <w:color w:val="auto"/>
                <w:sz w:val="24"/>
                <w:szCs w:val="24"/>
                <w:u w:val="single"/>
                <w:lang w:val="en-US" w:eastAsia="zh-CN"/>
              </w:rPr>
              <w:t>GB3095-2012</w:t>
            </w:r>
            <w:r>
              <w:rPr>
                <w:bCs/>
                <w:color w:val="auto"/>
                <w:sz w:val="24"/>
                <w:szCs w:val="24"/>
                <w:u w:val="single"/>
              </w:rPr>
              <w:t>)</w:t>
            </w:r>
            <w:r>
              <w:rPr>
                <w:rFonts w:hint="eastAsia"/>
                <w:bCs/>
                <w:color w:val="auto"/>
                <w:sz w:val="24"/>
                <w:szCs w:val="24"/>
                <w:u w:val="single"/>
                <w:lang w:val="en-US" w:eastAsia="zh-CN"/>
              </w:rPr>
              <w:t>中</w:t>
            </w:r>
            <w:r>
              <w:rPr>
                <w:bCs/>
                <w:color w:val="auto"/>
                <w:sz w:val="24"/>
                <w:szCs w:val="24"/>
                <w:u w:val="single"/>
              </w:rPr>
              <w:t>要求。</w:t>
            </w:r>
          </w:p>
          <w:p>
            <w:pPr>
              <w:spacing w:line="360" w:lineRule="auto"/>
              <w:ind w:firstLine="482" w:firstLineChars="200"/>
              <w:rPr>
                <w:rFonts w:hAnsi="宋体"/>
                <w:b/>
                <w:color w:val="auto"/>
                <w:sz w:val="24"/>
              </w:rPr>
            </w:pPr>
            <w:r>
              <w:rPr>
                <w:rFonts w:hint="eastAsia" w:hAnsi="宋体"/>
                <w:b/>
                <w:color w:val="auto"/>
                <w:sz w:val="24"/>
              </w:rPr>
              <w:t>2.水环境质量现状：</w:t>
            </w:r>
          </w:p>
          <w:p>
            <w:pPr>
              <w:widowControl/>
              <w:spacing w:line="360" w:lineRule="auto"/>
              <w:ind w:firstLine="482"/>
              <w:jc w:val="left"/>
              <w:rPr>
                <w:sz w:val="24"/>
              </w:rPr>
            </w:pPr>
            <w:r>
              <w:rPr>
                <w:rFonts w:hint="eastAsia"/>
                <w:sz w:val="24"/>
              </w:rPr>
              <w:t>本项目生产废水及生活废水均不外排，不会对周围水质造成影响。</w:t>
            </w:r>
            <w:r>
              <w:rPr>
                <w:sz w:val="24"/>
              </w:rPr>
              <w:t>本项目</w:t>
            </w:r>
            <w:r>
              <w:rPr>
                <w:rFonts w:hint="eastAsia"/>
                <w:sz w:val="24"/>
              </w:rPr>
              <w:t>东侧2km为华容河，项目西侧830m处为塌西湖，为了解项目地周围水环境质量，根据湖南精科检测有限公司2019年3月21日-3月23日对华容河及塌西湖实测数据</w:t>
            </w:r>
            <w:r>
              <w:rPr>
                <w:sz w:val="24"/>
              </w:rPr>
              <w:t>进行评价</w:t>
            </w:r>
            <w:r>
              <w:rPr>
                <w:rFonts w:hint="eastAsia" w:hAnsi="宋体"/>
                <w:sz w:val="24"/>
              </w:rPr>
              <w:t>。</w:t>
            </w:r>
          </w:p>
          <w:p>
            <w:pPr>
              <w:spacing w:line="360" w:lineRule="auto"/>
              <w:ind w:firstLine="480" w:firstLineChars="200"/>
              <w:rPr>
                <w:sz w:val="24"/>
              </w:rPr>
            </w:pPr>
            <w:r>
              <w:rPr>
                <w:rFonts w:hint="eastAsia"/>
                <w:sz w:val="24"/>
              </w:rPr>
              <w:t>（1）监测布点</w:t>
            </w:r>
          </w:p>
          <w:p>
            <w:pPr>
              <w:spacing w:line="360" w:lineRule="auto"/>
              <w:ind w:firstLine="480" w:firstLineChars="200"/>
              <w:rPr>
                <w:sz w:val="24"/>
              </w:rPr>
            </w:pPr>
            <w:r>
              <w:rPr>
                <w:rFonts w:hint="eastAsia"/>
                <w:sz w:val="24"/>
              </w:rPr>
              <w:t>项目东侧华容河、项目西侧塌西湖监测断面</w:t>
            </w:r>
            <w:r>
              <w:rPr>
                <w:rFonts w:hint="eastAsia" w:hAnsi="宋体"/>
                <w:sz w:val="24"/>
              </w:rPr>
              <w:t>。</w:t>
            </w:r>
          </w:p>
          <w:p>
            <w:pPr>
              <w:spacing w:line="360" w:lineRule="auto"/>
              <w:ind w:firstLine="480" w:firstLineChars="200"/>
              <w:rPr>
                <w:kern w:val="28"/>
                <w:sz w:val="24"/>
              </w:rPr>
            </w:pPr>
            <w:r>
              <w:rPr>
                <w:kern w:val="28"/>
                <w:sz w:val="24"/>
              </w:rPr>
              <w:t>（2）监测项目</w:t>
            </w:r>
          </w:p>
          <w:p>
            <w:pPr>
              <w:spacing w:line="360" w:lineRule="auto"/>
              <w:ind w:right="105" w:rightChars="50" w:firstLine="480" w:firstLineChars="200"/>
              <w:rPr>
                <w:kern w:val="28"/>
                <w:sz w:val="24"/>
              </w:rPr>
            </w:pPr>
            <w:r>
              <w:rPr>
                <w:kern w:val="28"/>
                <w:sz w:val="24"/>
              </w:rPr>
              <w:t>选定为</w:t>
            </w:r>
            <w:r>
              <w:rPr>
                <w:sz w:val="24"/>
              </w:rPr>
              <w:t>pH、COD</w:t>
            </w:r>
            <w:r>
              <w:rPr>
                <w:sz w:val="24"/>
                <w:vertAlign w:val="subscript"/>
              </w:rPr>
              <w:t>Cr</w:t>
            </w:r>
            <w:r>
              <w:rPr>
                <w:sz w:val="24"/>
              </w:rPr>
              <w:t>、BOD</w:t>
            </w:r>
            <w:r>
              <w:rPr>
                <w:sz w:val="24"/>
                <w:vertAlign w:val="subscript"/>
              </w:rPr>
              <w:t>5</w:t>
            </w:r>
            <w:r>
              <w:rPr>
                <w:sz w:val="24"/>
              </w:rPr>
              <w:t>、</w:t>
            </w:r>
            <w:r>
              <w:rPr>
                <w:rFonts w:hint="eastAsia"/>
                <w:sz w:val="24"/>
              </w:rPr>
              <w:t>总氮、</w:t>
            </w:r>
            <w:r>
              <w:rPr>
                <w:sz w:val="24"/>
              </w:rPr>
              <w:t>氨氮</w:t>
            </w:r>
            <w:r>
              <w:rPr>
                <w:rFonts w:hint="eastAsia"/>
                <w:sz w:val="24"/>
              </w:rPr>
              <w:t>、总磷、悬浮物、石油类</w:t>
            </w:r>
            <w:r>
              <w:rPr>
                <w:kern w:val="28"/>
                <w:sz w:val="24"/>
              </w:rPr>
              <w:t>等。</w:t>
            </w:r>
          </w:p>
          <w:p>
            <w:pPr>
              <w:spacing w:line="360" w:lineRule="auto"/>
              <w:ind w:firstLine="480" w:firstLineChars="200"/>
              <w:rPr>
                <w:kern w:val="28"/>
                <w:sz w:val="24"/>
              </w:rPr>
            </w:pPr>
            <w:r>
              <w:rPr>
                <w:kern w:val="28"/>
                <w:sz w:val="24"/>
              </w:rPr>
              <w:t>（3）监测时间与频率</w:t>
            </w:r>
          </w:p>
          <w:p>
            <w:pPr>
              <w:spacing w:line="360" w:lineRule="auto"/>
              <w:ind w:firstLine="480" w:firstLineChars="200"/>
              <w:rPr>
                <w:kern w:val="28"/>
                <w:sz w:val="24"/>
              </w:rPr>
            </w:pPr>
            <w:r>
              <w:rPr>
                <w:kern w:val="28"/>
                <w:sz w:val="24"/>
              </w:rPr>
              <w:t>20</w:t>
            </w:r>
            <w:r>
              <w:rPr>
                <w:rFonts w:hint="eastAsia"/>
                <w:kern w:val="28"/>
                <w:sz w:val="24"/>
              </w:rPr>
              <w:t>19</w:t>
            </w:r>
            <w:r>
              <w:rPr>
                <w:kern w:val="28"/>
                <w:sz w:val="24"/>
              </w:rPr>
              <w:t>年</w:t>
            </w:r>
            <w:r>
              <w:rPr>
                <w:rFonts w:hint="eastAsia"/>
                <w:kern w:val="28"/>
                <w:sz w:val="24"/>
              </w:rPr>
              <w:t>3</w:t>
            </w:r>
            <w:r>
              <w:rPr>
                <w:kern w:val="28"/>
                <w:sz w:val="24"/>
              </w:rPr>
              <w:t>月</w:t>
            </w:r>
            <w:r>
              <w:rPr>
                <w:rFonts w:hint="eastAsia"/>
                <w:kern w:val="28"/>
                <w:sz w:val="24"/>
              </w:rPr>
              <w:t>21</w:t>
            </w:r>
            <w:r>
              <w:rPr>
                <w:kern w:val="28"/>
                <w:sz w:val="24"/>
              </w:rPr>
              <w:t>日</w:t>
            </w:r>
            <w:r>
              <w:rPr>
                <w:rFonts w:hint="eastAsia"/>
                <w:kern w:val="28"/>
                <w:sz w:val="24"/>
              </w:rPr>
              <w:t>-3月23日，采样3天，每天采样1次</w:t>
            </w:r>
            <w:r>
              <w:rPr>
                <w:kern w:val="28"/>
                <w:sz w:val="24"/>
              </w:rPr>
              <w:t>。</w:t>
            </w:r>
          </w:p>
          <w:p>
            <w:pPr>
              <w:spacing w:line="360" w:lineRule="auto"/>
              <w:ind w:firstLine="480" w:firstLineChars="200"/>
              <w:rPr>
                <w:kern w:val="28"/>
                <w:sz w:val="24"/>
              </w:rPr>
            </w:pPr>
            <w:r>
              <w:rPr>
                <w:kern w:val="28"/>
                <w:sz w:val="24"/>
              </w:rPr>
              <w:t>（</w:t>
            </w:r>
            <w:r>
              <w:rPr>
                <w:rFonts w:hint="eastAsia"/>
                <w:kern w:val="28"/>
                <w:sz w:val="24"/>
              </w:rPr>
              <w:t>4</w:t>
            </w:r>
            <w:r>
              <w:rPr>
                <w:kern w:val="28"/>
                <w:sz w:val="24"/>
              </w:rPr>
              <w:t>）监测结果统计与评价</w:t>
            </w:r>
          </w:p>
          <w:p>
            <w:pPr>
              <w:spacing w:line="500" w:lineRule="exact"/>
              <w:jc w:val="center"/>
              <w:textAlignment w:val="baseline"/>
              <w:rPr>
                <w:b/>
                <w:sz w:val="24"/>
              </w:rPr>
            </w:pPr>
            <w:r>
              <w:rPr>
                <w:rFonts w:hint="eastAsia"/>
                <w:b/>
                <w:sz w:val="24"/>
              </w:rPr>
              <w:t>表3-</w:t>
            </w:r>
            <w:r>
              <w:rPr>
                <w:rFonts w:hint="eastAsia"/>
                <w:b/>
                <w:sz w:val="24"/>
                <w:lang w:val="en-US" w:eastAsia="zh-CN"/>
              </w:rPr>
              <w:t>6</w:t>
            </w:r>
            <w:r>
              <w:rPr>
                <w:rFonts w:hint="eastAsia"/>
                <w:b/>
                <w:sz w:val="24"/>
              </w:rPr>
              <w:t xml:space="preserve"> 地表水监测数据统计 单位：mg/L（pH无量纲）</w:t>
            </w:r>
          </w:p>
          <w:tbl>
            <w:tblPr>
              <w:tblStyle w:val="28"/>
              <w:tblW w:w="836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25"/>
              <w:gridCol w:w="1126"/>
              <w:gridCol w:w="1247"/>
              <w:gridCol w:w="1146"/>
              <w:gridCol w:w="1320"/>
              <w:gridCol w:w="1057"/>
              <w:gridCol w:w="13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77" w:hRule="atLeast"/>
                <w:jc w:val="center"/>
              </w:trPr>
              <w:tc>
                <w:tcPr>
                  <w:tcW w:w="1125" w:type="dxa"/>
                  <w:vMerge w:val="restart"/>
                  <w:vAlign w:val="center"/>
                </w:tcPr>
                <w:p>
                  <w:pPr>
                    <w:spacing w:line="360" w:lineRule="auto"/>
                    <w:jc w:val="center"/>
                    <w:rPr>
                      <w:szCs w:val="21"/>
                    </w:rPr>
                  </w:pPr>
                  <w:r>
                    <w:rPr>
                      <w:rFonts w:hAnsi="宋体"/>
                      <w:szCs w:val="21"/>
                    </w:rPr>
                    <w:t>监测对象</w:t>
                  </w:r>
                </w:p>
              </w:tc>
              <w:tc>
                <w:tcPr>
                  <w:tcW w:w="1126" w:type="dxa"/>
                  <w:vMerge w:val="restart"/>
                  <w:tcBorders>
                    <w:right w:val="single" w:color="auto" w:sz="4" w:space="0"/>
                  </w:tcBorders>
                  <w:vAlign w:val="center"/>
                </w:tcPr>
                <w:p>
                  <w:pPr>
                    <w:spacing w:line="360" w:lineRule="auto"/>
                    <w:jc w:val="center"/>
                    <w:rPr>
                      <w:szCs w:val="21"/>
                    </w:rPr>
                  </w:pPr>
                  <w:r>
                    <w:rPr>
                      <w:rFonts w:hAnsi="宋体"/>
                      <w:szCs w:val="21"/>
                    </w:rPr>
                    <w:t>监测因子</w:t>
                  </w:r>
                </w:p>
              </w:tc>
              <w:tc>
                <w:tcPr>
                  <w:tcW w:w="1247" w:type="dxa"/>
                  <w:vMerge w:val="restart"/>
                  <w:tcBorders>
                    <w:left w:val="single" w:color="auto" w:sz="4" w:space="0"/>
                  </w:tcBorders>
                  <w:vAlign w:val="center"/>
                </w:tcPr>
                <w:p>
                  <w:pPr>
                    <w:spacing w:line="360" w:lineRule="auto"/>
                    <w:jc w:val="center"/>
                    <w:rPr>
                      <w:rFonts w:hAnsi="宋体"/>
                      <w:szCs w:val="21"/>
                    </w:rPr>
                  </w:pPr>
                  <w:r>
                    <w:rPr>
                      <w:rFonts w:hint="eastAsia" w:hAnsi="宋体"/>
                      <w:szCs w:val="21"/>
                    </w:rPr>
                    <w:t>监测时间</w:t>
                  </w:r>
                </w:p>
              </w:tc>
              <w:tc>
                <w:tcPr>
                  <w:tcW w:w="2466" w:type="dxa"/>
                  <w:gridSpan w:val="2"/>
                  <w:vAlign w:val="center"/>
                </w:tcPr>
                <w:p>
                  <w:pPr>
                    <w:spacing w:line="360" w:lineRule="auto"/>
                    <w:jc w:val="center"/>
                    <w:rPr>
                      <w:rFonts w:hAnsi="宋体"/>
                      <w:szCs w:val="21"/>
                    </w:rPr>
                  </w:pPr>
                  <w:r>
                    <w:rPr>
                      <w:rFonts w:hAnsi="宋体"/>
                      <w:szCs w:val="21"/>
                    </w:rPr>
                    <w:t>监测结果</w:t>
                  </w:r>
                </w:p>
              </w:tc>
              <w:tc>
                <w:tcPr>
                  <w:tcW w:w="1057" w:type="dxa"/>
                  <w:vMerge w:val="restart"/>
                  <w:vAlign w:val="center"/>
                </w:tcPr>
                <w:p>
                  <w:pPr>
                    <w:spacing w:line="360" w:lineRule="auto"/>
                    <w:jc w:val="center"/>
                    <w:rPr>
                      <w:kern w:val="0"/>
                      <w:szCs w:val="21"/>
                    </w:rPr>
                  </w:pPr>
                  <w:r>
                    <w:rPr>
                      <w:rFonts w:hint="eastAsia" w:hAnsi="宋体"/>
                      <w:kern w:val="0"/>
                      <w:szCs w:val="21"/>
                    </w:rPr>
                    <w:t>单因子指数</w:t>
                  </w:r>
                  <w:r>
                    <w:rPr>
                      <w:rFonts w:hAnsi="宋体"/>
                      <w:kern w:val="0"/>
                      <w:szCs w:val="21"/>
                    </w:rPr>
                    <w:t>（</w:t>
                  </w:r>
                  <w:r>
                    <w:rPr>
                      <w:kern w:val="0"/>
                      <w:szCs w:val="21"/>
                    </w:rPr>
                    <w:t>%</w:t>
                  </w:r>
                  <w:r>
                    <w:rPr>
                      <w:rFonts w:hAnsi="宋体"/>
                      <w:kern w:val="0"/>
                      <w:szCs w:val="21"/>
                    </w:rPr>
                    <w:t>）</w:t>
                  </w:r>
                </w:p>
              </w:tc>
              <w:tc>
                <w:tcPr>
                  <w:tcW w:w="1339" w:type="dxa"/>
                  <w:vMerge w:val="restart"/>
                  <w:vAlign w:val="center"/>
                </w:tcPr>
                <w:p>
                  <w:pPr>
                    <w:widowControl/>
                    <w:jc w:val="center"/>
                    <w:rPr>
                      <w:kern w:val="0"/>
                      <w:szCs w:val="21"/>
                    </w:rPr>
                  </w:pPr>
                  <w:r>
                    <w:rPr>
                      <w:rFonts w:hAnsi="宋体"/>
                      <w:kern w:val="0"/>
                      <w:szCs w:val="21"/>
                    </w:rPr>
                    <w:t>执行标准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1125" w:type="dxa"/>
                  <w:vMerge w:val="continue"/>
                  <w:vAlign w:val="center"/>
                </w:tcPr>
                <w:p>
                  <w:pPr>
                    <w:spacing w:line="360" w:lineRule="auto"/>
                    <w:jc w:val="center"/>
                    <w:rPr>
                      <w:szCs w:val="21"/>
                    </w:rPr>
                  </w:pPr>
                </w:p>
              </w:tc>
              <w:tc>
                <w:tcPr>
                  <w:tcW w:w="1126" w:type="dxa"/>
                  <w:vMerge w:val="continue"/>
                  <w:tcBorders>
                    <w:right w:val="single" w:color="auto" w:sz="4" w:space="0"/>
                  </w:tcBorders>
                  <w:vAlign w:val="center"/>
                </w:tcPr>
                <w:p>
                  <w:pPr>
                    <w:spacing w:line="360" w:lineRule="auto"/>
                    <w:jc w:val="center"/>
                    <w:rPr>
                      <w:szCs w:val="21"/>
                    </w:rPr>
                  </w:pPr>
                </w:p>
              </w:tc>
              <w:tc>
                <w:tcPr>
                  <w:tcW w:w="1247" w:type="dxa"/>
                  <w:vMerge w:val="continue"/>
                  <w:tcBorders>
                    <w:left w:val="single" w:color="auto" w:sz="4" w:space="0"/>
                  </w:tcBorders>
                  <w:vAlign w:val="center"/>
                </w:tcPr>
                <w:p>
                  <w:pPr>
                    <w:spacing w:line="360" w:lineRule="auto"/>
                    <w:jc w:val="center"/>
                    <w:rPr>
                      <w:szCs w:val="21"/>
                    </w:rPr>
                  </w:pPr>
                </w:p>
              </w:tc>
              <w:tc>
                <w:tcPr>
                  <w:tcW w:w="1146" w:type="dxa"/>
                  <w:tcBorders>
                    <w:right w:val="single" w:color="auto" w:sz="4" w:space="0"/>
                  </w:tcBorders>
                  <w:vAlign w:val="center"/>
                </w:tcPr>
                <w:p>
                  <w:pPr>
                    <w:widowControl/>
                    <w:jc w:val="center"/>
                    <w:rPr>
                      <w:kern w:val="0"/>
                      <w:szCs w:val="21"/>
                    </w:rPr>
                  </w:pPr>
                  <w:r>
                    <w:rPr>
                      <w:rFonts w:hAnsi="宋体"/>
                      <w:kern w:val="0"/>
                      <w:szCs w:val="21"/>
                    </w:rPr>
                    <w:t>单位</w:t>
                  </w:r>
                </w:p>
              </w:tc>
              <w:tc>
                <w:tcPr>
                  <w:tcW w:w="1320" w:type="dxa"/>
                  <w:tcBorders>
                    <w:left w:val="single" w:color="auto" w:sz="4" w:space="0"/>
                  </w:tcBorders>
                  <w:vAlign w:val="center"/>
                </w:tcPr>
                <w:p>
                  <w:pPr>
                    <w:widowControl/>
                    <w:jc w:val="center"/>
                    <w:rPr>
                      <w:kern w:val="0"/>
                      <w:szCs w:val="21"/>
                    </w:rPr>
                  </w:pPr>
                  <w:r>
                    <w:rPr>
                      <w:rFonts w:hint="eastAsia" w:hAnsi="宋体"/>
                      <w:kern w:val="0"/>
                      <w:szCs w:val="21"/>
                    </w:rPr>
                    <w:t>监测值</w:t>
                  </w:r>
                </w:p>
              </w:tc>
              <w:tc>
                <w:tcPr>
                  <w:tcW w:w="1057" w:type="dxa"/>
                  <w:vMerge w:val="continue"/>
                  <w:vAlign w:val="center"/>
                </w:tcPr>
                <w:p>
                  <w:pPr>
                    <w:spacing w:line="360" w:lineRule="auto"/>
                    <w:jc w:val="center"/>
                    <w:rPr>
                      <w:szCs w:val="21"/>
                    </w:rPr>
                  </w:pPr>
                </w:p>
              </w:tc>
              <w:tc>
                <w:tcPr>
                  <w:tcW w:w="1339" w:type="dxa"/>
                  <w:vMerge w:val="continue"/>
                  <w:vAlign w:val="center"/>
                </w:tcPr>
                <w:p>
                  <w:pPr>
                    <w:spacing w:line="360"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1125" w:type="dxa"/>
                  <w:vMerge w:val="restart"/>
                  <w:vAlign w:val="center"/>
                </w:tcPr>
                <w:p>
                  <w:pPr>
                    <w:pStyle w:val="93"/>
                    <w:widowControl/>
                    <w:spacing w:line="240" w:lineRule="exact"/>
                    <w:rPr>
                      <w:position w:val="-2"/>
                      <w:szCs w:val="21"/>
                    </w:rPr>
                  </w:pPr>
                  <w:r>
                    <w:rPr>
                      <w:rFonts w:cs="Times New Roman"/>
                      <w:szCs w:val="21"/>
                    </w:rPr>
                    <w:t>项目东侧2km处华容河（民沱江）</w:t>
                  </w:r>
                </w:p>
              </w:tc>
              <w:tc>
                <w:tcPr>
                  <w:tcW w:w="1126" w:type="dxa"/>
                  <w:vMerge w:val="restart"/>
                  <w:tcBorders>
                    <w:right w:val="single" w:color="auto" w:sz="4" w:space="0"/>
                  </w:tcBorders>
                  <w:vAlign w:val="center"/>
                </w:tcPr>
                <w:p>
                  <w:pPr>
                    <w:spacing w:line="360" w:lineRule="auto"/>
                    <w:jc w:val="center"/>
                    <w:rPr>
                      <w:szCs w:val="21"/>
                    </w:rPr>
                  </w:pPr>
                  <w:r>
                    <w:rPr>
                      <w:szCs w:val="21"/>
                    </w:rPr>
                    <w:t>pH</w:t>
                  </w:r>
                </w:p>
              </w:tc>
              <w:tc>
                <w:tcPr>
                  <w:tcW w:w="1247" w:type="dxa"/>
                  <w:tcBorders>
                    <w:left w:val="single" w:color="auto" w:sz="4" w:space="0"/>
                    <w:bottom w:val="single" w:color="auto" w:sz="4" w:space="0"/>
                  </w:tcBorders>
                  <w:vAlign w:val="center"/>
                </w:tcPr>
                <w:p>
                  <w:pPr>
                    <w:widowControl/>
                    <w:spacing w:line="240" w:lineRule="exact"/>
                    <w:jc w:val="center"/>
                    <w:textAlignment w:val="center"/>
                    <w:rPr>
                      <w:szCs w:val="21"/>
                    </w:rPr>
                  </w:pPr>
                  <w:r>
                    <w:rPr>
                      <w:spacing w:val="-5"/>
                      <w:kern w:val="0"/>
                      <w:szCs w:val="21"/>
                    </w:rPr>
                    <w:t>2019.3.21</w:t>
                  </w:r>
                </w:p>
              </w:tc>
              <w:tc>
                <w:tcPr>
                  <w:tcW w:w="1146" w:type="dxa"/>
                  <w:vMerge w:val="restart"/>
                  <w:vAlign w:val="center"/>
                </w:tcPr>
                <w:p>
                  <w:pPr>
                    <w:spacing w:line="360" w:lineRule="auto"/>
                    <w:jc w:val="center"/>
                    <w:rPr>
                      <w:szCs w:val="21"/>
                    </w:rPr>
                  </w:pPr>
                  <w:r>
                    <w:rPr>
                      <w:rFonts w:hAnsi="宋体"/>
                      <w:szCs w:val="21"/>
                    </w:rPr>
                    <w:t>无量纲</w:t>
                  </w:r>
                </w:p>
              </w:tc>
              <w:tc>
                <w:tcPr>
                  <w:tcW w:w="1320" w:type="dxa"/>
                  <w:tcBorders>
                    <w:bottom w:val="single" w:color="auto" w:sz="4" w:space="0"/>
                  </w:tcBorders>
                  <w:vAlign w:val="center"/>
                </w:tcPr>
                <w:p>
                  <w:pPr>
                    <w:pStyle w:val="93"/>
                    <w:rPr>
                      <w:szCs w:val="21"/>
                    </w:rPr>
                  </w:pPr>
                  <w:r>
                    <w:rPr>
                      <w:rFonts w:hint="eastAsia" w:cs="Times New Roman"/>
                      <w:szCs w:val="21"/>
                    </w:rPr>
                    <w:t>6.87</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7" w:hRule="atLeast"/>
                <w:jc w:val="center"/>
              </w:trPr>
              <w:tc>
                <w:tcPr>
                  <w:tcW w:w="1125" w:type="dxa"/>
                  <w:vMerge w:val="continue"/>
                  <w:vAlign w:val="center"/>
                </w:tcPr>
                <w:p>
                  <w:pPr>
                    <w:pStyle w:val="93"/>
                    <w:rPr>
                      <w:rFonts w:cs="Times New Roman"/>
                      <w:szCs w:val="21"/>
                    </w:rPr>
                  </w:pPr>
                </w:p>
              </w:tc>
              <w:tc>
                <w:tcPr>
                  <w:tcW w:w="1126" w:type="dxa"/>
                  <w:vMerge w:val="continue"/>
                  <w:tcBorders>
                    <w:right w:val="single" w:color="auto" w:sz="4" w:space="0"/>
                  </w:tcBorders>
                  <w:vAlign w:val="center"/>
                </w:tcPr>
                <w:p>
                  <w:pPr>
                    <w:spacing w:line="360" w:lineRule="auto"/>
                    <w:jc w:val="center"/>
                    <w:rPr>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szCs w:val="21"/>
                    </w:rPr>
                  </w:pPr>
                  <w:r>
                    <w:rPr>
                      <w:spacing w:val="-5"/>
                      <w:kern w:val="0"/>
                      <w:szCs w:val="21"/>
                    </w:rPr>
                    <w:t>2019.3.22</w:t>
                  </w:r>
                </w:p>
              </w:tc>
              <w:tc>
                <w:tcPr>
                  <w:tcW w:w="1146" w:type="dxa"/>
                  <w:vMerge w:val="continue"/>
                  <w:vAlign w:val="center"/>
                </w:tcPr>
                <w:p>
                  <w:pPr>
                    <w:spacing w:line="360" w:lineRule="auto"/>
                    <w:jc w:val="center"/>
                    <w:rPr>
                      <w:rFonts w:hAnsi="宋体"/>
                      <w:szCs w:val="21"/>
                    </w:rPr>
                  </w:pPr>
                </w:p>
              </w:tc>
              <w:tc>
                <w:tcPr>
                  <w:tcW w:w="1320" w:type="dxa"/>
                  <w:tcBorders>
                    <w:top w:val="single" w:color="auto" w:sz="4" w:space="0"/>
                    <w:bottom w:val="single" w:color="auto" w:sz="4" w:space="0"/>
                  </w:tcBorders>
                  <w:vAlign w:val="center"/>
                </w:tcPr>
                <w:p>
                  <w:pPr>
                    <w:pStyle w:val="93"/>
                    <w:rPr>
                      <w:szCs w:val="21"/>
                    </w:rPr>
                  </w:pPr>
                  <w:r>
                    <w:rPr>
                      <w:rFonts w:hint="eastAsia" w:cs="Times New Roman"/>
                      <w:szCs w:val="21"/>
                    </w:rPr>
                    <w:t>6.83</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1125" w:type="dxa"/>
                  <w:vMerge w:val="continue"/>
                  <w:vAlign w:val="center"/>
                </w:tcPr>
                <w:p>
                  <w:pPr>
                    <w:pStyle w:val="93"/>
                    <w:rPr>
                      <w:rFonts w:cs="Times New Roman"/>
                      <w:szCs w:val="21"/>
                    </w:rPr>
                  </w:pPr>
                </w:p>
              </w:tc>
              <w:tc>
                <w:tcPr>
                  <w:tcW w:w="1126" w:type="dxa"/>
                  <w:vMerge w:val="continue"/>
                  <w:tcBorders>
                    <w:right w:val="single" w:color="auto" w:sz="4" w:space="0"/>
                  </w:tcBorders>
                  <w:vAlign w:val="center"/>
                </w:tcPr>
                <w:p>
                  <w:pPr>
                    <w:spacing w:line="360" w:lineRule="auto"/>
                    <w:jc w:val="center"/>
                    <w:rPr>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szCs w:val="21"/>
                    </w:rPr>
                  </w:pPr>
                  <w:r>
                    <w:rPr>
                      <w:spacing w:val="-5"/>
                      <w:kern w:val="0"/>
                      <w:szCs w:val="21"/>
                    </w:rPr>
                    <w:t>2019.3.23</w:t>
                  </w:r>
                </w:p>
              </w:tc>
              <w:tc>
                <w:tcPr>
                  <w:tcW w:w="1146" w:type="dxa"/>
                  <w:vMerge w:val="continue"/>
                  <w:vAlign w:val="center"/>
                </w:tcPr>
                <w:p>
                  <w:pPr>
                    <w:spacing w:line="360" w:lineRule="auto"/>
                    <w:jc w:val="center"/>
                    <w:rPr>
                      <w:rFonts w:hAnsi="宋体"/>
                      <w:szCs w:val="21"/>
                    </w:rPr>
                  </w:pPr>
                </w:p>
              </w:tc>
              <w:tc>
                <w:tcPr>
                  <w:tcW w:w="1320" w:type="dxa"/>
                  <w:tcBorders>
                    <w:top w:val="single" w:color="auto" w:sz="4" w:space="0"/>
                  </w:tcBorders>
                  <w:vAlign w:val="center"/>
                </w:tcPr>
                <w:p>
                  <w:pPr>
                    <w:pStyle w:val="93"/>
                    <w:rPr>
                      <w:szCs w:val="21"/>
                    </w:rPr>
                  </w:pPr>
                  <w:r>
                    <w:rPr>
                      <w:rFonts w:cs="Times New Roman"/>
                      <w:szCs w:val="21"/>
                    </w:rPr>
                    <w:t>6</w:t>
                  </w:r>
                  <w:r>
                    <w:rPr>
                      <w:rFonts w:hint="eastAsia" w:cs="Times New Roman"/>
                      <w:szCs w:val="21"/>
                    </w:rPr>
                    <w:t>.78</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szCs w:val="21"/>
                    </w:rPr>
                  </w:pPr>
                  <w:r>
                    <w:rPr>
                      <w:rFonts w:hAnsi="宋体"/>
                      <w:szCs w:val="21"/>
                    </w:rPr>
                    <w:t>化学需氧量</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widowControl/>
                    <w:jc w:val="center"/>
                    <w:rPr>
                      <w:rFonts w:eastAsia="仿宋_GB2312"/>
                      <w:kern w:val="0"/>
                      <w:szCs w:val="21"/>
                    </w:rPr>
                  </w:pPr>
                  <w:r>
                    <w:rPr>
                      <w:rFonts w:hint="eastAsia" w:eastAsia="仿宋_GB2312"/>
                      <w:kern w:val="0"/>
                      <w:szCs w:val="21"/>
                    </w:rPr>
                    <w:t>17</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widowControl/>
                    <w:jc w:val="center"/>
                    <w:rPr>
                      <w:rFonts w:eastAsia="仿宋_GB2312"/>
                      <w:kern w:val="0"/>
                      <w:szCs w:val="21"/>
                    </w:rPr>
                  </w:pPr>
                  <w:r>
                    <w:rPr>
                      <w:rFonts w:hint="eastAsia" w:eastAsia="仿宋_GB2312"/>
                      <w:kern w:val="0"/>
                      <w:szCs w:val="21"/>
                    </w:rPr>
                    <w:t>18</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widowControl/>
                    <w:jc w:val="center"/>
                    <w:rPr>
                      <w:rFonts w:eastAsia="仿宋_GB2312"/>
                      <w:kern w:val="0"/>
                      <w:szCs w:val="21"/>
                    </w:rPr>
                  </w:pPr>
                  <w:r>
                    <w:rPr>
                      <w:rFonts w:hint="eastAsia" w:eastAsia="仿宋_GB2312"/>
                      <w:kern w:val="0"/>
                      <w:szCs w:val="21"/>
                    </w:rPr>
                    <w:t>17</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szCs w:val="21"/>
                    </w:rPr>
                  </w:pPr>
                  <w:r>
                    <w:rPr>
                      <w:rFonts w:hAnsi="宋体"/>
                      <w:szCs w:val="21"/>
                    </w:rPr>
                    <w:t>五日生化需氧量</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widowControl/>
                    <w:jc w:val="center"/>
                    <w:rPr>
                      <w:rFonts w:eastAsia="仿宋_GB2312"/>
                      <w:kern w:val="0"/>
                      <w:szCs w:val="21"/>
                    </w:rPr>
                  </w:pPr>
                  <w:r>
                    <w:rPr>
                      <w:rFonts w:hint="eastAsia" w:eastAsia="仿宋_GB2312"/>
                      <w:kern w:val="0"/>
                      <w:szCs w:val="21"/>
                    </w:rPr>
                    <w:t>3.3</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5"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widowControl/>
                    <w:jc w:val="center"/>
                    <w:rPr>
                      <w:rFonts w:eastAsia="仿宋_GB2312"/>
                      <w:kern w:val="0"/>
                      <w:szCs w:val="21"/>
                    </w:rPr>
                  </w:pPr>
                  <w:r>
                    <w:rPr>
                      <w:rFonts w:hint="eastAsia" w:eastAsia="仿宋_GB2312"/>
                      <w:kern w:val="0"/>
                      <w:szCs w:val="21"/>
                    </w:rPr>
                    <w:t>3.4</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3"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widowControl/>
                    <w:jc w:val="center"/>
                    <w:rPr>
                      <w:rFonts w:eastAsia="仿宋_GB2312"/>
                      <w:kern w:val="0"/>
                      <w:szCs w:val="21"/>
                    </w:rPr>
                  </w:pPr>
                  <w:r>
                    <w:rPr>
                      <w:rFonts w:hint="eastAsia" w:eastAsia="仿宋_GB2312"/>
                      <w:kern w:val="0"/>
                      <w:szCs w:val="21"/>
                    </w:rPr>
                    <w:t>3.2</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szCs w:val="21"/>
                    </w:rPr>
                  </w:pPr>
                  <w:r>
                    <w:rPr>
                      <w:rFonts w:hint="eastAsia" w:hAnsi="宋体"/>
                      <w:szCs w:val="21"/>
                    </w:rPr>
                    <w:t>总氮</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widowControl/>
                    <w:jc w:val="center"/>
                    <w:rPr>
                      <w:rFonts w:eastAsia="仿宋_GB2312"/>
                      <w:kern w:val="0"/>
                      <w:szCs w:val="21"/>
                    </w:rPr>
                  </w:pPr>
                  <w:r>
                    <w:rPr>
                      <w:rFonts w:hint="eastAsia" w:eastAsia="仿宋_GB2312"/>
                      <w:kern w:val="0"/>
                      <w:szCs w:val="21"/>
                    </w:rPr>
                    <w:t>1.26</w:t>
                  </w:r>
                </w:p>
              </w:tc>
              <w:tc>
                <w:tcPr>
                  <w:tcW w:w="1057" w:type="dxa"/>
                  <w:tcBorders>
                    <w:bottom w:val="single" w:color="auto" w:sz="4" w:space="0"/>
                  </w:tcBorders>
                  <w:vAlign w:val="center"/>
                </w:tcPr>
                <w:p>
                  <w:pPr>
                    <w:spacing w:line="360" w:lineRule="auto"/>
                    <w:jc w:val="center"/>
                    <w:rPr>
                      <w:szCs w:val="21"/>
                    </w:rPr>
                  </w:pPr>
                  <w:r>
                    <w:rPr>
                      <w:rFonts w:hint="eastAsia"/>
                      <w:szCs w:val="21"/>
                    </w:rPr>
                    <w:t>0.26</w:t>
                  </w:r>
                </w:p>
              </w:tc>
              <w:tc>
                <w:tcPr>
                  <w:tcW w:w="1339" w:type="dxa"/>
                  <w:tcBorders>
                    <w:bottom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widowControl/>
                    <w:jc w:val="center"/>
                    <w:rPr>
                      <w:rFonts w:eastAsia="仿宋_GB2312"/>
                      <w:kern w:val="0"/>
                      <w:szCs w:val="21"/>
                    </w:rPr>
                  </w:pPr>
                  <w:r>
                    <w:rPr>
                      <w:rFonts w:hint="eastAsia" w:eastAsia="仿宋_GB2312"/>
                      <w:kern w:val="0"/>
                      <w:szCs w:val="21"/>
                    </w:rPr>
                    <w:t>1.38</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0.38</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6"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widowControl/>
                    <w:jc w:val="center"/>
                    <w:rPr>
                      <w:rFonts w:eastAsia="仿宋_GB2312"/>
                      <w:kern w:val="0"/>
                      <w:szCs w:val="21"/>
                    </w:rPr>
                  </w:pPr>
                  <w:r>
                    <w:rPr>
                      <w:rFonts w:hint="eastAsia" w:eastAsia="仿宋_GB2312"/>
                      <w:kern w:val="0"/>
                      <w:szCs w:val="21"/>
                    </w:rPr>
                    <w:t>1.20</w:t>
                  </w:r>
                </w:p>
              </w:tc>
              <w:tc>
                <w:tcPr>
                  <w:tcW w:w="1057" w:type="dxa"/>
                  <w:tcBorders>
                    <w:top w:val="single" w:color="auto" w:sz="4" w:space="0"/>
                  </w:tcBorders>
                  <w:vAlign w:val="center"/>
                </w:tcPr>
                <w:p>
                  <w:pPr>
                    <w:spacing w:line="360" w:lineRule="auto"/>
                    <w:jc w:val="center"/>
                    <w:rPr>
                      <w:szCs w:val="21"/>
                    </w:rPr>
                  </w:pPr>
                  <w:r>
                    <w:rPr>
                      <w:rFonts w:hint="eastAsia"/>
                      <w:szCs w:val="21"/>
                    </w:rPr>
                    <w:t>0.20</w:t>
                  </w:r>
                </w:p>
              </w:tc>
              <w:tc>
                <w:tcPr>
                  <w:tcW w:w="1339" w:type="dxa"/>
                  <w:tcBorders>
                    <w:top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szCs w:val="21"/>
                    </w:rPr>
                  </w:pPr>
                  <w:r>
                    <w:rPr>
                      <w:rFonts w:hint="eastAsia" w:hAnsi="宋体"/>
                      <w:szCs w:val="21"/>
                    </w:rPr>
                    <w:t>氨氮</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widowControl/>
                    <w:jc w:val="center"/>
                    <w:rPr>
                      <w:kern w:val="0"/>
                      <w:szCs w:val="21"/>
                    </w:rPr>
                  </w:pPr>
                  <w:r>
                    <w:rPr>
                      <w:rFonts w:hint="eastAsia"/>
                      <w:kern w:val="0"/>
                      <w:szCs w:val="21"/>
                    </w:rPr>
                    <w:t>0.249</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widowControl/>
                    <w:jc w:val="center"/>
                    <w:rPr>
                      <w:kern w:val="0"/>
                      <w:szCs w:val="21"/>
                    </w:rPr>
                  </w:pPr>
                  <w:r>
                    <w:rPr>
                      <w:rFonts w:hint="eastAsia"/>
                      <w:kern w:val="0"/>
                      <w:szCs w:val="21"/>
                    </w:rPr>
                    <w:t>0.243</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7"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widowControl/>
                    <w:jc w:val="center"/>
                    <w:rPr>
                      <w:kern w:val="0"/>
                      <w:szCs w:val="21"/>
                    </w:rPr>
                  </w:pPr>
                  <w:r>
                    <w:rPr>
                      <w:rFonts w:hint="eastAsia"/>
                      <w:kern w:val="0"/>
                      <w:szCs w:val="21"/>
                    </w:rPr>
                    <w:t>0.256</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int="eastAsia" w:hAnsi="宋体"/>
                      <w:szCs w:val="21"/>
                    </w:rPr>
                    <w:t>总磷</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widowControl/>
                    <w:jc w:val="center"/>
                    <w:rPr>
                      <w:kern w:val="0"/>
                      <w:szCs w:val="21"/>
                    </w:rPr>
                  </w:pPr>
                  <w:r>
                    <w:rPr>
                      <w:rFonts w:hint="eastAsia"/>
                      <w:kern w:val="0"/>
                      <w:szCs w:val="21"/>
                    </w:rPr>
                    <w:t>0.10</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2"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widowControl/>
                    <w:jc w:val="center"/>
                    <w:rPr>
                      <w:kern w:val="0"/>
                      <w:szCs w:val="21"/>
                    </w:rPr>
                  </w:pPr>
                  <w:r>
                    <w:rPr>
                      <w:rFonts w:hint="eastAsia"/>
                      <w:kern w:val="0"/>
                      <w:szCs w:val="21"/>
                    </w:rPr>
                    <w:t>0.09</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6"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widowControl/>
                    <w:jc w:val="center"/>
                    <w:rPr>
                      <w:kern w:val="0"/>
                      <w:szCs w:val="21"/>
                    </w:rPr>
                  </w:pPr>
                  <w:r>
                    <w:rPr>
                      <w:rFonts w:hint="eastAsia"/>
                      <w:kern w:val="0"/>
                      <w:szCs w:val="21"/>
                    </w:rPr>
                    <w:t>0.11</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7"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int="eastAsia" w:hAnsi="宋体"/>
                      <w:szCs w:val="21"/>
                    </w:rPr>
                    <w:t>悬浮物</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widowControl/>
                    <w:jc w:val="center"/>
                    <w:rPr>
                      <w:kern w:val="0"/>
                      <w:szCs w:val="21"/>
                    </w:rPr>
                  </w:pPr>
                  <w:r>
                    <w:rPr>
                      <w:rFonts w:hint="eastAsia"/>
                      <w:kern w:val="0"/>
                      <w:szCs w:val="21"/>
                    </w:rPr>
                    <w:t>24</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≤30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widowControl/>
                    <w:jc w:val="center"/>
                    <w:rPr>
                      <w:kern w:val="0"/>
                      <w:szCs w:val="21"/>
                    </w:rPr>
                  </w:pPr>
                  <w:r>
                    <w:rPr>
                      <w:rFonts w:hint="eastAsia"/>
                      <w:kern w:val="0"/>
                      <w:szCs w:val="21"/>
                    </w:rPr>
                    <w:t>27</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≤30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widowControl/>
                    <w:jc w:val="center"/>
                    <w:rPr>
                      <w:kern w:val="0"/>
                      <w:szCs w:val="21"/>
                    </w:rPr>
                  </w:pPr>
                  <w:r>
                    <w:rPr>
                      <w:rFonts w:hint="eastAsia"/>
                      <w:kern w:val="0"/>
                      <w:szCs w:val="21"/>
                    </w:rPr>
                    <w:t>22</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≤30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int="eastAsia" w:hAnsi="宋体"/>
                      <w:szCs w:val="21"/>
                    </w:rPr>
                    <w:t>石油类</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widowControl/>
                    <w:jc w:val="center"/>
                    <w:rPr>
                      <w:kern w:val="0"/>
                      <w:szCs w:val="21"/>
                    </w:rPr>
                  </w:pPr>
                  <w:r>
                    <w:rPr>
                      <w:rFonts w:hint="eastAsia"/>
                      <w:kern w:val="0"/>
                      <w:szCs w:val="21"/>
                    </w:rPr>
                    <w:t>0.02</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widowControl/>
                    <w:jc w:val="center"/>
                    <w:rPr>
                      <w:kern w:val="0"/>
                      <w:szCs w:val="21"/>
                    </w:rPr>
                  </w:pPr>
                  <w:r>
                    <w:rPr>
                      <w:rFonts w:hint="eastAsia"/>
                      <w:kern w:val="0"/>
                      <w:szCs w:val="21"/>
                    </w:rPr>
                    <w:t>0.03</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5"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widowControl/>
                    <w:jc w:val="center"/>
                    <w:rPr>
                      <w:kern w:val="0"/>
                      <w:szCs w:val="21"/>
                    </w:rPr>
                  </w:pPr>
                  <w:r>
                    <w:rPr>
                      <w:rFonts w:hint="eastAsia"/>
                      <w:kern w:val="0"/>
                      <w:szCs w:val="21"/>
                    </w:rPr>
                    <w:t>0.02</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jc w:val="center"/>
              </w:trPr>
              <w:tc>
                <w:tcPr>
                  <w:tcW w:w="1125" w:type="dxa"/>
                  <w:vMerge w:val="restart"/>
                  <w:vAlign w:val="center"/>
                </w:tcPr>
                <w:p>
                  <w:pPr>
                    <w:pStyle w:val="93"/>
                    <w:widowControl/>
                    <w:spacing w:line="240" w:lineRule="exact"/>
                    <w:rPr>
                      <w:szCs w:val="21"/>
                    </w:rPr>
                  </w:pPr>
                  <w:r>
                    <w:rPr>
                      <w:rFonts w:hint="eastAsia" w:cs="Times New Roman"/>
                      <w:szCs w:val="21"/>
                    </w:rPr>
                    <w:t>项目西侧830m处塌西湖监测断面</w:t>
                  </w:r>
                </w:p>
              </w:tc>
              <w:tc>
                <w:tcPr>
                  <w:tcW w:w="1126" w:type="dxa"/>
                  <w:vMerge w:val="restart"/>
                  <w:tcBorders>
                    <w:right w:val="single" w:color="auto" w:sz="4" w:space="0"/>
                  </w:tcBorders>
                  <w:vAlign w:val="center"/>
                </w:tcPr>
                <w:p>
                  <w:pPr>
                    <w:spacing w:line="360" w:lineRule="auto"/>
                    <w:jc w:val="center"/>
                    <w:rPr>
                      <w:rFonts w:hAnsi="宋体"/>
                      <w:szCs w:val="21"/>
                    </w:rPr>
                  </w:pPr>
                  <w:r>
                    <w:rPr>
                      <w:szCs w:val="21"/>
                    </w:rPr>
                    <w:t>pH</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rFonts w:hAnsi="宋体"/>
                      <w:szCs w:val="21"/>
                    </w:rPr>
                    <w:t>无量纲</w:t>
                  </w:r>
                </w:p>
              </w:tc>
              <w:tc>
                <w:tcPr>
                  <w:tcW w:w="1320" w:type="dxa"/>
                  <w:tcBorders>
                    <w:bottom w:val="single" w:color="auto" w:sz="4" w:space="0"/>
                  </w:tcBorders>
                  <w:vAlign w:val="center"/>
                </w:tcPr>
                <w:p>
                  <w:pPr>
                    <w:pStyle w:val="93"/>
                    <w:rPr>
                      <w:kern w:val="0"/>
                      <w:szCs w:val="21"/>
                    </w:rPr>
                  </w:pPr>
                  <w:r>
                    <w:rPr>
                      <w:rFonts w:cs="Times New Roman"/>
                      <w:szCs w:val="21"/>
                    </w:rPr>
                    <w:t>6.</w:t>
                  </w:r>
                  <w:r>
                    <w:rPr>
                      <w:rFonts w:hint="eastAsia" w:cs="Times New Roman"/>
                      <w:szCs w:val="21"/>
                    </w:rPr>
                    <w:t>85</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125" w:type="dxa"/>
                  <w:vMerge w:val="continue"/>
                  <w:vAlign w:val="center"/>
                </w:tcPr>
                <w:p>
                  <w:pPr>
                    <w:pStyle w:val="93"/>
                    <w:rPr>
                      <w:rFonts w:cs="Times New Roman"/>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pStyle w:val="93"/>
                    <w:rPr>
                      <w:kern w:val="0"/>
                      <w:szCs w:val="21"/>
                    </w:rPr>
                  </w:pPr>
                  <w:r>
                    <w:rPr>
                      <w:rFonts w:cs="Times New Roman"/>
                      <w:szCs w:val="21"/>
                    </w:rPr>
                    <w:t>6.</w:t>
                  </w:r>
                  <w:r>
                    <w:rPr>
                      <w:rFonts w:hint="eastAsia" w:cs="Times New Roman"/>
                      <w:szCs w:val="21"/>
                    </w:rPr>
                    <w:t>92</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8" w:hRule="atLeast"/>
                <w:jc w:val="center"/>
              </w:trPr>
              <w:tc>
                <w:tcPr>
                  <w:tcW w:w="1125" w:type="dxa"/>
                  <w:vMerge w:val="continue"/>
                  <w:vAlign w:val="center"/>
                </w:tcPr>
                <w:p>
                  <w:pPr>
                    <w:pStyle w:val="93"/>
                    <w:rPr>
                      <w:rFonts w:cs="Times New Roman"/>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pStyle w:val="93"/>
                    <w:rPr>
                      <w:kern w:val="0"/>
                      <w:szCs w:val="21"/>
                    </w:rPr>
                  </w:pPr>
                  <w:r>
                    <w:rPr>
                      <w:rFonts w:cs="Times New Roman"/>
                      <w:szCs w:val="21"/>
                    </w:rPr>
                    <w:t>6.</w:t>
                  </w:r>
                  <w:r>
                    <w:rPr>
                      <w:rFonts w:hint="eastAsia" w:cs="Times New Roman"/>
                      <w:szCs w:val="21"/>
                    </w:rPr>
                    <w:t>89</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Ansi="宋体"/>
                      <w:szCs w:val="21"/>
                    </w:rPr>
                    <w:t>化学需氧量</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widowControl/>
                    <w:jc w:val="center"/>
                    <w:rPr>
                      <w:kern w:val="0"/>
                      <w:szCs w:val="21"/>
                    </w:rPr>
                  </w:pPr>
                  <w:r>
                    <w:rPr>
                      <w:rFonts w:hint="eastAsia"/>
                      <w:kern w:val="0"/>
                      <w:szCs w:val="21"/>
                    </w:rPr>
                    <w:t>19</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2"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widowControl/>
                    <w:jc w:val="center"/>
                    <w:rPr>
                      <w:kern w:val="0"/>
                      <w:szCs w:val="21"/>
                    </w:rPr>
                  </w:pPr>
                  <w:r>
                    <w:rPr>
                      <w:rFonts w:hint="eastAsia"/>
                      <w:kern w:val="0"/>
                      <w:szCs w:val="21"/>
                    </w:rPr>
                    <w:t>19</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widowControl/>
                    <w:jc w:val="center"/>
                    <w:rPr>
                      <w:kern w:val="0"/>
                      <w:szCs w:val="21"/>
                    </w:rPr>
                  </w:pPr>
                  <w:r>
                    <w:rPr>
                      <w:rFonts w:hint="eastAsia"/>
                      <w:kern w:val="0"/>
                      <w:szCs w:val="21"/>
                    </w:rPr>
                    <w:t>18</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3"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Ansi="宋体"/>
                      <w:szCs w:val="21"/>
                    </w:rPr>
                    <w:t>五日生化需氧量</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pStyle w:val="93"/>
                    <w:rPr>
                      <w:kern w:val="0"/>
                      <w:szCs w:val="21"/>
                    </w:rPr>
                  </w:pPr>
                  <w:r>
                    <w:rPr>
                      <w:rFonts w:cs="Times New Roman"/>
                      <w:szCs w:val="21"/>
                    </w:rPr>
                    <w:t>3.6</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pStyle w:val="93"/>
                    <w:rPr>
                      <w:kern w:val="0"/>
                      <w:szCs w:val="21"/>
                    </w:rPr>
                  </w:pPr>
                  <w:r>
                    <w:rPr>
                      <w:rFonts w:cs="Times New Roman"/>
                      <w:szCs w:val="21"/>
                    </w:rPr>
                    <w:t>3.</w:t>
                  </w:r>
                  <w:r>
                    <w:rPr>
                      <w:rFonts w:hint="eastAsia" w:cs="Times New Roman"/>
                      <w:szCs w:val="21"/>
                    </w:rPr>
                    <w:t>6</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3"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pStyle w:val="93"/>
                    <w:rPr>
                      <w:kern w:val="0"/>
                      <w:szCs w:val="21"/>
                    </w:rPr>
                  </w:pPr>
                  <w:r>
                    <w:rPr>
                      <w:rFonts w:hint="eastAsia" w:cs="Times New Roman"/>
                      <w:szCs w:val="21"/>
                    </w:rPr>
                    <w:t>3.5</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int="eastAsia" w:hAnsi="宋体"/>
                      <w:szCs w:val="21"/>
                    </w:rPr>
                    <w:t>总氮</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pStyle w:val="93"/>
                    <w:rPr>
                      <w:kern w:val="0"/>
                      <w:szCs w:val="21"/>
                    </w:rPr>
                  </w:pPr>
                  <w:r>
                    <w:rPr>
                      <w:rFonts w:hint="eastAsia"/>
                      <w:kern w:val="0"/>
                      <w:szCs w:val="21"/>
                    </w:rPr>
                    <w:t>1.68</w:t>
                  </w:r>
                </w:p>
              </w:tc>
              <w:tc>
                <w:tcPr>
                  <w:tcW w:w="1057" w:type="dxa"/>
                  <w:tcBorders>
                    <w:bottom w:val="single" w:color="auto" w:sz="4" w:space="0"/>
                  </w:tcBorders>
                  <w:vAlign w:val="center"/>
                </w:tcPr>
                <w:p>
                  <w:pPr>
                    <w:spacing w:line="360" w:lineRule="auto"/>
                    <w:jc w:val="center"/>
                    <w:rPr>
                      <w:szCs w:val="21"/>
                    </w:rPr>
                  </w:pPr>
                  <w:r>
                    <w:rPr>
                      <w:rFonts w:hint="eastAsia"/>
                      <w:szCs w:val="21"/>
                    </w:rPr>
                    <w:t>1.68</w:t>
                  </w:r>
                </w:p>
              </w:tc>
              <w:tc>
                <w:tcPr>
                  <w:tcW w:w="1339" w:type="dxa"/>
                  <w:tcBorders>
                    <w:bottom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9"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pStyle w:val="93"/>
                    <w:rPr>
                      <w:kern w:val="0"/>
                      <w:szCs w:val="21"/>
                    </w:rPr>
                  </w:pPr>
                  <w:r>
                    <w:rPr>
                      <w:rFonts w:hint="eastAsia" w:cs="Times New Roman"/>
                      <w:szCs w:val="21"/>
                    </w:rPr>
                    <w:t>1.62</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1.62</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9"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pStyle w:val="93"/>
                    <w:rPr>
                      <w:kern w:val="0"/>
                      <w:szCs w:val="21"/>
                    </w:rPr>
                  </w:pPr>
                  <w:r>
                    <w:rPr>
                      <w:rFonts w:hint="eastAsia" w:cs="Times New Roman"/>
                      <w:szCs w:val="21"/>
                    </w:rPr>
                    <w:t>1.43</w:t>
                  </w:r>
                </w:p>
              </w:tc>
              <w:tc>
                <w:tcPr>
                  <w:tcW w:w="1057" w:type="dxa"/>
                  <w:tcBorders>
                    <w:top w:val="single" w:color="auto" w:sz="4" w:space="0"/>
                  </w:tcBorders>
                  <w:vAlign w:val="center"/>
                </w:tcPr>
                <w:p>
                  <w:pPr>
                    <w:spacing w:line="360" w:lineRule="auto"/>
                    <w:jc w:val="center"/>
                    <w:rPr>
                      <w:szCs w:val="21"/>
                    </w:rPr>
                  </w:pPr>
                  <w:r>
                    <w:rPr>
                      <w:rFonts w:hint="eastAsia"/>
                      <w:szCs w:val="21"/>
                    </w:rPr>
                    <w:t>1.43</w:t>
                  </w:r>
                </w:p>
              </w:tc>
              <w:tc>
                <w:tcPr>
                  <w:tcW w:w="1339" w:type="dxa"/>
                  <w:tcBorders>
                    <w:top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8"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int="eastAsia" w:hAnsi="宋体"/>
                      <w:szCs w:val="21"/>
                    </w:rPr>
                    <w:t>氨氮</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pStyle w:val="93"/>
                    <w:rPr>
                      <w:kern w:val="0"/>
                      <w:szCs w:val="21"/>
                    </w:rPr>
                  </w:pPr>
                  <w:r>
                    <w:rPr>
                      <w:rFonts w:cs="Times New Roman"/>
                      <w:szCs w:val="21"/>
                    </w:rPr>
                    <w:t>0.3</w:t>
                  </w:r>
                  <w:r>
                    <w:rPr>
                      <w:rFonts w:hint="eastAsia" w:cs="Times New Roman"/>
                      <w:szCs w:val="21"/>
                    </w:rPr>
                    <w:t>67</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7"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pStyle w:val="93"/>
                    <w:rPr>
                      <w:kern w:val="0"/>
                      <w:szCs w:val="21"/>
                    </w:rPr>
                  </w:pPr>
                  <w:r>
                    <w:rPr>
                      <w:rFonts w:cs="Times New Roman"/>
                      <w:szCs w:val="21"/>
                    </w:rPr>
                    <w:t>0.3</w:t>
                  </w:r>
                  <w:r>
                    <w:rPr>
                      <w:rFonts w:hint="eastAsia" w:cs="Times New Roman"/>
                      <w:szCs w:val="21"/>
                    </w:rPr>
                    <w:t>92</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1"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pStyle w:val="93"/>
                    <w:rPr>
                      <w:kern w:val="0"/>
                      <w:szCs w:val="21"/>
                    </w:rPr>
                  </w:pPr>
                  <w:r>
                    <w:rPr>
                      <w:rFonts w:cs="Times New Roman"/>
                      <w:szCs w:val="21"/>
                    </w:rPr>
                    <w:t>0.</w:t>
                  </w:r>
                  <w:r>
                    <w:rPr>
                      <w:rFonts w:hint="eastAsia" w:cs="Times New Roman"/>
                      <w:szCs w:val="21"/>
                    </w:rPr>
                    <w:t>341</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7"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int="eastAsia" w:hAnsi="宋体"/>
                      <w:szCs w:val="21"/>
                    </w:rPr>
                    <w:t>总磷</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pStyle w:val="93"/>
                    <w:rPr>
                      <w:kern w:val="0"/>
                      <w:szCs w:val="21"/>
                    </w:rPr>
                  </w:pPr>
                  <w:r>
                    <w:rPr>
                      <w:rFonts w:cs="Times New Roman"/>
                      <w:szCs w:val="21"/>
                    </w:rPr>
                    <w:t>0.1</w:t>
                  </w:r>
                  <w:r>
                    <w:rPr>
                      <w:rFonts w:hint="eastAsia" w:cs="Times New Roman"/>
                      <w:szCs w:val="21"/>
                    </w:rPr>
                    <w:t>1</w:t>
                  </w:r>
                </w:p>
              </w:tc>
              <w:tc>
                <w:tcPr>
                  <w:tcW w:w="1057" w:type="dxa"/>
                  <w:tcBorders>
                    <w:bottom w:val="single" w:color="auto" w:sz="4" w:space="0"/>
                  </w:tcBorders>
                  <w:vAlign w:val="center"/>
                </w:tcPr>
                <w:p>
                  <w:pPr>
                    <w:spacing w:line="360" w:lineRule="auto"/>
                    <w:jc w:val="center"/>
                    <w:rPr>
                      <w:szCs w:val="21"/>
                    </w:rPr>
                  </w:pPr>
                  <w:r>
                    <w:rPr>
                      <w:rFonts w:hint="eastAsia"/>
                      <w:szCs w:val="21"/>
                    </w:rPr>
                    <w:t>2.20</w:t>
                  </w:r>
                </w:p>
              </w:tc>
              <w:tc>
                <w:tcPr>
                  <w:tcW w:w="1339" w:type="dxa"/>
                  <w:tcBorders>
                    <w:bottom w:val="single" w:color="auto" w:sz="4" w:space="0"/>
                  </w:tcBorders>
                  <w:vAlign w:val="center"/>
                </w:tcPr>
                <w:p>
                  <w:pPr>
                    <w:spacing w:line="360" w:lineRule="auto"/>
                    <w:jc w:val="center"/>
                    <w:rPr>
                      <w:szCs w:val="21"/>
                    </w:rPr>
                  </w:pPr>
                  <w:r>
                    <w:rPr>
                      <w:rFonts w:hint="eastAsia"/>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1"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pStyle w:val="93"/>
                    <w:rPr>
                      <w:kern w:val="0"/>
                      <w:szCs w:val="21"/>
                    </w:rPr>
                  </w:pPr>
                  <w:r>
                    <w:rPr>
                      <w:rFonts w:cs="Times New Roman"/>
                      <w:szCs w:val="21"/>
                    </w:rPr>
                    <w:t>0</w:t>
                  </w:r>
                  <w:r>
                    <w:rPr>
                      <w:rFonts w:hint="eastAsia" w:cs="Times New Roman"/>
                      <w:szCs w:val="21"/>
                    </w:rPr>
                    <w:t>.08</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1.60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7"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pStyle w:val="93"/>
                    <w:rPr>
                      <w:kern w:val="0"/>
                      <w:szCs w:val="21"/>
                    </w:rPr>
                  </w:pPr>
                  <w:r>
                    <w:rPr>
                      <w:rFonts w:cs="Times New Roman"/>
                      <w:szCs w:val="21"/>
                    </w:rPr>
                    <w:t xml:space="preserve">0.10 </w:t>
                  </w:r>
                </w:p>
              </w:tc>
              <w:tc>
                <w:tcPr>
                  <w:tcW w:w="1057" w:type="dxa"/>
                  <w:tcBorders>
                    <w:top w:val="single" w:color="auto" w:sz="4" w:space="0"/>
                  </w:tcBorders>
                  <w:vAlign w:val="center"/>
                </w:tcPr>
                <w:p>
                  <w:pPr>
                    <w:spacing w:line="360" w:lineRule="auto"/>
                    <w:jc w:val="center"/>
                    <w:rPr>
                      <w:szCs w:val="21"/>
                    </w:rPr>
                  </w:pPr>
                  <w:r>
                    <w:rPr>
                      <w:rFonts w:hint="eastAsia"/>
                      <w:szCs w:val="21"/>
                    </w:rPr>
                    <w:t>2.00</w:t>
                  </w:r>
                </w:p>
              </w:tc>
              <w:tc>
                <w:tcPr>
                  <w:tcW w:w="1339" w:type="dxa"/>
                  <w:tcBorders>
                    <w:top w:val="single" w:color="auto" w:sz="4" w:space="0"/>
                  </w:tcBorders>
                  <w:vAlign w:val="center"/>
                </w:tcPr>
                <w:p>
                  <w:pPr>
                    <w:spacing w:line="360" w:lineRule="auto"/>
                    <w:jc w:val="center"/>
                    <w:rPr>
                      <w:szCs w:val="21"/>
                    </w:rPr>
                  </w:pPr>
                  <w:r>
                    <w:rPr>
                      <w:rFonts w:hint="eastAsia"/>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3"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int="eastAsia" w:hAnsi="宋体"/>
                      <w:szCs w:val="21"/>
                    </w:rPr>
                    <w:t>悬浮物</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pStyle w:val="93"/>
                    <w:rPr>
                      <w:kern w:val="0"/>
                      <w:szCs w:val="21"/>
                    </w:rPr>
                  </w:pPr>
                  <w:r>
                    <w:rPr>
                      <w:rFonts w:hint="eastAsia" w:cs="Times New Roman"/>
                      <w:szCs w:val="21"/>
                    </w:rPr>
                    <w:t>22</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≤30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pStyle w:val="93"/>
                    <w:rPr>
                      <w:kern w:val="0"/>
                      <w:szCs w:val="21"/>
                    </w:rPr>
                  </w:pPr>
                  <w:r>
                    <w:rPr>
                      <w:rFonts w:cs="Times New Roman"/>
                      <w:szCs w:val="21"/>
                    </w:rPr>
                    <w:t>2</w:t>
                  </w:r>
                  <w:r>
                    <w:rPr>
                      <w:rFonts w:hint="eastAsia" w:cs="Times New Roman"/>
                      <w:szCs w:val="21"/>
                    </w:rPr>
                    <w:t>8</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≤30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3"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pStyle w:val="93"/>
                    <w:rPr>
                      <w:kern w:val="0"/>
                      <w:szCs w:val="21"/>
                    </w:rPr>
                  </w:pPr>
                  <w:r>
                    <w:rPr>
                      <w:rFonts w:hint="eastAsia" w:cs="Times New Roman"/>
                      <w:szCs w:val="21"/>
                    </w:rPr>
                    <w:t>21</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≤30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7" w:hRule="atLeast"/>
                <w:jc w:val="center"/>
              </w:trPr>
              <w:tc>
                <w:tcPr>
                  <w:tcW w:w="1125" w:type="dxa"/>
                  <w:vMerge w:val="continue"/>
                  <w:vAlign w:val="center"/>
                </w:tcPr>
                <w:p>
                  <w:pPr>
                    <w:spacing w:line="360" w:lineRule="exact"/>
                    <w:jc w:val="center"/>
                    <w:rPr>
                      <w:szCs w:val="21"/>
                    </w:rPr>
                  </w:pPr>
                </w:p>
              </w:tc>
              <w:tc>
                <w:tcPr>
                  <w:tcW w:w="1126" w:type="dxa"/>
                  <w:vMerge w:val="restart"/>
                  <w:tcBorders>
                    <w:right w:val="single" w:color="auto" w:sz="4" w:space="0"/>
                  </w:tcBorders>
                  <w:vAlign w:val="center"/>
                </w:tcPr>
                <w:p>
                  <w:pPr>
                    <w:spacing w:line="360" w:lineRule="auto"/>
                    <w:jc w:val="center"/>
                    <w:rPr>
                      <w:rFonts w:hAnsi="宋体"/>
                      <w:szCs w:val="21"/>
                    </w:rPr>
                  </w:pPr>
                  <w:r>
                    <w:rPr>
                      <w:rFonts w:hint="eastAsia" w:hAnsi="宋体"/>
                      <w:szCs w:val="21"/>
                    </w:rPr>
                    <w:t>石油类</w:t>
                  </w:r>
                </w:p>
              </w:tc>
              <w:tc>
                <w:tcPr>
                  <w:tcW w:w="1247" w:type="dxa"/>
                  <w:tcBorders>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2019.3.21</w:t>
                  </w:r>
                </w:p>
              </w:tc>
              <w:tc>
                <w:tcPr>
                  <w:tcW w:w="1146" w:type="dxa"/>
                  <w:vMerge w:val="restart"/>
                  <w:vAlign w:val="center"/>
                </w:tcPr>
                <w:p>
                  <w:pPr>
                    <w:spacing w:line="360" w:lineRule="auto"/>
                    <w:jc w:val="center"/>
                    <w:rPr>
                      <w:szCs w:val="21"/>
                    </w:rPr>
                  </w:pPr>
                  <w:r>
                    <w:rPr>
                      <w:szCs w:val="21"/>
                    </w:rPr>
                    <w:t>mg/L</w:t>
                  </w:r>
                </w:p>
              </w:tc>
              <w:tc>
                <w:tcPr>
                  <w:tcW w:w="1320" w:type="dxa"/>
                  <w:tcBorders>
                    <w:bottom w:val="single" w:color="auto" w:sz="4" w:space="0"/>
                  </w:tcBorders>
                  <w:vAlign w:val="center"/>
                </w:tcPr>
                <w:p>
                  <w:pPr>
                    <w:pStyle w:val="93"/>
                    <w:rPr>
                      <w:kern w:val="0"/>
                      <w:szCs w:val="21"/>
                    </w:rPr>
                  </w:pPr>
                  <w:r>
                    <w:rPr>
                      <w:rFonts w:cs="Times New Roman"/>
                      <w:szCs w:val="21"/>
                    </w:rPr>
                    <w:t>0.0</w:t>
                  </w:r>
                  <w:r>
                    <w:rPr>
                      <w:rFonts w:hint="eastAsia" w:cs="Times New Roman"/>
                      <w:szCs w:val="21"/>
                    </w:rPr>
                    <w:t>2</w:t>
                  </w:r>
                </w:p>
              </w:tc>
              <w:tc>
                <w:tcPr>
                  <w:tcW w:w="1057" w:type="dxa"/>
                  <w:tcBorders>
                    <w:bottom w:val="single" w:color="auto" w:sz="4" w:space="0"/>
                  </w:tcBorders>
                  <w:vAlign w:val="center"/>
                </w:tcPr>
                <w:p>
                  <w:pPr>
                    <w:spacing w:line="360" w:lineRule="auto"/>
                    <w:jc w:val="center"/>
                    <w:rPr>
                      <w:szCs w:val="21"/>
                    </w:rPr>
                  </w:pPr>
                  <w:r>
                    <w:rPr>
                      <w:rFonts w:hint="eastAsia"/>
                      <w:szCs w:val="21"/>
                    </w:rPr>
                    <w:t>0</w:t>
                  </w:r>
                </w:p>
              </w:tc>
              <w:tc>
                <w:tcPr>
                  <w:tcW w:w="1339" w:type="dxa"/>
                  <w:tcBorders>
                    <w:bottom w:val="single" w:color="auto" w:sz="4" w:space="0"/>
                  </w:tcBorders>
                  <w:vAlign w:val="center"/>
                </w:tcPr>
                <w:p>
                  <w:pPr>
                    <w:spacing w:line="360" w:lineRule="auto"/>
                    <w:jc w:val="center"/>
                    <w:rPr>
                      <w:szCs w:val="21"/>
                    </w:rPr>
                  </w:pPr>
                  <w:r>
                    <w:rPr>
                      <w:rFonts w:hint="eastAsia"/>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6"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rFonts w:hAnsi="宋体"/>
                      <w:szCs w:val="21"/>
                    </w:rPr>
                  </w:pPr>
                  <w:r>
                    <w:rPr>
                      <w:spacing w:val="-5"/>
                      <w:kern w:val="0"/>
                      <w:szCs w:val="21"/>
                    </w:rPr>
                    <w:t>2019.3.22</w:t>
                  </w:r>
                </w:p>
              </w:tc>
              <w:tc>
                <w:tcPr>
                  <w:tcW w:w="1146" w:type="dxa"/>
                  <w:vMerge w:val="continue"/>
                  <w:vAlign w:val="center"/>
                </w:tcPr>
                <w:p>
                  <w:pPr>
                    <w:spacing w:line="360" w:lineRule="auto"/>
                    <w:jc w:val="center"/>
                    <w:rPr>
                      <w:szCs w:val="21"/>
                    </w:rPr>
                  </w:pPr>
                </w:p>
              </w:tc>
              <w:tc>
                <w:tcPr>
                  <w:tcW w:w="1320" w:type="dxa"/>
                  <w:tcBorders>
                    <w:top w:val="single" w:color="auto" w:sz="4" w:space="0"/>
                    <w:bottom w:val="single" w:color="auto" w:sz="4" w:space="0"/>
                  </w:tcBorders>
                  <w:vAlign w:val="center"/>
                </w:tcPr>
                <w:p>
                  <w:pPr>
                    <w:pStyle w:val="93"/>
                    <w:rPr>
                      <w:kern w:val="0"/>
                      <w:szCs w:val="21"/>
                    </w:rPr>
                  </w:pPr>
                  <w:r>
                    <w:rPr>
                      <w:rFonts w:cs="Times New Roman"/>
                      <w:szCs w:val="21"/>
                    </w:rPr>
                    <w:t>0.0</w:t>
                  </w:r>
                  <w:r>
                    <w:rPr>
                      <w:rFonts w:hint="eastAsia" w:cs="Times New Roman"/>
                      <w:szCs w:val="21"/>
                    </w:rPr>
                    <w:t>1</w:t>
                  </w:r>
                </w:p>
              </w:tc>
              <w:tc>
                <w:tcPr>
                  <w:tcW w:w="1057" w:type="dxa"/>
                  <w:tcBorders>
                    <w:top w:val="single" w:color="auto" w:sz="4" w:space="0"/>
                    <w:bottom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bottom w:val="single" w:color="auto" w:sz="4" w:space="0"/>
                  </w:tcBorders>
                  <w:vAlign w:val="center"/>
                </w:tcPr>
                <w:p>
                  <w:pPr>
                    <w:spacing w:line="360" w:lineRule="auto"/>
                    <w:jc w:val="center"/>
                    <w:rPr>
                      <w:szCs w:val="21"/>
                    </w:rPr>
                  </w:pPr>
                  <w:r>
                    <w:rPr>
                      <w:rFonts w:hint="eastAsia"/>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3" w:hRule="atLeast"/>
                <w:jc w:val="center"/>
              </w:trPr>
              <w:tc>
                <w:tcPr>
                  <w:tcW w:w="1125" w:type="dxa"/>
                  <w:vMerge w:val="continue"/>
                  <w:vAlign w:val="center"/>
                </w:tcPr>
                <w:p>
                  <w:pPr>
                    <w:spacing w:line="360" w:lineRule="exact"/>
                    <w:jc w:val="center"/>
                    <w:rPr>
                      <w:szCs w:val="21"/>
                    </w:rPr>
                  </w:pPr>
                </w:p>
              </w:tc>
              <w:tc>
                <w:tcPr>
                  <w:tcW w:w="1126" w:type="dxa"/>
                  <w:vMerge w:val="continue"/>
                  <w:tcBorders>
                    <w:right w:val="single" w:color="auto" w:sz="4" w:space="0"/>
                  </w:tcBorders>
                  <w:vAlign w:val="center"/>
                </w:tcPr>
                <w:p>
                  <w:pPr>
                    <w:spacing w:line="360" w:lineRule="auto"/>
                    <w:jc w:val="center"/>
                    <w:rPr>
                      <w:rFonts w:hAnsi="宋体"/>
                      <w:szCs w:val="21"/>
                    </w:rPr>
                  </w:pPr>
                </w:p>
              </w:tc>
              <w:tc>
                <w:tcPr>
                  <w:tcW w:w="1247" w:type="dxa"/>
                  <w:tcBorders>
                    <w:top w:val="single" w:color="auto" w:sz="4" w:space="0"/>
                    <w:left w:val="single" w:color="auto" w:sz="4" w:space="0"/>
                  </w:tcBorders>
                  <w:vAlign w:val="center"/>
                </w:tcPr>
                <w:p>
                  <w:pPr>
                    <w:widowControl/>
                    <w:spacing w:line="240" w:lineRule="exact"/>
                    <w:jc w:val="center"/>
                    <w:textAlignment w:val="center"/>
                    <w:rPr>
                      <w:rFonts w:hAnsi="宋体"/>
                      <w:szCs w:val="21"/>
                    </w:rPr>
                  </w:pPr>
                  <w:r>
                    <w:rPr>
                      <w:spacing w:val="-5"/>
                      <w:kern w:val="0"/>
                      <w:szCs w:val="21"/>
                    </w:rPr>
                    <w:t>2019.3.23</w:t>
                  </w:r>
                </w:p>
              </w:tc>
              <w:tc>
                <w:tcPr>
                  <w:tcW w:w="1146" w:type="dxa"/>
                  <w:vMerge w:val="continue"/>
                  <w:vAlign w:val="center"/>
                </w:tcPr>
                <w:p>
                  <w:pPr>
                    <w:spacing w:line="360" w:lineRule="auto"/>
                    <w:jc w:val="center"/>
                    <w:rPr>
                      <w:szCs w:val="21"/>
                    </w:rPr>
                  </w:pPr>
                </w:p>
              </w:tc>
              <w:tc>
                <w:tcPr>
                  <w:tcW w:w="1320" w:type="dxa"/>
                  <w:tcBorders>
                    <w:top w:val="single" w:color="auto" w:sz="4" w:space="0"/>
                  </w:tcBorders>
                  <w:vAlign w:val="center"/>
                </w:tcPr>
                <w:p>
                  <w:pPr>
                    <w:pStyle w:val="93"/>
                    <w:rPr>
                      <w:kern w:val="0"/>
                      <w:szCs w:val="21"/>
                    </w:rPr>
                  </w:pPr>
                  <w:r>
                    <w:rPr>
                      <w:rFonts w:cs="Times New Roman"/>
                      <w:szCs w:val="21"/>
                    </w:rPr>
                    <w:t>0.0</w:t>
                  </w:r>
                  <w:r>
                    <w:rPr>
                      <w:rFonts w:hint="eastAsia" w:cs="Times New Roman"/>
                      <w:szCs w:val="21"/>
                    </w:rPr>
                    <w:t>1</w:t>
                  </w:r>
                </w:p>
              </w:tc>
              <w:tc>
                <w:tcPr>
                  <w:tcW w:w="1057" w:type="dxa"/>
                  <w:tcBorders>
                    <w:top w:val="single" w:color="auto" w:sz="4" w:space="0"/>
                  </w:tcBorders>
                  <w:vAlign w:val="center"/>
                </w:tcPr>
                <w:p>
                  <w:pPr>
                    <w:spacing w:line="360" w:lineRule="auto"/>
                    <w:jc w:val="center"/>
                    <w:rPr>
                      <w:szCs w:val="21"/>
                    </w:rPr>
                  </w:pPr>
                  <w:r>
                    <w:rPr>
                      <w:rFonts w:hint="eastAsia"/>
                      <w:szCs w:val="21"/>
                    </w:rPr>
                    <w:t>0</w:t>
                  </w:r>
                </w:p>
              </w:tc>
              <w:tc>
                <w:tcPr>
                  <w:tcW w:w="1339" w:type="dxa"/>
                  <w:tcBorders>
                    <w:top w:val="single" w:color="auto" w:sz="4" w:space="0"/>
                  </w:tcBorders>
                  <w:vAlign w:val="center"/>
                </w:tcPr>
                <w:p>
                  <w:pPr>
                    <w:spacing w:line="360" w:lineRule="auto"/>
                    <w:jc w:val="center"/>
                    <w:rPr>
                      <w:szCs w:val="21"/>
                    </w:rPr>
                  </w:pPr>
                  <w:r>
                    <w:rPr>
                      <w:rFonts w:hint="eastAsia"/>
                      <w:szCs w:val="21"/>
                    </w:rPr>
                    <w:t>≤0.05</w:t>
                  </w:r>
                </w:p>
              </w:tc>
            </w:tr>
          </w:tbl>
          <w:p>
            <w:pPr>
              <w:widowControl/>
              <w:spacing w:line="360" w:lineRule="auto"/>
              <w:ind w:firstLine="420" w:firstLineChars="200"/>
              <w:textAlignment w:val="baseline"/>
              <w:rPr>
                <w:rFonts w:hAnsi="仿宋" w:eastAsia="仿宋"/>
                <w:szCs w:val="21"/>
              </w:rPr>
            </w:pPr>
            <w:r>
              <w:rPr>
                <w:rFonts w:hint="eastAsia" w:hAnsi="仿宋" w:eastAsia="仿宋"/>
                <w:szCs w:val="21"/>
              </w:rPr>
              <w:t>备注：SS*参照《地表水资源质量标准》第三级指标进行评价。</w:t>
            </w:r>
          </w:p>
          <w:p>
            <w:pPr>
              <w:spacing w:line="360" w:lineRule="auto"/>
              <w:jc w:val="left"/>
              <w:outlineLvl w:val="0"/>
              <w:rPr>
                <w:rFonts w:ascii="宋体" w:hAnsi="宋体" w:cs="宋体"/>
                <w:sz w:val="24"/>
                <w:szCs w:val="22"/>
              </w:rPr>
            </w:pPr>
            <w:r>
              <w:rPr>
                <w:rFonts w:hint="eastAsia"/>
                <w:sz w:val="24"/>
                <w:szCs w:val="22"/>
                <w:lang w:val="en-US" w:eastAsia="zh-CN"/>
              </w:rPr>
              <w:t xml:space="preserve">    </w:t>
            </w:r>
            <w:r>
              <w:rPr>
                <w:rFonts w:hint="eastAsia"/>
                <w:sz w:val="24"/>
                <w:szCs w:val="22"/>
              </w:rPr>
              <w:t>监测结果表明，项目地华容河</w:t>
            </w:r>
            <w:r>
              <w:rPr>
                <w:rFonts w:hint="eastAsia"/>
                <w:sz w:val="24"/>
              </w:rPr>
              <w:t>监测断面</w:t>
            </w:r>
            <w:r>
              <w:rPr>
                <w:sz w:val="24"/>
              </w:rPr>
              <w:t>水质各项指标</w:t>
            </w:r>
            <w:r>
              <w:rPr>
                <w:rFonts w:hint="eastAsia"/>
                <w:sz w:val="24"/>
              </w:rPr>
              <w:t>出总氮外其余</w:t>
            </w:r>
            <w:r>
              <w:rPr>
                <w:sz w:val="24"/>
              </w:rPr>
              <w:t>均达到《地表水环境质量标准》（GB3838-2002）中</w:t>
            </w:r>
            <w:r>
              <w:rPr>
                <w:rFonts w:hint="eastAsia" w:ascii="宋体" w:hAnsi="宋体" w:cs="宋体"/>
                <w:sz w:val="24"/>
              </w:rPr>
              <w:t>Ⅲ</w:t>
            </w:r>
            <w:r>
              <w:rPr>
                <w:sz w:val="24"/>
              </w:rPr>
              <w:t>类</w:t>
            </w:r>
            <w:r>
              <w:rPr>
                <w:rFonts w:hint="eastAsia" w:ascii="宋体" w:hAnsi="宋体" w:cs="宋体"/>
                <w:sz w:val="24"/>
                <w:szCs w:val="22"/>
              </w:rPr>
              <w:t>标准、SS达到参照《地表水资源质量标准》第三级指标进行评价，总氮超标的原因可能是由于河流两侧居民生活污水所致，水环境质量一般。根据《岳阳市华容河水体达标方案》中采取采取减排、提升的综</w:t>
            </w:r>
            <w:bookmarkStart w:id="5" w:name="_Toc459129685"/>
            <w:bookmarkStart w:id="6" w:name="_Toc459130019"/>
            <w:r>
              <w:rPr>
                <w:rFonts w:hint="eastAsia" w:ascii="宋体" w:hAnsi="宋体" w:cs="宋体"/>
                <w:sz w:val="24"/>
                <w:szCs w:val="22"/>
              </w:rPr>
              <w:t>合整治</w:t>
            </w:r>
            <w:bookmarkEnd w:id="5"/>
            <w:bookmarkEnd w:id="6"/>
            <w:r>
              <w:rPr>
                <w:rFonts w:hint="eastAsia" w:ascii="宋体" w:hAnsi="宋体" w:cs="宋体"/>
                <w:sz w:val="24"/>
                <w:szCs w:val="22"/>
              </w:rPr>
              <w:t>措施后至2019年底，华容河水域水质持续稳定达到Ⅲ类标准。</w:t>
            </w:r>
          </w:p>
          <w:p>
            <w:pPr>
              <w:widowControl/>
              <w:spacing w:line="360" w:lineRule="auto"/>
              <w:ind w:firstLine="480" w:firstLineChars="200"/>
              <w:textAlignment w:val="baseline"/>
              <w:rPr>
                <w:sz w:val="24"/>
              </w:rPr>
            </w:pPr>
            <w:r>
              <w:rPr>
                <w:rFonts w:hint="eastAsia" w:ascii="宋体" w:hAnsi="宋体" w:cs="宋体"/>
                <w:sz w:val="24"/>
                <w:szCs w:val="22"/>
              </w:rPr>
              <w:t>项目地塌西湖除总磷、总氮超标外，其余水质各项指标均达到《地表水环境质量标准》（GB3838-2002）中Ⅲ类标准、SS达到参照《地表水资源质量标准》第三级指标进行评价，塌西湖主要功能为渔业养殖，是造成总磷总氮超标的主要原因，水体质量一般</w:t>
            </w:r>
            <w:r>
              <w:rPr>
                <w:rFonts w:hint="eastAsia"/>
                <w:sz w:val="24"/>
              </w:rPr>
              <w:t>。</w:t>
            </w:r>
          </w:p>
          <w:p>
            <w:pPr>
              <w:spacing w:line="360" w:lineRule="auto"/>
              <w:ind w:firstLine="482" w:firstLineChars="200"/>
              <w:rPr>
                <w:b/>
                <w:sz w:val="24"/>
              </w:rPr>
            </w:pPr>
            <w:r>
              <w:rPr>
                <w:b/>
                <w:sz w:val="24"/>
              </w:rPr>
              <w:t>3.声环境质量现状</w:t>
            </w:r>
          </w:p>
          <w:p>
            <w:pPr>
              <w:spacing w:line="360" w:lineRule="auto"/>
              <w:ind w:firstLine="480" w:firstLineChars="200"/>
              <w:rPr>
                <w:sz w:val="24"/>
              </w:rPr>
            </w:pPr>
            <w:r>
              <w:rPr>
                <w:sz w:val="24"/>
              </w:rPr>
              <w:t>根据</w:t>
            </w:r>
            <w:r>
              <w:rPr>
                <w:rFonts w:hint="eastAsia"/>
                <w:sz w:val="24"/>
              </w:rPr>
              <w:t>湖南精科检测有限公司2019年3月21日-3月22日对项目</w:t>
            </w:r>
            <w:r>
              <w:rPr>
                <w:sz w:val="24"/>
              </w:rPr>
              <w:t>所在地</w:t>
            </w:r>
            <w:r>
              <w:rPr>
                <w:rFonts w:hint="eastAsia"/>
                <w:sz w:val="24"/>
              </w:rPr>
              <w:t>四厂界及周围环境保护目标</w:t>
            </w:r>
            <w:r>
              <w:rPr>
                <w:sz w:val="24"/>
              </w:rPr>
              <w:t>环境噪声监测结果，</w:t>
            </w:r>
            <w:r>
              <w:rPr>
                <w:rFonts w:hint="eastAsia"/>
                <w:sz w:val="24"/>
              </w:rPr>
              <w:t>项目地昼间</w:t>
            </w:r>
            <w:r>
              <w:rPr>
                <w:sz w:val="24"/>
              </w:rPr>
              <w:t>噪声为</w:t>
            </w:r>
            <w:r>
              <w:rPr>
                <w:rFonts w:hint="eastAsia"/>
                <w:sz w:val="24"/>
              </w:rPr>
              <w:t>52.7~54.5</w:t>
            </w:r>
            <w:r>
              <w:rPr>
                <w:sz w:val="24"/>
              </w:rPr>
              <w:t>dB(A)</w:t>
            </w:r>
            <w:r>
              <w:rPr>
                <w:rFonts w:hint="eastAsia"/>
                <w:sz w:val="24"/>
              </w:rPr>
              <w:t>、夜间</w:t>
            </w:r>
            <w:r>
              <w:rPr>
                <w:sz w:val="24"/>
              </w:rPr>
              <w:t>噪声为</w:t>
            </w:r>
            <w:r>
              <w:rPr>
                <w:rFonts w:hint="eastAsia"/>
                <w:sz w:val="24"/>
              </w:rPr>
              <w:t>42.8~44.6</w:t>
            </w:r>
            <w:r>
              <w:rPr>
                <w:sz w:val="24"/>
              </w:rPr>
              <w:t>dB(A)，</w:t>
            </w:r>
            <w:r>
              <w:rPr>
                <w:rFonts w:hint="eastAsia"/>
                <w:sz w:val="24"/>
              </w:rPr>
              <w:t>东、南、西、北厂界及周围环境保护目标噪声均</w:t>
            </w:r>
            <w:r>
              <w:rPr>
                <w:sz w:val="24"/>
              </w:rPr>
              <w:t>符合《</w:t>
            </w:r>
            <w:r>
              <w:rPr>
                <w:rFonts w:hint="eastAsia"/>
                <w:sz w:val="24"/>
              </w:rPr>
              <w:t>声</w:t>
            </w:r>
            <w:r>
              <w:rPr>
                <w:sz w:val="24"/>
              </w:rPr>
              <w:t>环境</w:t>
            </w:r>
            <w:r>
              <w:rPr>
                <w:rFonts w:hint="eastAsia"/>
                <w:sz w:val="24"/>
              </w:rPr>
              <w:t>质量</w:t>
            </w:r>
            <w:r>
              <w:rPr>
                <w:sz w:val="24"/>
              </w:rPr>
              <w:t>标准》</w:t>
            </w:r>
            <w:r>
              <w:rPr>
                <w:rFonts w:hint="eastAsia"/>
                <w:sz w:val="24"/>
              </w:rPr>
              <w:t>（</w:t>
            </w:r>
            <w:r>
              <w:rPr>
                <w:sz w:val="24"/>
              </w:rPr>
              <w:t>GB3096-</w:t>
            </w:r>
            <w:r>
              <w:rPr>
                <w:rFonts w:hint="eastAsia"/>
                <w:sz w:val="24"/>
              </w:rPr>
              <w:t>2008）中2</w:t>
            </w:r>
            <w:r>
              <w:rPr>
                <w:sz w:val="24"/>
              </w:rPr>
              <w:t>类标准</w:t>
            </w:r>
            <w:r>
              <w:rPr>
                <w:rFonts w:hint="eastAsia"/>
                <w:sz w:val="24"/>
              </w:rPr>
              <w:t>要求，声环境质量较好。</w:t>
            </w:r>
          </w:p>
          <w:p>
            <w:pPr>
              <w:spacing w:line="360" w:lineRule="auto"/>
              <w:jc w:val="center"/>
              <w:rPr>
                <w:b/>
                <w:sz w:val="24"/>
              </w:rPr>
            </w:pPr>
            <w:r>
              <w:rPr>
                <w:rFonts w:hint="eastAsia"/>
                <w:b/>
                <w:sz w:val="24"/>
              </w:rPr>
              <w:t>表3-</w:t>
            </w:r>
            <w:r>
              <w:rPr>
                <w:rFonts w:hint="eastAsia"/>
                <w:b/>
                <w:sz w:val="24"/>
                <w:lang w:val="en-US" w:eastAsia="zh-CN"/>
              </w:rPr>
              <w:t>7</w:t>
            </w:r>
            <w:r>
              <w:rPr>
                <w:rFonts w:hint="eastAsia"/>
                <w:b/>
                <w:sz w:val="24"/>
              </w:rPr>
              <w:t xml:space="preserve">   环境噪声质量现状表    单位：dB(A)</w:t>
            </w:r>
          </w:p>
          <w:tbl>
            <w:tblPr>
              <w:tblStyle w:val="28"/>
              <w:tblW w:w="83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6"/>
              <w:gridCol w:w="1388"/>
              <w:gridCol w:w="2771"/>
              <w:gridCol w:w="27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2774" w:type="dxa"/>
                  <w:gridSpan w:val="2"/>
                  <w:vAlign w:val="center"/>
                </w:tcPr>
                <w:p>
                  <w:pPr>
                    <w:jc w:val="center"/>
                    <w:rPr>
                      <w:szCs w:val="21"/>
                    </w:rPr>
                  </w:pPr>
                  <w:r>
                    <w:rPr>
                      <w:rFonts w:hAnsi="宋体"/>
                      <w:szCs w:val="21"/>
                    </w:rPr>
                    <w:t>采样地点</w:t>
                  </w:r>
                </w:p>
              </w:tc>
              <w:tc>
                <w:tcPr>
                  <w:tcW w:w="2771" w:type="dxa"/>
                  <w:vAlign w:val="center"/>
                </w:tcPr>
                <w:p>
                  <w:pPr>
                    <w:jc w:val="center"/>
                    <w:rPr>
                      <w:szCs w:val="21"/>
                    </w:rPr>
                  </w:pPr>
                  <w:r>
                    <w:rPr>
                      <w:rFonts w:hAnsi="宋体"/>
                      <w:szCs w:val="21"/>
                    </w:rPr>
                    <w:t>昼间</w:t>
                  </w:r>
                </w:p>
              </w:tc>
              <w:tc>
                <w:tcPr>
                  <w:tcW w:w="2775" w:type="dxa"/>
                  <w:vAlign w:val="center"/>
                </w:tcPr>
                <w:p>
                  <w:pPr>
                    <w:jc w:val="center"/>
                    <w:rPr>
                      <w:szCs w:val="21"/>
                    </w:rPr>
                  </w:pPr>
                  <w:r>
                    <w:rPr>
                      <w:rFonts w:hAnsi="宋体"/>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Merge w:val="restart"/>
                  <w:vAlign w:val="center"/>
                </w:tcPr>
                <w:p>
                  <w:pPr>
                    <w:jc w:val="center"/>
                    <w:rPr>
                      <w:szCs w:val="21"/>
                    </w:rPr>
                  </w:pPr>
                  <w:r>
                    <w:rPr>
                      <w:szCs w:val="21"/>
                    </w:rPr>
                    <w:t>1</w:t>
                  </w:r>
                  <w:r>
                    <w:rPr>
                      <w:rFonts w:hAnsi="宋体"/>
                      <w:szCs w:val="21"/>
                    </w:rPr>
                    <w:t>东厂界</w:t>
                  </w:r>
                </w:p>
              </w:tc>
              <w:tc>
                <w:tcPr>
                  <w:tcW w:w="1388" w:type="dxa"/>
                  <w:vAlign w:val="center"/>
                </w:tcPr>
                <w:p>
                  <w:pPr>
                    <w:pStyle w:val="93"/>
                    <w:rPr>
                      <w:szCs w:val="21"/>
                    </w:rPr>
                  </w:pPr>
                  <w:r>
                    <w:rPr>
                      <w:rFonts w:cs="Times New Roman"/>
                      <w:szCs w:val="21"/>
                    </w:rPr>
                    <w:t>2019.3.21</w:t>
                  </w:r>
                </w:p>
              </w:tc>
              <w:tc>
                <w:tcPr>
                  <w:tcW w:w="2771" w:type="dxa"/>
                  <w:vAlign w:val="center"/>
                </w:tcPr>
                <w:p>
                  <w:pPr>
                    <w:pStyle w:val="93"/>
                    <w:rPr>
                      <w:rFonts w:eastAsia="仿宋_GB2312"/>
                      <w:szCs w:val="21"/>
                    </w:rPr>
                  </w:pPr>
                  <w:r>
                    <w:rPr>
                      <w:rFonts w:cs="Times New Roman"/>
                      <w:szCs w:val="21"/>
                    </w:rPr>
                    <w:t xml:space="preserve">53.8 </w:t>
                  </w:r>
                </w:p>
              </w:tc>
              <w:tc>
                <w:tcPr>
                  <w:tcW w:w="2775" w:type="dxa"/>
                  <w:vAlign w:val="center"/>
                </w:tcPr>
                <w:p>
                  <w:pPr>
                    <w:pStyle w:val="93"/>
                    <w:rPr>
                      <w:rFonts w:eastAsia="仿宋_GB2312"/>
                      <w:szCs w:val="21"/>
                    </w:rPr>
                  </w:pPr>
                  <w:r>
                    <w:rPr>
                      <w:rFonts w:cs="Times New Roman"/>
                      <w:szCs w:val="21"/>
                    </w:rPr>
                    <w:t xml:space="preserve">43.6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Merge w:val="continue"/>
                  <w:vAlign w:val="center"/>
                </w:tcPr>
                <w:p>
                  <w:pPr>
                    <w:jc w:val="center"/>
                    <w:rPr>
                      <w:szCs w:val="21"/>
                    </w:rPr>
                  </w:pPr>
                </w:p>
              </w:tc>
              <w:tc>
                <w:tcPr>
                  <w:tcW w:w="1388" w:type="dxa"/>
                  <w:vAlign w:val="center"/>
                </w:tcPr>
                <w:p>
                  <w:pPr>
                    <w:pStyle w:val="93"/>
                    <w:rPr>
                      <w:szCs w:val="21"/>
                    </w:rPr>
                  </w:pPr>
                  <w:r>
                    <w:rPr>
                      <w:rFonts w:cs="Times New Roman"/>
                      <w:szCs w:val="21"/>
                    </w:rPr>
                    <w:t>2019.3.22</w:t>
                  </w:r>
                </w:p>
              </w:tc>
              <w:tc>
                <w:tcPr>
                  <w:tcW w:w="2771" w:type="dxa"/>
                  <w:vAlign w:val="center"/>
                </w:tcPr>
                <w:p>
                  <w:pPr>
                    <w:pStyle w:val="93"/>
                    <w:rPr>
                      <w:rFonts w:eastAsia="仿宋_GB2312"/>
                      <w:szCs w:val="21"/>
                    </w:rPr>
                  </w:pPr>
                  <w:r>
                    <w:rPr>
                      <w:rFonts w:cs="Times New Roman"/>
                      <w:szCs w:val="21"/>
                    </w:rPr>
                    <w:t xml:space="preserve">54.5 </w:t>
                  </w:r>
                </w:p>
              </w:tc>
              <w:tc>
                <w:tcPr>
                  <w:tcW w:w="2775" w:type="dxa"/>
                  <w:vAlign w:val="center"/>
                </w:tcPr>
                <w:p>
                  <w:pPr>
                    <w:pStyle w:val="93"/>
                    <w:rPr>
                      <w:rFonts w:eastAsia="仿宋_GB2312"/>
                      <w:szCs w:val="21"/>
                    </w:rPr>
                  </w:pPr>
                  <w:r>
                    <w:rPr>
                      <w:rFonts w:cs="Times New Roman"/>
                      <w:szCs w:val="21"/>
                    </w:rPr>
                    <w:t xml:space="preserve">44.0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Merge w:val="restart"/>
                  <w:vAlign w:val="center"/>
                </w:tcPr>
                <w:p>
                  <w:pPr>
                    <w:jc w:val="center"/>
                    <w:rPr>
                      <w:szCs w:val="21"/>
                    </w:rPr>
                  </w:pPr>
                  <w:r>
                    <w:rPr>
                      <w:rFonts w:hint="eastAsia"/>
                      <w:szCs w:val="21"/>
                    </w:rPr>
                    <w:t>2南厂界</w:t>
                  </w:r>
                </w:p>
              </w:tc>
              <w:tc>
                <w:tcPr>
                  <w:tcW w:w="1388" w:type="dxa"/>
                  <w:vAlign w:val="center"/>
                </w:tcPr>
                <w:p>
                  <w:pPr>
                    <w:pStyle w:val="93"/>
                    <w:rPr>
                      <w:szCs w:val="21"/>
                    </w:rPr>
                  </w:pPr>
                  <w:r>
                    <w:rPr>
                      <w:rFonts w:cs="Times New Roman"/>
                      <w:szCs w:val="21"/>
                    </w:rPr>
                    <w:t>2019.3.21</w:t>
                  </w:r>
                </w:p>
              </w:tc>
              <w:tc>
                <w:tcPr>
                  <w:tcW w:w="2771" w:type="dxa"/>
                  <w:vAlign w:val="center"/>
                </w:tcPr>
                <w:p>
                  <w:pPr>
                    <w:pStyle w:val="93"/>
                    <w:rPr>
                      <w:rFonts w:eastAsia="仿宋_GB2312"/>
                      <w:szCs w:val="21"/>
                    </w:rPr>
                  </w:pPr>
                  <w:r>
                    <w:rPr>
                      <w:rFonts w:cs="Times New Roman"/>
                      <w:szCs w:val="21"/>
                    </w:rPr>
                    <w:t xml:space="preserve">53.0 </w:t>
                  </w:r>
                </w:p>
              </w:tc>
              <w:tc>
                <w:tcPr>
                  <w:tcW w:w="2775" w:type="dxa"/>
                  <w:vAlign w:val="center"/>
                </w:tcPr>
                <w:p>
                  <w:pPr>
                    <w:pStyle w:val="93"/>
                    <w:rPr>
                      <w:rFonts w:eastAsia="仿宋_GB2312"/>
                      <w:szCs w:val="21"/>
                    </w:rPr>
                  </w:pPr>
                  <w:r>
                    <w:rPr>
                      <w:rFonts w:cs="Times New Roman"/>
                      <w:szCs w:val="21"/>
                    </w:rPr>
                    <w:t xml:space="preserve">43.8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Merge w:val="continue"/>
                  <w:vAlign w:val="center"/>
                </w:tcPr>
                <w:p>
                  <w:pPr>
                    <w:jc w:val="center"/>
                    <w:rPr>
                      <w:szCs w:val="21"/>
                    </w:rPr>
                  </w:pPr>
                </w:p>
              </w:tc>
              <w:tc>
                <w:tcPr>
                  <w:tcW w:w="1388" w:type="dxa"/>
                  <w:vAlign w:val="center"/>
                </w:tcPr>
                <w:p>
                  <w:pPr>
                    <w:pStyle w:val="93"/>
                    <w:rPr>
                      <w:szCs w:val="21"/>
                    </w:rPr>
                  </w:pPr>
                  <w:r>
                    <w:rPr>
                      <w:rFonts w:cs="Times New Roman"/>
                      <w:szCs w:val="21"/>
                    </w:rPr>
                    <w:t>2019.3.22</w:t>
                  </w:r>
                </w:p>
              </w:tc>
              <w:tc>
                <w:tcPr>
                  <w:tcW w:w="2771" w:type="dxa"/>
                  <w:vAlign w:val="center"/>
                </w:tcPr>
                <w:p>
                  <w:pPr>
                    <w:pStyle w:val="93"/>
                    <w:rPr>
                      <w:rFonts w:eastAsia="仿宋_GB2312"/>
                      <w:szCs w:val="21"/>
                    </w:rPr>
                  </w:pPr>
                  <w:r>
                    <w:rPr>
                      <w:rFonts w:cs="Times New Roman"/>
                      <w:szCs w:val="21"/>
                    </w:rPr>
                    <w:t xml:space="preserve">53.8 </w:t>
                  </w:r>
                </w:p>
              </w:tc>
              <w:tc>
                <w:tcPr>
                  <w:tcW w:w="2775" w:type="dxa"/>
                  <w:vAlign w:val="center"/>
                </w:tcPr>
                <w:p>
                  <w:pPr>
                    <w:pStyle w:val="93"/>
                    <w:rPr>
                      <w:rFonts w:eastAsia="仿宋_GB2312"/>
                      <w:szCs w:val="21"/>
                    </w:rPr>
                  </w:pPr>
                  <w:r>
                    <w:rPr>
                      <w:rFonts w:cs="Times New Roman"/>
                      <w:szCs w:val="21"/>
                    </w:rPr>
                    <w:t xml:space="preserve">43.7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Merge w:val="restart"/>
                  <w:vAlign w:val="center"/>
                </w:tcPr>
                <w:p>
                  <w:pPr>
                    <w:jc w:val="center"/>
                    <w:rPr>
                      <w:szCs w:val="21"/>
                    </w:rPr>
                  </w:pPr>
                  <w:r>
                    <w:rPr>
                      <w:szCs w:val="21"/>
                    </w:rPr>
                    <w:t>3</w:t>
                  </w:r>
                  <w:r>
                    <w:rPr>
                      <w:rFonts w:hAnsi="宋体"/>
                      <w:szCs w:val="21"/>
                    </w:rPr>
                    <w:t>西厂界</w:t>
                  </w:r>
                </w:p>
              </w:tc>
              <w:tc>
                <w:tcPr>
                  <w:tcW w:w="1388" w:type="dxa"/>
                  <w:vAlign w:val="center"/>
                </w:tcPr>
                <w:p>
                  <w:pPr>
                    <w:pStyle w:val="93"/>
                    <w:rPr>
                      <w:szCs w:val="21"/>
                    </w:rPr>
                  </w:pPr>
                  <w:r>
                    <w:rPr>
                      <w:rFonts w:cs="Times New Roman"/>
                      <w:szCs w:val="21"/>
                    </w:rPr>
                    <w:t>2019.3.21</w:t>
                  </w:r>
                </w:p>
              </w:tc>
              <w:tc>
                <w:tcPr>
                  <w:tcW w:w="2771" w:type="dxa"/>
                  <w:vAlign w:val="center"/>
                </w:tcPr>
                <w:p>
                  <w:pPr>
                    <w:pStyle w:val="93"/>
                    <w:rPr>
                      <w:rFonts w:eastAsia="仿宋_GB2312"/>
                      <w:szCs w:val="21"/>
                    </w:rPr>
                  </w:pPr>
                  <w:r>
                    <w:rPr>
                      <w:rFonts w:cs="Times New Roman"/>
                      <w:szCs w:val="21"/>
                    </w:rPr>
                    <w:t xml:space="preserve">54.0 </w:t>
                  </w:r>
                </w:p>
              </w:tc>
              <w:tc>
                <w:tcPr>
                  <w:tcW w:w="2775" w:type="dxa"/>
                  <w:vAlign w:val="center"/>
                </w:tcPr>
                <w:p>
                  <w:pPr>
                    <w:pStyle w:val="93"/>
                    <w:rPr>
                      <w:rFonts w:eastAsia="仿宋_GB2312"/>
                      <w:szCs w:val="21"/>
                    </w:rPr>
                  </w:pPr>
                  <w:r>
                    <w:rPr>
                      <w:rFonts w:cs="Times New Roman"/>
                      <w:szCs w:val="21"/>
                    </w:rPr>
                    <w:t xml:space="preserve">42.8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Merge w:val="continue"/>
                  <w:vAlign w:val="center"/>
                </w:tcPr>
                <w:p>
                  <w:pPr>
                    <w:jc w:val="center"/>
                    <w:rPr>
                      <w:szCs w:val="21"/>
                    </w:rPr>
                  </w:pPr>
                </w:p>
              </w:tc>
              <w:tc>
                <w:tcPr>
                  <w:tcW w:w="1388" w:type="dxa"/>
                  <w:vAlign w:val="center"/>
                </w:tcPr>
                <w:p>
                  <w:pPr>
                    <w:pStyle w:val="93"/>
                    <w:rPr>
                      <w:szCs w:val="21"/>
                    </w:rPr>
                  </w:pPr>
                  <w:r>
                    <w:rPr>
                      <w:rFonts w:cs="Times New Roman"/>
                      <w:szCs w:val="21"/>
                    </w:rPr>
                    <w:t>2019.3.22</w:t>
                  </w:r>
                </w:p>
              </w:tc>
              <w:tc>
                <w:tcPr>
                  <w:tcW w:w="2771" w:type="dxa"/>
                  <w:vAlign w:val="center"/>
                </w:tcPr>
                <w:p>
                  <w:pPr>
                    <w:pStyle w:val="93"/>
                    <w:rPr>
                      <w:rFonts w:eastAsia="仿宋_GB2312"/>
                      <w:szCs w:val="21"/>
                    </w:rPr>
                  </w:pPr>
                  <w:r>
                    <w:rPr>
                      <w:rFonts w:cs="Times New Roman"/>
                      <w:szCs w:val="21"/>
                    </w:rPr>
                    <w:t xml:space="preserve">52.7 </w:t>
                  </w:r>
                </w:p>
              </w:tc>
              <w:tc>
                <w:tcPr>
                  <w:tcW w:w="2775" w:type="dxa"/>
                  <w:vAlign w:val="center"/>
                </w:tcPr>
                <w:p>
                  <w:pPr>
                    <w:pStyle w:val="93"/>
                    <w:rPr>
                      <w:rFonts w:eastAsia="仿宋_GB2312"/>
                      <w:szCs w:val="21"/>
                    </w:rPr>
                  </w:pPr>
                  <w:r>
                    <w:rPr>
                      <w:rFonts w:cs="Times New Roman"/>
                      <w:szCs w:val="21"/>
                    </w:rPr>
                    <w:t xml:space="preserve">43.9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Merge w:val="restart"/>
                  <w:vAlign w:val="center"/>
                </w:tcPr>
                <w:p>
                  <w:pPr>
                    <w:jc w:val="center"/>
                    <w:rPr>
                      <w:szCs w:val="21"/>
                    </w:rPr>
                  </w:pPr>
                  <w:r>
                    <w:rPr>
                      <w:rFonts w:hint="eastAsia"/>
                      <w:szCs w:val="21"/>
                    </w:rPr>
                    <w:t>4</w:t>
                  </w:r>
                  <w:r>
                    <w:rPr>
                      <w:rFonts w:hAnsi="宋体"/>
                      <w:szCs w:val="21"/>
                    </w:rPr>
                    <w:t>北厂界</w:t>
                  </w:r>
                </w:p>
              </w:tc>
              <w:tc>
                <w:tcPr>
                  <w:tcW w:w="1388" w:type="dxa"/>
                  <w:vAlign w:val="center"/>
                </w:tcPr>
                <w:p>
                  <w:pPr>
                    <w:pStyle w:val="93"/>
                    <w:rPr>
                      <w:szCs w:val="21"/>
                    </w:rPr>
                  </w:pPr>
                  <w:r>
                    <w:rPr>
                      <w:rFonts w:cs="Times New Roman"/>
                      <w:szCs w:val="21"/>
                    </w:rPr>
                    <w:t>2019.3.21</w:t>
                  </w:r>
                </w:p>
              </w:tc>
              <w:tc>
                <w:tcPr>
                  <w:tcW w:w="2771" w:type="dxa"/>
                  <w:vAlign w:val="center"/>
                </w:tcPr>
                <w:p>
                  <w:pPr>
                    <w:pStyle w:val="93"/>
                    <w:rPr>
                      <w:rFonts w:eastAsia="仿宋_GB2312"/>
                      <w:szCs w:val="21"/>
                    </w:rPr>
                  </w:pPr>
                  <w:r>
                    <w:rPr>
                      <w:rFonts w:cs="Times New Roman"/>
                      <w:szCs w:val="21"/>
                    </w:rPr>
                    <w:t xml:space="preserve">53.3 </w:t>
                  </w:r>
                </w:p>
              </w:tc>
              <w:tc>
                <w:tcPr>
                  <w:tcW w:w="2775" w:type="dxa"/>
                  <w:vAlign w:val="center"/>
                </w:tcPr>
                <w:p>
                  <w:pPr>
                    <w:pStyle w:val="93"/>
                    <w:rPr>
                      <w:rFonts w:eastAsia="仿宋_GB2312"/>
                      <w:szCs w:val="21"/>
                    </w:rPr>
                  </w:pPr>
                  <w:r>
                    <w:rPr>
                      <w:rFonts w:cs="Times New Roman"/>
                      <w:szCs w:val="21"/>
                    </w:rPr>
                    <w:t xml:space="preserve">44.6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Merge w:val="continue"/>
                  <w:vAlign w:val="center"/>
                </w:tcPr>
                <w:p>
                  <w:pPr>
                    <w:jc w:val="center"/>
                    <w:rPr>
                      <w:szCs w:val="21"/>
                    </w:rPr>
                  </w:pPr>
                </w:p>
              </w:tc>
              <w:tc>
                <w:tcPr>
                  <w:tcW w:w="1388" w:type="dxa"/>
                  <w:vAlign w:val="center"/>
                </w:tcPr>
                <w:p>
                  <w:pPr>
                    <w:pStyle w:val="93"/>
                    <w:rPr>
                      <w:szCs w:val="21"/>
                    </w:rPr>
                  </w:pPr>
                  <w:r>
                    <w:rPr>
                      <w:rFonts w:cs="Times New Roman"/>
                      <w:szCs w:val="21"/>
                    </w:rPr>
                    <w:t>2019.3.22</w:t>
                  </w:r>
                </w:p>
              </w:tc>
              <w:tc>
                <w:tcPr>
                  <w:tcW w:w="2771" w:type="dxa"/>
                  <w:vAlign w:val="center"/>
                </w:tcPr>
                <w:p>
                  <w:pPr>
                    <w:pStyle w:val="93"/>
                    <w:rPr>
                      <w:rFonts w:eastAsia="仿宋_GB2312"/>
                      <w:szCs w:val="21"/>
                    </w:rPr>
                  </w:pPr>
                  <w:r>
                    <w:rPr>
                      <w:rFonts w:cs="Times New Roman"/>
                      <w:szCs w:val="21"/>
                    </w:rPr>
                    <w:t xml:space="preserve">53.6 </w:t>
                  </w:r>
                </w:p>
              </w:tc>
              <w:tc>
                <w:tcPr>
                  <w:tcW w:w="2775" w:type="dxa"/>
                  <w:vAlign w:val="center"/>
                </w:tcPr>
                <w:p>
                  <w:pPr>
                    <w:pStyle w:val="93"/>
                    <w:rPr>
                      <w:rFonts w:eastAsia="仿宋_GB2312"/>
                      <w:szCs w:val="21"/>
                    </w:rPr>
                  </w:pPr>
                  <w:r>
                    <w:rPr>
                      <w:rFonts w:cs="Times New Roman"/>
                      <w:szCs w:val="21"/>
                    </w:rPr>
                    <w:t xml:space="preserve">44.3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Align w:val="center"/>
                </w:tcPr>
                <w:p>
                  <w:pPr>
                    <w:pStyle w:val="93"/>
                    <w:rPr>
                      <w:szCs w:val="21"/>
                    </w:rPr>
                  </w:pPr>
                  <w:r>
                    <w:rPr>
                      <w:rFonts w:hint="eastAsia" w:cs="Times New Roman"/>
                      <w:szCs w:val="21"/>
                    </w:rPr>
                    <w:t xml:space="preserve">5 </w:t>
                  </w:r>
                  <w:r>
                    <w:rPr>
                      <w:rFonts w:hint="eastAsia"/>
                      <w:szCs w:val="21"/>
                    </w:rPr>
                    <w:t>项目南侧紧邻厂界居民处</w:t>
                  </w:r>
                </w:p>
              </w:tc>
              <w:tc>
                <w:tcPr>
                  <w:tcW w:w="1388" w:type="dxa"/>
                  <w:vAlign w:val="center"/>
                </w:tcPr>
                <w:p>
                  <w:pPr>
                    <w:pStyle w:val="93"/>
                    <w:rPr>
                      <w:rFonts w:cs="Times New Roman"/>
                      <w:szCs w:val="21"/>
                    </w:rPr>
                  </w:pPr>
                  <w:r>
                    <w:rPr>
                      <w:rFonts w:cs="Times New Roman"/>
                      <w:szCs w:val="21"/>
                    </w:rPr>
                    <w:t>2019.3.21</w:t>
                  </w:r>
                </w:p>
              </w:tc>
              <w:tc>
                <w:tcPr>
                  <w:tcW w:w="2771" w:type="dxa"/>
                  <w:vAlign w:val="center"/>
                </w:tcPr>
                <w:p>
                  <w:pPr>
                    <w:pStyle w:val="93"/>
                    <w:rPr>
                      <w:rFonts w:cs="Times New Roman"/>
                      <w:szCs w:val="21"/>
                    </w:rPr>
                  </w:pPr>
                  <w:r>
                    <w:rPr>
                      <w:rFonts w:cs="Times New Roman"/>
                      <w:szCs w:val="21"/>
                    </w:rPr>
                    <w:t xml:space="preserve">54.2 </w:t>
                  </w:r>
                </w:p>
              </w:tc>
              <w:tc>
                <w:tcPr>
                  <w:tcW w:w="2775" w:type="dxa"/>
                  <w:vAlign w:val="center"/>
                </w:tcPr>
                <w:p>
                  <w:pPr>
                    <w:pStyle w:val="93"/>
                    <w:rPr>
                      <w:rFonts w:cs="Times New Roman"/>
                      <w:szCs w:val="21"/>
                    </w:rPr>
                  </w:pPr>
                  <w:r>
                    <w:rPr>
                      <w:rFonts w:cs="Times New Roman"/>
                      <w:szCs w:val="21"/>
                    </w:rPr>
                    <w:t xml:space="preserve">44.5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Align w:val="center"/>
                </w:tcPr>
                <w:p>
                  <w:pPr>
                    <w:pStyle w:val="93"/>
                    <w:rPr>
                      <w:szCs w:val="21"/>
                    </w:rPr>
                  </w:pPr>
                  <w:r>
                    <w:rPr>
                      <w:rFonts w:hint="eastAsia" w:cs="Times New Roman"/>
                      <w:szCs w:val="21"/>
                    </w:rPr>
                    <w:t xml:space="preserve">6 </w:t>
                  </w:r>
                  <w:r>
                    <w:rPr>
                      <w:rFonts w:hint="eastAsia"/>
                      <w:szCs w:val="21"/>
                    </w:rPr>
                    <w:t>项目东侧紧邻厂界居民处</w:t>
                  </w:r>
                </w:p>
              </w:tc>
              <w:tc>
                <w:tcPr>
                  <w:tcW w:w="1388" w:type="dxa"/>
                  <w:vAlign w:val="center"/>
                </w:tcPr>
                <w:p>
                  <w:pPr>
                    <w:pStyle w:val="93"/>
                    <w:rPr>
                      <w:rFonts w:cs="Times New Roman"/>
                      <w:szCs w:val="21"/>
                    </w:rPr>
                  </w:pPr>
                  <w:r>
                    <w:rPr>
                      <w:rFonts w:cs="Times New Roman"/>
                      <w:szCs w:val="21"/>
                    </w:rPr>
                    <w:t>2019.3.22</w:t>
                  </w:r>
                </w:p>
              </w:tc>
              <w:tc>
                <w:tcPr>
                  <w:tcW w:w="2771" w:type="dxa"/>
                  <w:vAlign w:val="center"/>
                </w:tcPr>
                <w:p>
                  <w:pPr>
                    <w:pStyle w:val="93"/>
                    <w:rPr>
                      <w:rFonts w:cs="Times New Roman"/>
                      <w:szCs w:val="21"/>
                    </w:rPr>
                  </w:pPr>
                  <w:r>
                    <w:rPr>
                      <w:rFonts w:cs="Times New Roman"/>
                      <w:szCs w:val="21"/>
                    </w:rPr>
                    <w:t xml:space="preserve">53.0 </w:t>
                  </w:r>
                </w:p>
              </w:tc>
              <w:tc>
                <w:tcPr>
                  <w:tcW w:w="2775" w:type="dxa"/>
                  <w:vAlign w:val="center"/>
                </w:tcPr>
                <w:p>
                  <w:pPr>
                    <w:pStyle w:val="93"/>
                    <w:rPr>
                      <w:rFonts w:cs="Times New Roman"/>
                      <w:szCs w:val="21"/>
                    </w:rPr>
                  </w:pPr>
                  <w:r>
                    <w:rPr>
                      <w:rFonts w:cs="Times New Roman"/>
                      <w:szCs w:val="21"/>
                    </w:rPr>
                    <w:t xml:space="preserve">44.4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86" w:type="dxa"/>
                  <w:vAlign w:val="center"/>
                </w:tcPr>
                <w:p>
                  <w:pPr>
                    <w:pStyle w:val="93"/>
                    <w:rPr>
                      <w:szCs w:val="21"/>
                    </w:rPr>
                  </w:pPr>
                  <w:r>
                    <w:rPr>
                      <w:rFonts w:hint="eastAsia" w:cs="Times New Roman"/>
                      <w:szCs w:val="21"/>
                    </w:rPr>
                    <w:t xml:space="preserve">7 </w:t>
                  </w:r>
                  <w:r>
                    <w:rPr>
                      <w:rFonts w:hint="eastAsia"/>
                      <w:szCs w:val="21"/>
                    </w:rPr>
                    <w:t>项目北侧95m居民处</w:t>
                  </w:r>
                </w:p>
              </w:tc>
              <w:tc>
                <w:tcPr>
                  <w:tcW w:w="1388" w:type="dxa"/>
                  <w:vAlign w:val="center"/>
                </w:tcPr>
                <w:p>
                  <w:pPr>
                    <w:pStyle w:val="93"/>
                    <w:rPr>
                      <w:rFonts w:cs="Times New Roman"/>
                      <w:szCs w:val="21"/>
                    </w:rPr>
                  </w:pPr>
                  <w:r>
                    <w:rPr>
                      <w:rFonts w:cs="Times New Roman"/>
                      <w:szCs w:val="21"/>
                    </w:rPr>
                    <w:t>2019.3.21</w:t>
                  </w:r>
                </w:p>
              </w:tc>
              <w:tc>
                <w:tcPr>
                  <w:tcW w:w="2771" w:type="dxa"/>
                  <w:vAlign w:val="center"/>
                </w:tcPr>
                <w:p>
                  <w:pPr>
                    <w:pStyle w:val="93"/>
                    <w:rPr>
                      <w:rFonts w:cs="Times New Roman"/>
                      <w:szCs w:val="21"/>
                    </w:rPr>
                  </w:pPr>
                  <w:r>
                    <w:rPr>
                      <w:rFonts w:cs="Times New Roman"/>
                      <w:szCs w:val="21"/>
                    </w:rPr>
                    <w:t xml:space="preserve">53.5 </w:t>
                  </w:r>
                </w:p>
              </w:tc>
              <w:tc>
                <w:tcPr>
                  <w:tcW w:w="2775" w:type="dxa"/>
                  <w:vAlign w:val="center"/>
                </w:tcPr>
                <w:p>
                  <w:pPr>
                    <w:pStyle w:val="93"/>
                    <w:rPr>
                      <w:rFonts w:cs="Times New Roman"/>
                      <w:szCs w:val="21"/>
                    </w:rPr>
                  </w:pPr>
                  <w:r>
                    <w:rPr>
                      <w:rFonts w:cs="Times New Roman"/>
                      <w:szCs w:val="21"/>
                    </w:rPr>
                    <w:t xml:space="preserve">43.3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2774" w:type="dxa"/>
                  <w:gridSpan w:val="2"/>
                  <w:vAlign w:val="center"/>
                </w:tcPr>
                <w:p>
                  <w:pPr>
                    <w:jc w:val="center"/>
                    <w:rPr>
                      <w:szCs w:val="21"/>
                    </w:rPr>
                  </w:pPr>
                  <w:r>
                    <w:rPr>
                      <w:rFonts w:hAnsi="宋体"/>
                      <w:szCs w:val="21"/>
                    </w:rPr>
                    <w:t>评价标准（</w:t>
                  </w:r>
                  <w:r>
                    <w:rPr>
                      <w:rFonts w:hint="eastAsia"/>
                      <w:szCs w:val="21"/>
                    </w:rPr>
                    <w:t>2</w:t>
                  </w:r>
                  <w:r>
                    <w:rPr>
                      <w:rFonts w:hAnsi="宋体"/>
                      <w:szCs w:val="21"/>
                    </w:rPr>
                    <w:t>类）</w:t>
                  </w:r>
                </w:p>
              </w:tc>
              <w:tc>
                <w:tcPr>
                  <w:tcW w:w="2771" w:type="dxa"/>
                  <w:vAlign w:val="center"/>
                </w:tcPr>
                <w:p>
                  <w:pPr>
                    <w:jc w:val="center"/>
                    <w:rPr>
                      <w:szCs w:val="21"/>
                    </w:rPr>
                  </w:pPr>
                  <w:r>
                    <w:rPr>
                      <w:rFonts w:hAnsi="宋体"/>
                      <w:szCs w:val="21"/>
                    </w:rPr>
                    <w:t>昼间：</w:t>
                  </w:r>
                  <w:r>
                    <w:rPr>
                      <w:rFonts w:hint="eastAsia"/>
                      <w:szCs w:val="21"/>
                    </w:rPr>
                    <w:t>60</w:t>
                  </w:r>
                  <w:r>
                    <w:rPr>
                      <w:szCs w:val="21"/>
                    </w:rPr>
                    <w:t>dB</w:t>
                  </w:r>
                  <w:r>
                    <w:rPr>
                      <w:rFonts w:hint="eastAsia"/>
                      <w:szCs w:val="21"/>
                    </w:rPr>
                    <w:t>(A)</w:t>
                  </w:r>
                </w:p>
              </w:tc>
              <w:tc>
                <w:tcPr>
                  <w:tcW w:w="2775" w:type="dxa"/>
                  <w:vAlign w:val="center"/>
                </w:tcPr>
                <w:p>
                  <w:pPr>
                    <w:jc w:val="center"/>
                    <w:rPr>
                      <w:szCs w:val="21"/>
                    </w:rPr>
                  </w:pPr>
                  <w:r>
                    <w:rPr>
                      <w:rFonts w:hAnsi="宋体"/>
                      <w:szCs w:val="21"/>
                    </w:rPr>
                    <w:t>夜间：</w:t>
                  </w:r>
                  <w:r>
                    <w:rPr>
                      <w:szCs w:val="21"/>
                    </w:rPr>
                    <w:t>5</w:t>
                  </w:r>
                  <w:r>
                    <w:rPr>
                      <w:rFonts w:hint="eastAsia"/>
                      <w:szCs w:val="21"/>
                    </w:rPr>
                    <w:t>0</w:t>
                  </w:r>
                  <w:r>
                    <w:rPr>
                      <w:szCs w:val="21"/>
                    </w:rPr>
                    <w:t>dB</w:t>
                  </w:r>
                  <w:r>
                    <w:rPr>
                      <w:rFonts w:hint="eastAsia"/>
                      <w:szCs w:val="21"/>
                    </w:rPr>
                    <w:t>(A)</w:t>
                  </w:r>
                </w:p>
              </w:tc>
            </w:tr>
          </w:tbl>
          <w:p>
            <w:pPr>
              <w:spacing w:line="360" w:lineRule="auto"/>
              <w:ind w:firstLine="482" w:firstLineChars="200"/>
              <w:rPr>
                <w:rFonts w:hint="default" w:eastAsia="宋体"/>
                <w:b/>
                <w:bCs/>
                <w:sz w:val="24"/>
                <w:lang w:val="en-US" w:eastAsia="zh-CN"/>
              </w:rPr>
            </w:pPr>
            <w:r>
              <w:rPr>
                <w:rFonts w:hint="eastAsia"/>
                <w:b/>
                <w:bCs/>
                <w:sz w:val="24"/>
                <w:lang w:val="en-US" w:eastAsia="zh-CN"/>
              </w:rPr>
              <w:t>4.土壤环境质量现状</w:t>
            </w:r>
          </w:p>
          <w:p>
            <w:pPr>
              <w:spacing w:line="360" w:lineRule="auto"/>
              <w:ind w:firstLine="480" w:firstLineChars="200"/>
              <w:rPr>
                <w:rFonts w:hint="eastAsia"/>
                <w:sz w:val="24"/>
                <w:szCs w:val="22"/>
                <w:lang w:eastAsia="zh-CN"/>
              </w:rPr>
            </w:pPr>
            <w:r>
              <w:rPr>
                <w:rFonts w:hint="eastAsia"/>
                <w:sz w:val="24"/>
                <w:szCs w:val="22"/>
                <w:lang w:eastAsia="zh-CN"/>
              </w:rPr>
              <w:t>本次评价委托湖南精科检测有限公司于2020年</w:t>
            </w:r>
            <w:r>
              <w:rPr>
                <w:rFonts w:hint="eastAsia"/>
                <w:sz w:val="24"/>
                <w:szCs w:val="22"/>
                <w:lang w:val="en-US" w:eastAsia="zh-CN"/>
              </w:rPr>
              <w:t>7</w:t>
            </w:r>
            <w:r>
              <w:rPr>
                <w:rFonts w:hint="eastAsia"/>
                <w:sz w:val="24"/>
                <w:szCs w:val="22"/>
                <w:lang w:eastAsia="zh-CN"/>
              </w:rPr>
              <w:t>月</w:t>
            </w:r>
            <w:r>
              <w:rPr>
                <w:rFonts w:hint="eastAsia"/>
                <w:sz w:val="24"/>
                <w:szCs w:val="22"/>
                <w:lang w:val="en-US" w:eastAsia="zh-CN"/>
              </w:rPr>
              <w:t>2</w:t>
            </w:r>
            <w:r>
              <w:rPr>
                <w:rFonts w:hint="eastAsia"/>
                <w:sz w:val="24"/>
                <w:szCs w:val="22"/>
                <w:lang w:eastAsia="zh-CN"/>
              </w:rPr>
              <w:t>日对项目区域土壤环境进行了监测。</w:t>
            </w:r>
          </w:p>
          <w:p>
            <w:pPr>
              <w:spacing w:line="360" w:lineRule="auto"/>
              <w:ind w:firstLine="480" w:firstLineChars="200"/>
              <w:rPr>
                <w:rFonts w:hint="eastAsia"/>
                <w:sz w:val="24"/>
                <w:szCs w:val="22"/>
                <w:lang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）监测布点</w:t>
            </w:r>
          </w:p>
          <w:p>
            <w:pPr>
              <w:spacing w:line="360" w:lineRule="auto"/>
              <w:ind w:firstLine="480" w:firstLineChars="200"/>
              <w:rPr>
                <w:rFonts w:hint="eastAsia"/>
                <w:sz w:val="24"/>
                <w:szCs w:val="22"/>
                <w:lang w:eastAsia="zh-CN"/>
              </w:rPr>
            </w:pPr>
            <w:r>
              <w:rPr>
                <w:rFonts w:hint="eastAsia"/>
                <w:sz w:val="24"/>
                <w:szCs w:val="22"/>
                <w:lang w:eastAsia="zh-CN"/>
              </w:rPr>
              <w:t>本次评价</w:t>
            </w:r>
            <w:r>
              <w:rPr>
                <w:rFonts w:hint="eastAsia"/>
                <w:sz w:val="24"/>
                <w:szCs w:val="22"/>
                <w:lang w:val="en-US" w:eastAsia="zh-CN"/>
              </w:rPr>
              <w:t>在厂区内设置1个土壤</w:t>
            </w:r>
            <w:r>
              <w:rPr>
                <w:rFonts w:hint="eastAsia"/>
                <w:sz w:val="24"/>
                <w:szCs w:val="22"/>
                <w:lang w:eastAsia="zh-CN"/>
              </w:rPr>
              <w:t>现状监测点</w:t>
            </w:r>
          </w:p>
          <w:p>
            <w:pPr>
              <w:spacing w:line="360" w:lineRule="auto"/>
              <w:ind w:firstLine="480" w:firstLineChars="200"/>
              <w:rPr>
                <w:rFonts w:hint="eastAsia"/>
                <w:sz w:val="24"/>
                <w:szCs w:val="22"/>
                <w:lang w:val="en-US" w:eastAsia="zh-CN"/>
              </w:rPr>
            </w:pPr>
            <w:r>
              <w:rPr>
                <w:rFonts w:hint="eastAsia"/>
                <w:sz w:val="24"/>
                <w:szCs w:val="22"/>
                <w:lang w:eastAsia="zh-CN"/>
              </w:rPr>
              <w:t>（</w:t>
            </w:r>
            <w:r>
              <w:rPr>
                <w:rFonts w:hint="eastAsia"/>
                <w:sz w:val="24"/>
                <w:szCs w:val="22"/>
                <w:lang w:val="en-US" w:eastAsia="zh-CN"/>
              </w:rPr>
              <w:t>2</w:t>
            </w:r>
            <w:r>
              <w:rPr>
                <w:rFonts w:hint="eastAsia"/>
                <w:sz w:val="24"/>
                <w:szCs w:val="22"/>
                <w:lang w:eastAsia="zh-CN"/>
              </w:rPr>
              <w:t>）监测项目：</w:t>
            </w:r>
            <w:r>
              <w:rPr>
                <w:rFonts w:hint="eastAsia"/>
                <w:sz w:val="24"/>
                <w:szCs w:val="22"/>
                <w:lang w:val="en-US" w:eastAsia="zh-CN"/>
              </w:rPr>
              <w:t>砷、镉、六价铬、铜、铅、汞、镍、四氯化碳、氯仿、氯甲烷、1,1二氯乙烷、1,2二氯乙烷、1,1二氯乙烯、顺1,2二氯乙烯、反1,2二氯乙烯、二氯甲烷、1,2-二氯丙烷、1,1,1,2四氯乙烷、1,1,2,2,四氯乙烷、四氯乙烯、</w:t>
            </w:r>
          </w:p>
          <w:p>
            <w:pPr>
              <w:spacing w:line="360" w:lineRule="auto"/>
              <w:ind w:firstLine="480" w:firstLineChars="200"/>
              <w:rPr>
                <w:rFonts w:hint="eastAsia"/>
                <w:sz w:val="24"/>
                <w:szCs w:val="22"/>
                <w:lang w:val="en-US" w:eastAsia="zh-CN"/>
              </w:rPr>
            </w:pPr>
            <w:r>
              <w:rPr>
                <w:rFonts w:hint="eastAsia"/>
                <w:sz w:val="24"/>
                <w:szCs w:val="22"/>
                <w:lang w:val="en-US" w:eastAsia="zh-CN"/>
              </w:rPr>
              <w:t>1,1,1-三氯乙烷、1,1,2-三氯乙烷、三氯乙烯、1,2,3-三氯丙烷、氯乙烯、苯、氯苯、1,2二氯苯、1,4二氯苯、乙苯、苯乙烯、甲苯、间二甲苯+对二甲苯、邻二甲苯、硝基苯、苯胺、2-氯酚、苯并[a]蒽、苯并[a]芘、苯并[b]荧蒽、苯并[k]荧蒽、䓛、二苯并[a,h] 蒽、茚并[1,2,3-cd]芘、萘</w:t>
            </w:r>
          </w:p>
          <w:p>
            <w:pPr>
              <w:spacing w:line="360" w:lineRule="auto"/>
              <w:ind w:firstLine="480" w:firstLineChars="200"/>
              <w:rPr>
                <w:rFonts w:hint="eastAsia"/>
                <w:sz w:val="24"/>
                <w:szCs w:val="22"/>
                <w:lang w:val="en-US" w:eastAsia="zh-CN"/>
              </w:rPr>
            </w:pPr>
            <w:r>
              <w:rPr>
                <w:rFonts w:hint="eastAsia"/>
                <w:sz w:val="24"/>
                <w:szCs w:val="22"/>
                <w:lang w:val="en-US" w:eastAsia="zh-CN"/>
              </w:rPr>
              <w:t>（3）监测时间和频次：2020年7月2日采样，进行一期监测，监测1次。</w:t>
            </w:r>
          </w:p>
          <w:p>
            <w:pPr>
              <w:pStyle w:val="2"/>
              <w:kinsoku w:val="0"/>
              <w:overflowPunct w:val="0"/>
              <w:spacing w:before="65" w:line="364" w:lineRule="auto"/>
              <w:ind w:right="1439" w:firstLine="472" w:firstLineChars="200"/>
              <w:rPr>
                <w:rFonts w:ascii="宋体" w:hAnsi="宋体"/>
                <w:color w:val="auto"/>
                <w:spacing w:val="-2"/>
                <w:sz w:val="24"/>
                <w:szCs w:val="24"/>
                <w:highlight w:val="none"/>
                <w:lang w:eastAsia="zh-CN"/>
              </w:rPr>
            </w:pPr>
            <w:r>
              <w:rPr>
                <w:rFonts w:hint="eastAsia" w:ascii="宋体" w:hAnsi="宋体"/>
                <w:color w:val="auto"/>
                <w:spacing w:val="-2"/>
                <w:sz w:val="24"/>
                <w:szCs w:val="24"/>
                <w:highlight w:val="none"/>
                <w:lang w:eastAsia="zh-CN"/>
              </w:rPr>
              <w:t>（</w:t>
            </w:r>
            <w:r>
              <w:rPr>
                <w:rFonts w:hint="eastAsia" w:ascii="宋体" w:hAnsi="宋体"/>
                <w:color w:val="auto"/>
                <w:spacing w:val="-2"/>
                <w:sz w:val="24"/>
                <w:szCs w:val="24"/>
                <w:highlight w:val="none"/>
                <w:lang w:val="en-US" w:eastAsia="zh-CN"/>
              </w:rPr>
              <w:t>4</w:t>
            </w:r>
            <w:r>
              <w:rPr>
                <w:rFonts w:hint="eastAsia" w:ascii="宋体" w:hAnsi="宋体"/>
                <w:color w:val="auto"/>
                <w:spacing w:val="-2"/>
                <w:sz w:val="24"/>
                <w:szCs w:val="24"/>
                <w:highlight w:val="none"/>
                <w:lang w:eastAsia="zh-CN"/>
              </w:rPr>
              <w:t>）</w:t>
            </w:r>
            <w:r>
              <w:rPr>
                <w:rFonts w:ascii="宋体" w:hAnsi="宋体"/>
                <w:color w:val="auto"/>
                <w:spacing w:val="-2"/>
                <w:sz w:val="24"/>
                <w:szCs w:val="24"/>
                <w:highlight w:val="none"/>
                <w:lang w:eastAsia="zh-CN"/>
              </w:rPr>
              <w:t>测量方法与仪器</w:t>
            </w:r>
          </w:p>
          <w:p>
            <w:pPr>
              <w:wordWrap w:val="0"/>
              <w:spacing w:line="360" w:lineRule="auto"/>
              <w:ind w:right="-88" w:rightChars="-42" w:firstLine="472" w:firstLineChars="200"/>
              <w:rPr>
                <w:rFonts w:ascii="宋体" w:hAnsi="宋体" w:cs="Times New Roman"/>
                <w:color w:val="auto"/>
                <w:spacing w:val="-2"/>
                <w:sz w:val="24"/>
                <w:szCs w:val="24"/>
                <w:highlight w:val="none"/>
                <w:lang w:eastAsia="zh-CN"/>
              </w:rPr>
            </w:pPr>
            <w:r>
              <w:rPr>
                <w:rFonts w:ascii="宋体" w:hAnsi="宋体" w:cs="Times New Roman"/>
                <w:color w:val="auto"/>
                <w:spacing w:val="-2"/>
                <w:sz w:val="24"/>
                <w:szCs w:val="24"/>
                <w:highlight w:val="none"/>
                <w:lang w:eastAsia="zh-CN"/>
              </w:rPr>
              <w:t>测量方法与仪器应符合</w:t>
            </w:r>
            <w:r>
              <w:rPr>
                <w:rFonts w:ascii="宋体" w:hAnsi="宋体" w:cs="Times New Roman"/>
                <w:color w:val="auto"/>
                <w:sz w:val="24"/>
                <w:highlight w:val="none"/>
                <w:lang w:eastAsia="zh-CN"/>
              </w:rPr>
              <w:t>《土壤环境质量  建设用地土壤污染风险管控标准（试行）》GB36600-2018）</w:t>
            </w:r>
            <w:r>
              <w:rPr>
                <w:rFonts w:ascii="宋体" w:hAnsi="宋体" w:cs="Times New Roman"/>
                <w:color w:val="auto"/>
                <w:spacing w:val="-2"/>
                <w:sz w:val="24"/>
                <w:szCs w:val="24"/>
                <w:highlight w:val="none"/>
                <w:lang w:eastAsia="zh-CN"/>
              </w:rPr>
              <w:t>中的有关规定。</w:t>
            </w:r>
          </w:p>
          <w:p>
            <w:pPr>
              <w:tabs>
                <w:tab w:val="left" w:pos="2640"/>
              </w:tabs>
              <w:rPr>
                <w:rFonts w:ascii="宋体" w:hAnsi="宋体"/>
                <w:b/>
                <w:color w:val="FF0000"/>
                <w:spacing w:val="-2"/>
                <w:sz w:val="24"/>
                <w:szCs w:val="24"/>
                <w:highlight w:val="none"/>
                <w:lang w:eastAsia="zh-CN"/>
              </w:rPr>
            </w:pPr>
          </w:p>
          <w:p>
            <w:pPr>
              <w:spacing w:line="360" w:lineRule="auto"/>
              <w:jc w:val="center"/>
              <w:rPr>
                <w:b/>
                <w:sz w:val="24"/>
              </w:rPr>
            </w:pPr>
            <w:r>
              <w:drawing>
                <wp:inline distT="0" distB="0" distL="114300" distR="114300">
                  <wp:extent cx="5272405" cy="3496945"/>
                  <wp:effectExtent l="0" t="0" r="4445" b="825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7"/>
                          <a:stretch>
                            <a:fillRect/>
                          </a:stretch>
                        </pic:blipFill>
                        <pic:spPr>
                          <a:xfrm>
                            <a:off x="0" y="0"/>
                            <a:ext cx="5272405" cy="3496945"/>
                          </a:xfrm>
                          <a:prstGeom prst="rect">
                            <a:avLst/>
                          </a:prstGeom>
                          <a:noFill/>
                          <a:ln>
                            <a:noFill/>
                          </a:ln>
                        </pic:spPr>
                      </pic:pic>
                    </a:graphicData>
                  </a:graphic>
                </wp:inline>
              </w:drawing>
            </w:r>
            <w:r>
              <w:rPr>
                <w:rFonts w:hint="eastAsia"/>
                <w:b/>
                <w:sz w:val="24"/>
              </w:rPr>
              <w:t>图3-</w:t>
            </w:r>
            <w:r>
              <w:rPr>
                <w:rFonts w:hint="eastAsia"/>
                <w:b/>
                <w:sz w:val="24"/>
                <w:lang w:val="en-US" w:eastAsia="zh-CN"/>
              </w:rPr>
              <w:t>1</w:t>
            </w:r>
            <w:r>
              <w:rPr>
                <w:rFonts w:hint="eastAsia"/>
                <w:b/>
                <w:sz w:val="24"/>
              </w:rPr>
              <w:t xml:space="preserve">   项目</w:t>
            </w:r>
            <w:r>
              <w:rPr>
                <w:rFonts w:hint="eastAsia"/>
                <w:b/>
                <w:sz w:val="24"/>
                <w:lang w:val="en-US" w:eastAsia="zh-CN"/>
              </w:rPr>
              <w:t>大气、</w:t>
            </w:r>
            <w:r>
              <w:rPr>
                <w:rFonts w:hint="eastAsia"/>
                <w:b/>
                <w:sz w:val="24"/>
                <w:lang w:eastAsia="zh-CN"/>
              </w:rPr>
              <w:t>土壤环境</w:t>
            </w:r>
            <w:r>
              <w:rPr>
                <w:rFonts w:hint="eastAsia"/>
                <w:b/>
                <w:sz w:val="24"/>
              </w:rPr>
              <w:t>监测布点图</w:t>
            </w:r>
          </w:p>
          <w:p>
            <w:pPr>
              <w:spacing w:line="360" w:lineRule="auto"/>
              <w:jc w:val="center"/>
              <w:rPr>
                <w:rFonts w:hint="eastAsia"/>
                <w:b/>
                <w:sz w:val="24"/>
                <w:szCs w:val="22"/>
                <w:lang w:eastAsia="zh-CN"/>
              </w:rPr>
            </w:pPr>
            <w:r>
              <w:rPr>
                <w:rFonts w:hint="eastAsia"/>
                <w:b/>
                <w:sz w:val="24"/>
                <w:szCs w:val="22"/>
                <w:lang w:val="zh-CN" w:eastAsia="zh-CN"/>
              </w:rPr>
              <w:t>表</w:t>
            </w:r>
            <w:r>
              <w:rPr>
                <w:rFonts w:hint="eastAsia"/>
                <w:b/>
                <w:sz w:val="24"/>
                <w:szCs w:val="22"/>
                <w:lang w:val="en-US" w:eastAsia="zh-CN"/>
              </w:rPr>
              <w:t xml:space="preserve">3-8 </w:t>
            </w:r>
            <w:r>
              <w:rPr>
                <w:rFonts w:hint="eastAsia"/>
                <w:b/>
                <w:sz w:val="24"/>
                <w:szCs w:val="22"/>
                <w:lang w:val="zh-CN" w:eastAsia="zh-CN"/>
              </w:rPr>
              <w:t>土壤环境现状监测统计结果</w:t>
            </w:r>
            <w:r>
              <w:rPr>
                <w:rFonts w:hint="eastAsia"/>
                <w:b/>
                <w:sz w:val="24"/>
                <w:szCs w:val="22"/>
                <w:lang w:val="zh-CN" w:eastAsia="zh-CN"/>
              </w:rPr>
              <w:tab/>
            </w:r>
            <w:r>
              <w:rPr>
                <w:rFonts w:hint="eastAsia"/>
                <w:b/>
                <w:sz w:val="24"/>
                <w:szCs w:val="22"/>
                <w:lang w:val="zh-CN" w:eastAsia="zh-CN"/>
              </w:rPr>
              <w:t>单位：</w:t>
            </w:r>
            <w:r>
              <w:rPr>
                <w:rFonts w:hint="eastAsia"/>
                <w:b/>
                <w:sz w:val="24"/>
                <w:szCs w:val="22"/>
                <w:lang w:eastAsia="zh-CN"/>
              </w:rPr>
              <w:t>mg/kg</w:t>
            </w:r>
          </w:p>
          <w:tbl>
            <w:tblPr>
              <w:tblStyle w:val="29"/>
              <w:tblW w:w="82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62"/>
              <w:gridCol w:w="2172"/>
              <w:gridCol w:w="1962"/>
              <w:gridCol w:w="1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2" w:hRule="atLeast"/>
              </w:trPr>
              <w:tc>
                <w:tcPr>
                  <w:tcW w:w="2162" w:type="dxa"/>
                  <w:vAlign w:val="center"/>
                </w:tcPr>
                <w:p>
                  <w:pPr>
                    <w:pStyle w:val="3"/>
                    <w:pBdr>
                      <w:top w:val="none" w:color="auto" w:sz="0" w:space="0"/>
                      <w:left w:val="none" w:color="auto" w:sz="0" w:space="0"/>
                      <w:bottom w:val="none" w:color="auto" w:sz="0" w:space="0"/>
                      <w:right w:val="none" w:color="auto" w:sz="0" w:space="0"/>
                    </w:pBdr>
                    <w:tabs>
                      <w:tab w:val="center" w:pos="1137"/>
                    </w:tabs>
                    <w:adjustRightInd w:val="0"/>
                    <w:snapToGrid w:val="0"/>
                    <w:ind w:firstLine="840" w:firstLineChars="400"/>
                    <w:jc w:val="both"/>
                    <w:rPr>
                      <w:rFonts w:ascii="Times New Roman" w:hAnsi="Times New Roman" w:eastAsia="宋体" w:cs="Times New Roman"/>
                      <w:color w:val="auto"/>
                      <w:szCs w:val="21"/>
                      <w:highlight w:val="none"/>
                    </w:rPr>
                  </w:pPr>
                  <w:r>
                    <w:rPr>
                      <w:rFonts w:ascii="Times New Roman" w:hAnsi="Times New Roman" w:cs="Times New Roman"/>
                      <w:color w:val="auto"/>
                      <w:highlight w:val="none"/>
                    </w:rPr>
                    <w:pict>
                      <v:shape id="文本框 1164" o:spid="_x0000_s1521" o:spt="202" type="#_x0000_t202" style="position:absolute;left:0pt;margin-left:49.55pt;margin-top:4.65pt;height:21.95pt;width:63.4pt;z-index:251719680;mso-width-relative:page;mso-height-relative:page;" filled="f" stroked="f" coordsize="21600,21600" o:gfxdata="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nZ1o2QAAAAgBAAAPAAAAAAAAAAEAIAAAACIAAABkcnMvZG93bnJldi54bWxQSwECFAAUAAAA&#10;CACHTuJAKRqw7iYCAAArBAAADgAAAAAAAAABACAAAAAoAQAAZHJzL2Uyb0RvYy54bWxQSwUGAAAA&#10;AAYABgBZAQAAwAUAAAAA&#10;">
                        <v:path/>
                        <v:fill on="f" focussize="0,0"/>
                        <v:stroke on="f" weight="0.5pt"/>
                        <v:imagedata o:title=""/>
                        <o:lock v:ext="edit" aspectratio="f"/>
                        <v:textbox>
                          <w:txbxContent>
                            <w:p>
                              <w:r>
                                <w:rPr>
                                  <w:rFonts w:hint="eastAsia"/>
                                </w:rPr>
                                <w:t>检测结果</w:t>
                              </w:r>
                            </w:p>
                          </w:txbxContent>
                        </v:textbox>
                      </v:shape>
                    </w:pict>
                  </w:r>
                  <w:r>
                    <w:rPr>
                      <w:rFonts w:ascii="宋体" w:hAnsi="宋体"/>
                      <w:color w:val="auto"/>
                      <w:szCs w:val="21"/>
                      <w:highlight w:val="none"/>
                      <w:lang w:eastAsia="zh-CN"/>
                    </w:rPr>
                    <w:pict>
                      <v:group id="组合 61" o:spid="_x0000_s1525" o:spt="203" style="position:absolute;left:0pt;margin-left:-5.4pt;margin-top:2pt;height:54.8pt;width:107.5pt;z-index:251717632;mso-width-relative:page;mso-height-relative:page;" coordorigin="2713,934601" coordsize="1718,1009" o:gfxdata="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9xa6dkAAAAJAQAADwAAAAAAAAABACAAAAAiAAAAZHJzL2Rvd25y&#10;ZXYueG1sUEsBAhQAFAAAAAgAh07iQEPd8AJvAgAAkwYAAA4AAAAAAAAAAQAgAAAAKAEAAGRycy9l&#10;Mm9Eb2MueG1sUEsFBgAAAAAGAAYAWQEAAAkGAAAAAA==&#10;">
                        <o:lock v:ext="edit" aspectratio="f"/>
                        <v:line id="直接连接符 62" o:spid="_x0000_s1523" o:spt="20" style="position:absolute;left:3272;top:934601;height:1009;width:1159;" filled="f" stroked="t" coordsize="21600,21600" o:gfxdata="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iAUr4A&#10;AADbAAAADwAAAAAAAAABACAAAAAiAAAAZHJzL2Rvd25yZXYueG1sUEsBAhQAFAAAAAgAh07iQDMv&#10;BZ47AAAAOQAAABAAAAAAAAAAAQAgAAAADQEAAGRycy9zaGFwZXhtbC54bWxQSwUGAAAAAAYABgBb&#10;AQAAtwMAAAAA&#10;">
                          <v:path arrowok="t"/>
                          <v:fill on="f" focussize="0,0"/>
                          <v:stroke weight="0.25pt" color="#000000" joinstyle="round"/>
                          <v:imagedata o:title=""/>
                          <o:lock v:ext="edit" aspectratio="f"/>
                        </v:line>
                        <v:line id="直接连接符 63" o:spid="_x0000_s1524" o:spt="20" style="position:absolute;left:2713;top:935010;height:600;width:1718;" filled="f" stroked="t" coordsize="21600,21600" o:gfxdata="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Qlyb4A&#10;AADbAAAADwAAAAAAAAABACAAAAAiAAAAZHJzL2Rvd25yZXYueG1sUEsBAhQAFAAAAAgAh07iQDMv&#10;BZ47AAAAOQAAABAAAAAAAAAAAQAgAAAADQEAAGRycy9zaGFwZXhtbC54bWxQSwUGAAAAAAYABgBb&#10;AQAAtwMAAAAA&#10;">
                          <v:path arrowok="t"/>
                          <v:fill on="f" focussize="0,0"/>
                          <v:stroke weight="0.25pt" color="#000000" joinstyle="round"/>
                          <v:imagedata o:title=""/>
                          <o:lock v:ext="edit" aspectratio="f"/>
                        </v:line>
                      </v:group>
                    </w:pict>
                  </w:r>
                  <w:r>
                    <w:rPr>
                      <w:rFonts w:ascii="Times New Roman" w:hAnsi="Times New Roman" w:cs="Times New Roman"/>
                      <w:color w:val="auto"/>
                      <w:highlight w:val="none"/>
                    </w:rPr>
                    <w:pict>
                      <v:shape id="文本框 35" o:spid="_x0000_s1522" o:spt="202" type="#_x0000_t202" style="position:absolute;left:0pt;margin-left:-1.5pt;margin-top:33.95pt;height:21.95pt;width:63.4pt;z-index:251718656;mso-width-relative:page;mso-height-relative:page;" filled="f" stroked="f" coordsize="21600,21600" o:gfxdata="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aRy&#10;YtoAAAAJAQAADwAAAAAAAAABACAAAAAiAAAAZHJzL2Rvd25yZXYueG1sUEsBAhQAFAAAAAgAh07i&#10;QDJZ3uAgAgAAGQQAAA4AAAAAAAAAAQAgAAAAKQEAAGRycy9lMm9Eb2MueG1sUEsFBgAAAAAGAAYA&#10;WQEAALsFAAAAAA==&#10;">
                        <v:path/>
                        <v:fill on="f" focussize="0,0"/>
                        <v:stroke on="f" weight="0.5pt"/>
                        <v:imagedata o:title=""/>
                        <o:lock v:ext="edit" aspectratio="f"/>
                        <v:textbox>
                          <w:txbxContent>
                            <w:p>
                              <w:r>
                                <w:rPr>
                                  <w:rFonts w:hint="eastAsia"/>
                                </w:rPr>
                                <w:t>检测项目</w:t>
                              </w:r>
                            </w:p>
                          </w:txbxContent>
                        </v:textbox>
                      </v:shape>
                    </w:pict>
                  </w:r>
                  <w:r>
                    <w:rPr>
                      <w:rFonts w:ascii="Times New Roman" w:hAnsi="Times New Roman" w:eastAsia="宋体" w:cs="Times New Roman"/>
                      <w:color w:val="auto"/>
                      <w:szCs w:val="21"/>
                      <w:highlight w:val="none"/>
                    </w:rPr>
                    <w:t xml:space="preserve">     </w:t>
                  </w:r>
                  <w:r>
                    <w:rPr>
                      <w:rFonts w:hint="eastAsia" w:ascii="Times New Roman" w:hAnsi="Times New Roman" w:eastAsia="宋体" w:cs="Times New Roman"/>
                      <w:color w:val="auto"/>
                      <w:szCs w:val="21"/>
                      <w:highlight w:val="none"/>
                      <w:lang w:val="en-US" w:eastAsia="zh-CN"/>
                    </w:rPr>
                    <w:t xml:space="preserve">              </w:t>
                  </w:r>
                  <w:r>
                    <w:rPr>
                      <w:rFonts w:ascii="Times New Roman" w:hAnsi="Times New Roman" w:eastAsia="宋体" w:cs="Times New Roman"/>
                      <w:color w:val="auto"/>
                      <w:kern w:val="2"/>
                      <w:highlight w:val="none"/>
                    </w:rPr>
                    <w:t>监测点位</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项目厂区内</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筛选值标准</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达标与否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bookmarkStart w:id="7" w:name="_Hlk24404188"/>
                  <w:r>
                    <w:rPr>
                      <w:rFonts w:ascii="Times New Roman" w:hAnsi="Times New Roman" w:eastAsia="宋体" w:cs="Times New Roman"/>
                      <w:color w:val="auto"/>
                      <w:kern w:val="2"/>
                      <w:highlight w:val="none"/>
                    </w:rPr>
                    <w:t>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8.04</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60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镉</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0.37</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65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铬（六价）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2.76</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5.7</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铜</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19.7</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18000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铅</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18.5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800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汞</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0.380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38</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镍</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31.4</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900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达标</w:t>
                  </w:r>
                </w:p>
              </w:tc>
            </w:tr>
            <w:bookmarkEnd w:id="7"/>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bookmarkStart w:id="8" w:name="_Hlk24404257"/>
                  <w:r>
                    <w:rPr>
                      <w:rFonts w:ascii="Times New Roman" w:hAnsi="Times New Roman" w:eastAsia="宋体" w:cs="Times New Roman"/>
                      <w:color w:val="auto"/>
                      <w:kern w:val="2"/>
                      <w:highlight w:val="none"/>
                    </w:rPr>
                    <w:t>四氯化碳</w:t>
                  </w:r>
                  <w:bookmarkEnd w:id="8"/>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2.8</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氯仿</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0.9</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氯甲烷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37</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1，1-二氯乙烷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9</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1，2-二氯乙烷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1，1-二氯乙烯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66</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顺-1,2-二氯乙烯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596</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反-1,2-二氯乙烯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54</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二氯甲烷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616</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1，2-二氯丙烷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1,1,1,2-四氯乙烷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1,1,2,2-四氯乙烷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6.8</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四氯乙烯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53</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1,1,1-三氯乙烷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840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1,1,2-三氯乙烷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2.8</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三氯乙烯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2.8</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1,2,3-三氯丙烷</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0.5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氯乙烯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0.43</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4</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氯苯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270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1,2-二氯苯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560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1,4-二氯苯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20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乙苯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28</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苯乙烯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1290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甲苯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1200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间-二甲苯+对-二甲苯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570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邻-二甲苯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640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硝基苯</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76</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苯胺</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260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2-氯酚</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2256</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苯并（a）蒽</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苯并（a）芘</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苯并（b）荧蒽</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苯并（k）荧蒽</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151</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䓛</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1293</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二苯并（a,h）蒽</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茚并（1,2,3-cd）芘</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15</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21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eastAsia="宋体" w:cs="Times New Roman"/>
                      <w:color w:val="auto"/>
                      <w:kern w:val="2"/>
                      <w:highlight w:val="none"/>
                    </w:rPr>
                  </w:pPr>
                  <w:r>
                    <w:rPr>
                      <w:rFonts w:ascii="Times New Roman" w:hAnsi="Times New Roman" w:eastAsia="宋体" w:cs="Times New Roman"/>
                      <w:color w:val="auto"/>
                      <w:kern w:val="2"/>
                      <w:highlight w:val="none"/>
                    </w:rPr>
                    <w:t>萘</w:t>
                  </w:r>
                </w:p>
              </w:tc>
              <w:tc>
                <w:tcPr>
                  <w:tcW w:w="217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ascii="Times New Roman" w:hAnsi="Times New Roman" w:cs="Times New Roman"/>
                      <w:b/>
                      <w:color w:val="auto"/>
                      <w:szCs w:val="21"/>
                      <w:highlight w:val="none"/>
                      <w:lang w:val="zh-CN"/>
                    </w:rPr>
                  </w:pPr>
                  <w:r>
                    <w:rPr>
                      <w:rFonts w:hint="eastAsia" w:ascii="Times New Roman" w:hAnsi="Times New Roman" w:cs="Times New Roman"/>
                      <w:b/>
                      <w:color w:val="auto"/>
                      <w:szCs w:val="21"/>
                      <w:highlight w:val="none"/>
                      <w:lang w:val="zh-CN"/>
                    </w:rPr>
                    <w:t>/</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default" w:ascii="Times New Roman" w:hAnsi="Times New Roman" w:eastAsia="新宋体-18030" w:cs="Times New Roman"/>
                      <w:b/>
                      <w:bCs w:val="0"/>
                      <w:color w:val="auto"/>
                      <w:szCs w:val="21"/>
                      <w:highlight w:val="none"/>
                      <w:lang w:val="en-US" w:eastAsia="zh-CN"/>
                    </w:rPr>
                  </w:pPr>
                  <w:r>
                    <w:rPr>
                      <w:rFonts w:hint="eastAsia" w:ascii="Times New Roman" w:hAnsi="Times New Roman" w:cs="Times New Roman"/>
                      <w:b/>
                      <w:bCs w:val="0"/>
                      <w:color w:val="auto"/>
                      <w:szCs w:val="21"/>
                      <w:highlight w:val="none"/>
                      <w:lang w:val="en-US" w:eastAsia="zh-CN"/>
                    </w:rPr>
                    <w:t>70</w:t>
                  </w:r>
                </w:p>
              </w:tc>
              <w:tc>
                <w:tcPr>
                  <w:tcW w:w="1962" w:type="dxa"/>
                  <w:vAlign w:val="center"/>
                </w:tcPr>
                <w:p>
                  <w:pPr>
                    <w:pStyle w:val="3"/>
                    <w:pBdr>
                      <w:top w:val="none" w:color="auto" w:sz="0" w:space="0"/>
                      <w:left w:val="none" w:color="auto" w:sz="0" w:space="0"/>
                      <w:bottom w:val="none" w:color="auto" w:sz="0" w:space="0"/>
                      <w:right w:val="none" w:color="auto" w:sz="0" w:space="0"/>
                    </w:pBdr>
                    <w:adjustRightInd w:val="0"/>
                    <w:snapToGrid w:val="0"/>
                    <w:rPr>
                      <w:rFonts w:hint="eastAsia" w:ascii="Times New Roman" w:hAnsi="Times New Roman" w:cs="Times New Roman"/>
                      <w:b/>
                      <w:bCs w:val="0"/>
                      <w:color w:val="auto"/>
                      <w:szCs w:val="21"/>
                      <w:highlight w:val="none"/>
                      <w:lang w:val="zh-CN"/>
                    </w:rPr>
                  </w:pPr>
                  <w:r>
                    <w:rPr>
                      <w:rFonts w:hint="eastAsia" w:ascii="Times New Roman" w:hAnsi="Times New Roman" w:cs="Times New Roman"/>
                      <w:b/>
                      <w:bCs w:val="0"/>
                      <w:color w:val="auto"/>
                      <w:szCs w:val="21"/>
                      <w:highlight w:val="none"/>
                      <w:lang w:val="en-US" w:eastAsia="zh-CN"/>
                    </w:rPr>
                    <w:t>达标</w:t>
                  </w:r>
                </w:p>
              </w:tc>
            </w:tr>
          </w:tbl>
          <w:p>
            <w:pPr>
              <w:pStyle w:val="2"/>
              <w:kinsoku w:val="0"/>
              <w:overflowPunct w:val="0"/>
              <w:spacing w:before="65" w:line="364" w:lineRule="auto"/>
              <w:ind w:right="1439" w:firstLine="472" w:firstLineChars="200"/>
              <w:rPr>
                <w:rFonts w:ascii="宋体" w:hAnsi="宋体"/>
                <w:color w:val="auto"/>
                <w:spacing w:val="-2"/>
                <w:sz w:val="24"/>
                <w:szCs w:val="24"/>
                <w:highlight w:val="none"/>
                <w:lang w:eastAsia="zh-CN"/>
              </w:rPr>
            </w:pPr>
            <w:r>
              <w:rPr>
                <w:rFonts w:hint="eastAsia" w:ascii="宋体" w:hAnsi="宋体"/>
                <w:color w:val="auto"/>
                <w:spacing w:val="-2"/>
                <w:sz w:val="24"/>
                <w:szCs w:val="24"/>
                <w:highlight w:val="none"/>
                <w:lang w:eastAsia="zh-CN"/>
              </w:rPr>
              <w:t>（</w:t>
            </w:r>
            <w:r>
              <w:rPr>
                <w:rFonts w:hint="eastAsia" w:ascii="宋体" w:hAnsi="宋体"/>
                <w:color w:val="auto"/>
                <w:spacing w:val="-2"/>
                <w:sz w:val="24"/>
                <w:szCs w:val="24"/>
                <w:highlight w:val="none"/>
                <w:lang w:val="en-US" w:eastAsia="zh-CN"/>
              </w:rPr>
              <w:t>5</w:t>
            </w:r>
            <w:r>
              <w:rPr>
                <w:rFonts w:hint="eastAsia" w:ascii="宋体" w:hAnsi="宋体"/>
                <w:color w:val="auto"/>
                <w:spacing w:val="-2"/>
                <w:sz w:val="24"/>
                <w:szCs w:val="24"/>
                <w:highlight w:val="none"/>
                <w:lang w:eastAsia="zh-CN"/>
              </w:rPr>
              <w:t>）</w:t>
            </w:r>
            <w:r>
              <w:rPr>
                <w:rFonts w:ascii="宋体" w:hAnsi="宋体"/>
                <w:color w:val="auto"/>
                <w:spacing w:val="-2"/>
                <w:sz w:val="24"/>
                <w:szCs w:val="24"/>
                <w:highlight w:val="none"/>
                <w:lang w:eastAsia="zh-CN"/>
              </w:rPr>
              <w:t>监测</w:t>
            </w:r>
            <w:r>
              <w:rPr>
                <w:rFonts w:hint="eastAsia" w:ascii="宋体" w:hAnsi="宋体"/>
                <w:color w:val="auto"/>
                <w:spacing w:val="-2"/>
                <w:sz w:val="24"/>
                <w:szCs w:val="24"/>
                <w:highlight w:val="none"/>
                <w:lang w:eastAsia="zh-CN"/>
              </w:rPr>
              <w:t>结果</w:t>
            </w:r>
            <w:r>
              <w:rPr>
                <w:rFonts w:ascii="宋体" w:hAnsi="宋体"/>
                <w:color w:val="auto"/>
                <w:spacing w:val="-2"/>
                <w:sz w:val="24"/>
                <w:szCs w:val="24"/>
                <w:highlight w:val="none"/>
                <w:lang w:eastAsia="zh-CN"/>
              </w:rPr>
              <w:t>与评价小结</w:t>
            </w:r>
          </w:p>
          <w:p>
            <w:pPr>
              <w:wordWrap w:val="0"/>
              <w:spacing w:line="360" w:lineRule="auto"/>
              <w:ind w:right="-309" w:rightChars="-147" w:firstLine="472" w:firstLineChars="200"/>
              <w:rPr>
                <w:rFonts w:ascii="Times New Roman" w:hAnsi="Times New Roman" w:cs="Times New Roman"/>
                <w:color w:val="auto"/>
                <w:spacing w:val="-2"/>
                <w:sz w:val="24"/>
                <w:szCs w:val="24"/>
                <w:highlight w:val="none"/>
                <w:lang w:eastAsia="zh-CN"/>
              </w:rPr>
            </w:pPr>
            <w:r>
              <w:rPr>
                <w:rFonts w:ascii="Times New Roman" w:hAnsi="Times New Roman" w:cs="Times New Roman"/>
                <w:color w:val="auto"/>
                <w:spacing w:val="-2"/>
                <w:sz w:val="24"/>
                <w:szCs w:val="24"/>
                <w:highlight w:val="none"/>
                <w:lang w:eastAsia="zh-CN"/>
              </w:rPr>
              <w:t>根据上表监测结果，项目区各监测</w:t>
            </w:r>
            <w:r>
              <w:rPr>
                <w:rFonts w:hint="eastAsia" w:cs="Times New Roman"/>
                <w:color w:val="auto"/>
                <w:spacing w:val="-2"/>
                <w:sz w:val="24"/>
                <w:szCs w:val="24"/>
                <w:highlight w:val="none"/>
                <w:lang w:val="en-US" w:eastAsia="zh-CN"/>
              </w:rPr>
              <w:t>因子</w:t>
            </w:r>
            <w:r>
              <w:rPr>
                <w:rFonts w:ascii="Times New Roman" w:hAnsi="Times New Roman" w:cs="Times New Roman"/>
                <w:color w:val="auto"/>
                <w:spacing w:val="-2"/>
                <w:sz w:val="24"/>
                <w:szCs w:val="24"/>
                <w:highlight w:val="none"/>
                <w:lang w:eastAsia="zh-CN"/>
              </w:rPr>
              <w:t>土壤环境均能满足《</w:t>
            </w:r>
            <w:bookmarkStart w:id="9" w:name="_Hlk24233071"/>
            <w:r>
              <w:rPr>
                <w:rFonts w:ascii="Times New Roman" w:hAnsi="Times New Roman" w:cs="Times New Roman"/>
                <w:color w:val="auto"/>
                <w:spacing w:val="-2"/>
                <w:sz w:val="24"/>
                <w:szCs w:val="24"/>
                <w:highlight w:val="none"/>
                <w:lang w:eastAsia="zh-CN"/>
              </w:rPr>
              <w:t>《土壤环境质量 建设用地土壤污染风险管控标准（试行）》第二类用地 筛选值（GB36600-2018</w:t>
            </w:r>
            <w:bookmarkEnd w:id="9"/>
            <w:r>
              <w:rPr>
                <w:rFonts w:ascii="Times New Roman" w:hAnsi="Times New Roman" w:cs="Times New Roman"/>
                <w:color w:val="auto"/>
                <w:spacing w:val="-2"/>
                <w:sz w:val="24"/>
                <w:szCs w:val="24"/>
                <w:highlight w:val="none"/>
                <w:lang w:eastAsia="zh-CN"/>
              </w:rPr>
              <w:t>）标准要求。</w:t>
            </w:r>
          </w:p>
          <w:p>
            <w:pPr>
              <w:ind w:firstLine="420"/>
              <w:rPr>
                <w:color w:val="FF0000"/>
              </w:rPr>
            </w:pPr>
            <w:r>
              <w:drawing>
                <wp:inline distT="0" distB="0" distL="114300" distR="114300">
                  <wp:extent cx="5271135" cy="4100830"/>
                  <wp:effectExtent l="0" t="0" r="5715" b="1397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cstate="print"/>
                          <a:stretch>
                            <a:fillRect/>
                          </a:stretch>
                        </pic:blipFill>
                        <pic:spPr>
                          <a:xfrm>
                            <a:off x="0" y="0"/>
                            <a:ext cx="5271135" cy="4100830"/>
                          </a:xfrm>
                          <a:prstGeom prst="rect">
                            <a:avLst/>
                          </a:prstGeom>
                          <a:noFill/>
                          <a:ln w="9525">
                            <a:noFill/>
                          </a:ln>
                        </pic:spPr>
                      </pic:pic>
                    </a:graphicData>
                  </a:graphic>
                </wp:inline>
              </w:drawing>
            </w:r>
          </w:p>
          <w:p>
            <w:pPr>
              <w:spacing w:line="360" w:lineRule="auto"/>
              <w:jc w:val="center"/>
              <w:rPr>
                <w:b/>
                <w:sz w:val="24"/>
              </w:rPr>
            </w:pPr>
            <w:r>
              <w:rPr>
                <w:rFonts w:hint="eastAsia"/>
                <w:b/>
                <w:sz w:val="24"/>
              </w:rPr>
              <w:t>图3-</w:t>
            </w:r>
            <w:r>
              <w:rPr>
                <w:rFonts w:hint="eastAsia"/>
                <w:b/>
                <w:sz w:val="24"/>
                <w:lang w:val="en-US" w:eastAsia="zh-CN"/>
              </w:rPr>
              <w:t>2</w:t>
            </w:r>
            <w:r>
              <w:rPr>
                <w:rFonts w:hint="eastAsia"/>
                <w:b/>
                <w:sz w:val="24"/>
              </w:rPr>
              <w:t xml:space="preserve">   项目</w:t>
            </w:r>
            <w:r>
              <w:rPr>
                <w:rFonts w:hint="eastAsia"/>
                <w:b/>
                <w:sz w:val="24"/>
                <w:lang w:eastAsia="zh-CN"/>
              </w:rPr>
              <w:t>声环境</w:t>
            </w:r>
            <w:r>
              <w:rPr>
                <w:rFonts w:hint="eastAsia"/>
                <w:b/>
                <w:sz w:val="24"/>
              </w:rPr>
              <w:t>监测布点图</w:t>
            </w:r>
          </w:p>
          <w:p>
            <w:pPr>
              <w:spacing w:line="360" w:lineRule="auto"/>
              <w:jc w:val="center"/>
              <w:rPr>
                <w:b/>
                <w:color w:val="FF0000"/>
                <w:sz w:val="24"/>
                <w:u w:val="single"/>
              </w:rPr>
            </w:pPr>
          </w:p>
          <w:p>
            <w:pPr>
              <w:pStyle w:val="2"/>
              <w:rPr>
                <w:b/>
                <w:color w:val="FF0000"/>
                <w:sz w:val="24"/>
                <w:szCs w:val="20"/>
                <w:u w:val="single"/>
              </w:rPr>
            </w:pPr>
          </w:p>
          <w:p>
            <w:pPr>
              <w:pStyle w:val="2"/>
              <w:rPr>
                <w:b/>
                <w:color w:val="FF0000"/>
                <w:sz w:val="24"/>
                <w:szCs w:val="20"/>
                <w:u w:val="single"/>
              </w:rPr>
            </w:pPr>
          </w:p>
          <w:p>
            <w:pPr>
              <w:pStyle w:val="2"/>
              <w:rPr>
                <w:b/>
                <w:color w:val="FF0000"/>
                <w:sz w:val="24"/>
                <w:szCs w:val="20"/>
                <w:u w:val="single"/>
              </w:rPr>
            </w:pPr>
          </w:p>
          <w:p>
            <w:pPr>
              <w:pStyle w:val="2"/>
              <w:rPr>
                <w:b/>
                <w:color w:val="FF0000"/>
                <w:sz w:val="24"/>
                <w:szCs w:val="20"/>
                <w:u w:val="single"/>
              </w:rPr>
            </w:pPr>
          </w:p>
          <w:p>
            <w:pPr>
              <w:pStyle w:val="2"/>
              <w:rPr>
                <w:b/>
                <w:color w:val="FF0000"/>
                <w:sz w:val="24"/>
                <w:szCs w:val="20"/>
                <w:u w:val="single"/>
              </w:rPr>
            </w:pPr>
          </w:p>
          <w:p>
            <w:pPr>
              <w:pStyle w:val="2"/>
              <w:rPr>
                <w:b/>
                <w:color w:val="FF0000"/>
                <w:sz w:val="24"/>
                <w:szCs w:val="20"/>
                <w:u w:val="single"/>
              </w:rPr>
            </w:pPr>
          </w:p>
          <w:p>
            <w:pPr>
              <w:pStyle w:val="2"/>
              <w:rPr>
                <w:b/>
                <w:color w:val="FF0000"/>
                <w:sz w:val="24"/>
                <w:szCs w:val="20"/>
                <w:u w:val="single"/>
              </w:rPr>
            </w:pPr>
          </w:p>
          <w:p>
            <w:pPr>
              <w:pStyle w:val="2"/>
              <w:rPr>
                <w:b/>
                <w:color w:val="FF0000"/>
                <w:sz w:val="24"/>
                <w:szCs w:val="20"/>
                <w:u w:val="single"/>
              </w:rPr>
            </w:pPr>
          </w:p>
          <w:p>
            <w:pPr>
              <w:pStyle w:val="2"/>
              <w:rPr>
                <w:b/>
                <w:color w:val="FF0000"/>
                <w:sz w:val="24"/>
                <w:szCs w:val="20"/>
                <w:u w:val="single"/>
              </w:rPr>
            </w:pPr>
          </w:p>
          <w:p>
            <w:pPr>
              <w:pStyle w:val="2"/>
              <w:rPr>
                <w:b/>
                <w:color w:val="FF0000"/>
                <w:sz w:val="24"/>
                <w:szCs w:val="20"/>
                <w:u w:val="single"/>
              </w:rPr>
            </w:pPr>
          </w:p>
          <w:p>
            <w:pPr>
              <w:pStyle w:val="2"/>
              <w:rPr>
                <w:b/>
                <w:color w:val="FF0000"/>
                <w:sz w:val="24"/>
                <w:szCs w:val="20"/>
                <w:u w:val="single"/>
              </w:rPr>
            </w:pPr>
          </w:p>
          <w:p>
            <w:pPr>
              <w:spacing w:line="360" w:lineRule="auto"/>
              <w:jc w:val="center"/>
              <w:rPr>
                <w:b/>
                <w:color w:val="FF0000"/>
                <w:sz w:val="24"/>
                <w:u w:val="single"/>
              </w:rPr>
            </w:pPr>
          </w:p>
          <w:p>
            <w:pPr>
              <w:spacing w:line="360" w:lineRule="auto"/>
              <w:jc w:val="center"/>
              <w:rPr>
                <w:b/>
                <w:color w:val="FF0000"/>
                <w:sz w:val="24"/>
                <w:u w:val="singl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0233" w:hRule="atLeast"/>
          <w:jc w:val="center"/>
        </w:trPr>
        <w:tc>
          <w:tcPr>
            <w:tcW w:w="8522" w:type="dxa"/>
          </w:tcPr>
          <w:p>
            <w:pPr>
              <w:spacing w:line="360" w:lineRule="auto"/>
              <w:rPr>
                <w:sz w:val="24"/>
                <w:szCs w:val="24"/>
                <w:u w:val="single"/>
              </w:rPr>
            </w:pPr>
            <w:bookmarkStart w:id="10" w:name="OLE_LINK34"/>
            <w:bookmarkStart w:id="11" w:name="OLE_LINK33"/>
            <w:r>
              <w:rPr>
                <w:sz w:val="24"/>
                <w:szCs w:val="24"/>
                <w:u w:val="single"/>
              </w:rPr>
              <w:t>主要环境保护目标（列出名单及保护级别）</w:t>
            </w:r>
          </w:p>
          <w:bookmarkEnd w:id="10"/>
          <w:p>
            <w:pPr>
              <w:spacing w:line="360" w:lineRule="auto"/>
              <w:ind w:firstLine="352" w:firstLineChars="147"/>
              <w:rPr>
                <w:rFonts w:hint="eastAsia" w:eastAsia="宋体"/>
                <w:sz w:val="24"/>
                <w:szCs w:val="24"/>
                <w:u w:val="single"/>
                <w:lang w:eastAsia="zh-CN"/>
              </w:rPr>
            </w:pPr>
            <w:bookmarkStart w:id="12" w:name="OLE_LINK32"/>
            <w:r>
              <w:rPr>
                <w:rFonts w:hint="eastAsia"/>
                <w:sz w:val="24"/>
                <w:szCs w:val="24"/>
                <w:u w:val="single"/>
                <w:lang w:eastAsia="zh-CN"/>
              </w:rPr>
              <w:t>（</w:t>
            </w:r>
            <w:r>
              <w:rPr>
                <w:rFonts w:hint="eastAsia"/>
                <w:sz w:val="24"/>
                <w:szCs w:val="24"/>
                <w:u w:val="single"/>
                <w:lang w:val="en-US" w:eastAsia="zh-CN"/>
              </w:rPr>
              <w:t>1</w:t>
            </w:r>
            <w:r>
              <w:rPr>
                <w:rFonts w:hint="eastAsia"/>
                <w:sz w:val="24"/>
                <w:szCs w:val="24"/>
                <w:u w:val="single"/>
                <w:lang w:eastAsia="zh-CN"/>
              </w:rPr>
              <w:t>）厂区生产环境保护目标</w:t>
            </w:r>
          </w:p>
          <w:p>
            <w:pPr>
              <w:spacing w:line="360" w:lineRule="auto"/>
              <w:ind w:firstLine="352" w:firstLineChars="147"/>
              <w:rPr>
                <w:sz w:val="24"/>
                <w:szCs w:val="24"/>
                <w:u w:val="single"/>
              </w:rPr>
            </w:pPr>
            <w:r>
              <w:rPr>
                <w:sz w:val="24"/>
                <w:szCs w:val="24"/>
                <w:u w:val="single"/>
              </w:rPr>
              <w:t>本项目</w:t>
            </w:r>
            <w:r>
              <w:rPr>
                <w:rFonts w:hint="eastAsia"/>
                <w:sz w:val="24"/>
                <w:szCs w:val="24"/>
                <w:u w:val="single"/>
                <w:lang w:eastAsia="zh-CN"/>
              </w:rPr>
              <w:t>厂区生产</w:t>
            </w:r>
            <w:r>
              <w:rPr>
                <w:sz w:val="24"/>
                <w:szCs w:val="24"/>
                <w:u w:val="single"/>
              </w:rPr>
              <w:t>主要环境保护见下表</w:t>
            </w:r>
            <w:r>
              <w:rPr>
                <w:rFonts w:hint="eastAsia"/>
                <w:sz w:val="24"/>
                <w:szCs w:val="24"/>
                <w:u w:val="single"/>
              </w:rPr>
              <w:t>3-</w:t>
            </w:r>
            <w:r>
              <w:rPr>
                <w:rFonts w:hint="eastAsia"/>
                <w:sz w:val="24"/>
                <w:szCs w:val="24"/>
                <w:u w:val="single"/>
                <w:lang w:val="en-US" w:eastAsia="zh-CN"/>
              </w:rPr>
              <w:t>9</w:t>
            </w:r>
            <w:r>
              <w:rPr>
                <w:rFonts w:hint="eastAsia"/>
                <w:sz w:val="24"/>
                <w:szCs w:val="24"/>
                <w:u w:val="single"/>
              </w:rPr>
              <w:t>、表3-</w:t>
            </w:r>
            <w:r>
              <w:rPr>
                <w:rFonts w:hint="eastAsia"/>
                <w:sz w:val="24"/>
                <w:szCs w:val="24"/>
                <w:u w:val="single"/>
                <w:lang w:val="en-US" w:eastAsia="zh-CN"/>
              </w:rPr>
              <w:t>10</w:t>
            </w:r>
            <w:r>
              <w:rPr>
                <w:rFonts w:hint="eastAsia"/>
                <w:sz w:val="24"/>
                <w:szCs w:val="24"/>
                <w:u w:val="single"/>
              </w:rPr>
              <w:t>及表3-</w:t>
            </w:r>
            <w:r>
              <w:rPr>
                <w:rFonts w:hint="eastAsia"/>
                <w:sz w:val="24"/>
                <w:szCs w:val="24"/>
                <w:u w:val="single"/>
                <w:lang w:val="en-US" w:eastAsia="zh-CN"/>
              </w:rPr>
              <w:t>11</w:t>
            </w:r>
            <w:r>
              <w:rPr>
                <w:rFonts w:hint="eastAsia"/>
                <w:sz w:val="24"/>
                <w:szCs w:val="24"/>
                <w:u w:val="single"/>
              </w:rPr>
              <w:t>：</w:t>
            </w:r>
          </w:p>
          <w:p>
            <w:pPr>
              <w:spacing w:line="360" w:lineRule="auto"/>
              <w:jc w:val="center"/>
              <w:rPr>
                <w:u w:val="single"/>
              </w:rPr>
            </w:pPr>
            <w:r>
              <w:rPr>
                <w:b/>
                <w:bCs/>
                <w:u w:val="single"/>
              </w:rPr>
              <w:t>表</w:t>
            </w:r>
            <w:r>
              <w:rPr>
                <w:rFonts w:hint="eastAsia"/>
                <w:b/>
                <w:bCs/>
                <w:u w:val="single"/>
              </w:rPr>
              <w:t>3-</w:t>
            </w:r>
            <w:r>
              <w:rPr>
                <w:rFonts w:hint="eastAsia"/>
                <w:b/>
                <w:bCs/>
                <w:u w:val="single"/>
                <w:lang w:val="en-US" w:eastAsia="zh-CN"/>
              </w:rPr>
              <w:t>9</w:t>
            </w:r>
            <w:r>
              <w:rPr>
                <w:rFonts w:hint="eastAsia"/>
                <w:b/>
                <w:bCs/>
                <w:u w:val="single"/>
              </w:rPr>
              <w:t>大气</w:t>
            </w:r>
            <w:r>
              <w:rPr>
                <w:b/>
                <w:bCs/>
                <w:u w:val="single"/>
              </w:rPr>
              <w:t>环境保护目标</w:t>
            </w:r>
            <w:r>
              <w:rPr>
                <w:rFonts w:hint="eastAsia"/>
                <w:b/>
                <w:bCs/>
                <w:u w:val="single"/>
              </w:rPr>
              <w:t>示意表</w:t>
            </w:r>
          </w:p>
          <w:tbl>
            <w:tblPr>
              <w:tblStyle w:val="28"/>
              <w:tblW w:w="83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4" w:type="dxa"/>
                <w:bottom w:w="0" w:type="dxa"/>
                <w:right w:w="14" w:type="dxa"/>
              </w:tblCellMar>
            </w:tblPr>
            <w:tblGrid>
              <w:gridCol w:w="890"/>
              <w:gridCol w:w="802"/>
              <w:gridCol w:w="837"/>
              <w:gridCol w:w="650"/>
              <w:gridCol w:w="1488"/>
              <w:gridCol w:w="1490"/>
              <w:gridCol w:w="750"/>
              <w:gridCol w:w="14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2" w:hRule="atLeast"/>
                <w:tblHeader/>
              </w:trPr>
              <w:tc>
                <w:tcPr>
                  <w:tcW w:w="890" w:type="dxa"/>
                  <w:vMerge w:val="restart"/>
                  <w:tcBorders>
                    <w:tl2br w:val="nil"/>
                    <w:tr2bl w:val="nil"/>
                  </w:tcBorders>
                  <w:noWrap/>
                  <w:vAlign w:val="center"/>
                </w:tcPr>
                <w:p>
                  <w:pPr>
                    <w:spacing w:line="0" w:lineRule="atLeast"/>
                    <w:jc w:val="center"/>
                    <w:rPr>
                      <w:color w:val="auto"/>
                      <w:u w:val="single"/>
                    </w:rPr>
                  </w:pPr>
                  <w:r>
                    <w:rPr>
                      <w:color w:val="auto"/>
                      <w:u w:val="single"/>
                    </w:rPr>
                    <w:t>名称</w:t>
                  </w:r>
                </w:p>
              </w:tc>
              <w:tc>
                <w:tcPr>
                  <w:tcW w:w="1639" w:type="dxa"/>
                  <w:gridSpan w:val="2"/>
                  <w:tcBorders>
                    <w:tl2br w:val="nil"/>
                    <w:tr2bl w:val="nil"/>
                  </w:tcBorders>
                  <w:noWrap/>
                  <w:vAlign w:val="center"/>
                </w:tcPr>
                <w:p>
                  <w:pPr>
                    <w:spacing w:line="0" w:lineRule="atLeast"/>
                    <w:jc w:val="center"/>
                    <w:rPr>
                      <w:color w:val="auto"/>
                      <w:u w:val="single"/>
                    </w:rPr>
                  </w:pPr>
                  <w:r>
                    <w:rPr>
                      <w:rFonts w:hint="eastAsia"/>
                      <w:color w:val="auto"/>
                      <w:u w:val="single"/>
                    </w:rPr>
                    <w:t>坐标</w:t>
                  </w:r>
                </w:p>
              </w:tc>
              <w:tc>
                <w:tcPr>
                  <w:tcW w:w="650"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保护对象</w:t>
                  </w:r>
                </w:p>
              </w:tc>
              <w:tc>
                <w:tcPr>
                  <w:tcW w:w="1488"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保护内容</w:t>
                  </w:r>
                </w:p>
              </w:tc>
              <w:tc>
                <w:tcPr>
                  <w:tcW w:w="1490"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环境功能区</w:t>
                  </w:r>
                </w:p>
              </w:tc>
              <w:tc>
                <w:tcPr>
                  <w:tcW w:w="750"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相对厂址方位</w:t>
                  </w:r>
                </w:p>
              </w:tc>
              <w:tc>
                <w:tcPr>
                  <w:tcW w:w="1413"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相对厂址距离（m）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272" w:hRule="atLeast"/>
                <w:tblHeader/>
              </w:trPr>
              <w:tc>
                <w:tcPr>
                  <w:tcW w:w="890" w:type="dxa"/>
                  <w:vMerge w:val="continue"/>
                  <w:tcBorders>
                    <w:tl2br w:val="nil"/>
                    <w:tr2bl w:val="nil"/>
                  </w:tcBorders>
                  <w:noWrap/>
                  <w:vAlign w:val="center"/>
                </w:tcPr>
                <w:p>
                  <w:pPr>
                    <w:spacing w:line="0" w:lineRule="atLeast"/>
                    <w:jc w:val="center"/>
                    <w:rPr>
                      <w:color w:val="auto"/>
                      <w:u w:val="single"/>
                    </w:rPr>
                  </w:pPr>
                </w:p>
              </w:tc>
              <w:tc>
                <w:tcPr>
                  <w:tcW w:w="802" w:type="dxa"/>
                  <w:tcBorders>
                    <w:tl2br w:val="nil"/>
                    <w:tr2bl w:val="nil"/>
                  </w:tcBorders>
                  <w:noWrap/>
                  <w:vAlign w:val="center"/>
                </w:tcPr>
                <w:p>
                  <w:pPr>
                    <w:spacing w:line="0" w:lineRule="atLeast"/>
                    <w:jc w:val="center"/>
                    <w:rPr>
                      <w:color w:val="auto"/>
                      <w:u w:val="single"/>
                    </w:rPr>
                  </w:pPr>
                  <w:r>
                    <w:rPr>
                      <w:rFonts w:hint="eastAsia"/>
                      <w:color w:val="auto"/>
                      <w:u w:val="single"/>
                    </w:rPr>
                    <w:t>X</w:t>
                  </w:r>
                </w:p>
              </w:tc>
              <w:tc>
                <w:tcPr>
                  <w:tcW w:w="837" w:type="dxa"/>
                  <w:tcBorders>
                    <w:tl2br w:val="nil"/>
                    <w:tr2bl w:val="nil"/>
                  </w:tcBorders>
                  <w:noWrap/>
                  <w:vAlign w:val="center"/>
                </w:tcPr>
                <w:p>
                  <w:pPr>
                    <w:spacing w:line="0" w:lineRule="atLeast"/>
                    <w:jc w:val="center"/>
                    <w:rPr>
                      <w:color w:val="auto"/>
                      <w:u w:val="single"/>
                    </w:rPr>
                  </w:pPr>
                  <w:r>
                    <w:rPr>
                      <w:rFonts w:hint="eastAsia"/>
                      <w:color w:val="auto"/>
                      <w:u w:val="single"/>
                    </w:rPr>
                    <w:t>Y</w:t>
                  </w:r>
                </w:p>
              </w:tc>
              <w:tc>
                <w:tcPr>
                  <w:tcW w:w="650" w:type="dxa"/>
                  <w:vMerge w:val="continue"/>
                  <w:tcBorders>
                    <w:tl2br w:val="nil"/>
                    <w:tr2bl w:val="nil"/>
                  </w:tcBorders>
                  <w:noWrap/>
                  <w:vAlign w:val="center"/>
                </w:tcPr>
                <w:p>
                  <w:pPr>
                    <w:spacing w:line="0" w:lineRule="atLeast"/>
                    <w:jc w:val="center"/>
                    <w:rPr>
                      <w:color w:val="auto"/>
                      <w:u w:val="single"/>
                    </w:rPr>
                  </w:pPr>
                </w:p>
              </w:tc>
              <w:tc>
                <w:tcPr>
                  <w:tcW w:w="1488" w:type="dxa"/>
                  <w:vMerge w:val="continue"/>
                  <w:tcBorders>
                    <w:tl2br w:val="nil"/>
                    <w:tr2bl w:val="nil"/>
                  </w:tcBorders>
                  <w:noWrap/>
                  <w:vAlign w:val="center"/>
                </w:tcPr>
                <w:p>
                  <w:pPr>
                    <w:spacing w:line="0" w:lineRule="atLeast"/>
                    <w:jc w:val="center"/>
                    <w:rPr>
                      <w:color w:val="auto"/>
                      <w:u w:val="single"/>
                    </w:rPr>
                  </w:pP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vMerge w:val="continue"/>
                  <w:tcBorders>
                    <w:tl2br w:val="nil"/>
                    <w:tr2bl w:val="nil"/>
                  </w:tcBorders>
                  <w:noWrap/>
                  <w:vAlign w:val="center"/>
                </w:tcPr>
                <w:p>
                  <w:pPr>
                    <w:spacing w:line="0" w:lineRule="atLeast"/>
                    <w:jc w:val="center"/>
                    <w:rPr>
                      <w:color w:val="auto"/>
                      <w:u w:val="single"/>
                    </w:rPr>
                  </w:pPr>
                </w:p>
              </w:tc>
              <w:tc>
                <w:tcPr>
                  <w:tcW w:w="1413" w:type="dxa"/>
                  <w:vMerge w:val="continue"/>
                  <w:tcBorders>
                    <w:tl2br w:val="nil"/>
                    <w:tr2bl w:val="nil"/>
                  </w:tcBorders>
                  <w:noWrap/>
                  <w:vAlign w:val="center"/>
                </w:tcPr>
                <w:p>
                  <w:pPr>
                    <w:spacing w:line="0" w:lineRule="atLeast"/>
                    <w:jc w:val="center"/>
                    <w:rPr>
                      <w:color w:val="auto"/>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304" w:hRule="atLeast"/>
                <w:tblHeader/>
              </w:trPr>
              <w:tc>
                <w:tcPr>
                  <w:tcW w:w="890" w:type="dxa"/>
                  <w:tcBorders>
                    <w:tl2br w:val="nil"/>
                    <w:tr2bl w:val="nil"/>
                  </w:tcBorders>
                  <w:noWrap/>
                  <w:vAlign w:val="center"/>
                </w:tcPr>
                <w:p>
                  <w:pPr>
                    <w:spacing w:line="0" w:lineRule="atLeast"/>
                    <w:jc w:val="center"/>
                    <w:rPr>
                      <w:color w:val="auto"/>
                      <w:u w:val="single"/>
                    </w:rPr>
                  </w:pPr>
                  <w:r>
                    <w:rPr>
                      <w:rFonts w:hint="eastAsia"/>
                      <w:color w:val="auto"/>
                      <w:u w:val="single"/>
                    </w:rPr>
                    <w:t>厂址</w:t>
                  </w:r>
                </w:p>
              </w:tc>
              <w:tc>
                <w:tcPr>
                  <w:tcW w:w="802" w:type="dxa"/>
                  <w:tcBorders>
                    <w:tl2br w:val="nil"/>
                    <w:tr2bl w:val="nil"/>
                  </w:tcBorders>
                  <w:noWrap/>
                  <w:vAlign w:val="center"/>
                </w:tcPr>
                <w:p>
                  <w:pPr>
                    <w:spacing w:line="0" w:lineRule="atLeast"/>
                    <w:jc w:val="center"/>
                    <w:rPr>
                      <w:color w:val="auto"/>
                      <w:u w:val="single"/>
                    </w:rPr>
                  </w:pPr>
                  <w:r>
                    <w:rPr>
                      <w:rFonts w:hint="eastAsia"/>
                      <w:color w:val="auto"/>
                      <w:u w:val="single"/>
                    </w:rPr>
                    <w:t>0</w:t>
                  </w:r>
                </w:p>
              </w:tc>
              <w:tc>
                <w:tcPr>
                  <w:tcW w:w="837" w:type="dxa"/>
                  <w:tcBorders>
                    <w:tl2br w:val="nil"/>
                    <w:tr2bl w:val="nil"/>
                  </w:tcBorders>
                  <w:noWrap/>
                  <w:vAlign w:val="center"/>
                </w:tcPr>
                <w:p>
                  <w:pPr>
                    <w:spacing w:line="0" w:lineRule="atLeast"/>
                    <w:jc w:val="center"/>
                    <w:rPr>
                      <w:color w:val="auto"/>
                      <w:u w:val="single"/>
                    </w:rPr>
                  </w:pPr>
                  <w:r>
                    <w:rPr>
                      <w:rFonts w:hint="eastAsia"/>
                      <w:color w:val="auto"/>
                      <w:u w:val="single"/>
                    </w:rPr>
                    <w:t>0</w:t>
                  </w:r>
                </w:p>
              </w:tc>
              <w:tc>
                <w:tcPr>
                  <w:tcW w:w="650" w:type="dxa"/>
                  <w:tcBorders>
                    <w:tl2br w:val="nil"/>
                    <w:tr2bl w:val="nil"/>
                  </w:tcBorders>
                  <w:noWrap/>
                  <w:vAlign w:val="center"/>
                </w:tcPr>
                <w:p>
                  <w:pPr>
                    <w:spacing w:line="0" w:lineRule="atLeast"/>
                    <w:jc w:val="center"/>
                    <w:rPr>
                      <w:color w:val="auto"/>
                      <w:u w:val="single"/>
                    </w:rPr>
                  </w:pPr>
                  <w:r>
                    <w:rPr>
                      <w:rFonts w:hint="eastAsia"/>
                      <w:color w:val="auto"/>
                      <w:u w:val="single"/>
                    </w:rPr>
                    <w:t>/</w:t>
                  </w:r>
                </w:p>
              </w:tc>
              <w:tc>
                <w:tcPr>
                  <w:tcW w:w="1488" w:type="dxa"/>
                  <w:tcBorders>
                    <w:tl2br w:val="nil"/>
                    <w:tr2bl w:val="nil"/>
                  </w:tcBorders>
                  <w:noWrap/>
                  <w:vAlign w:val="center"/>
                </w:tcPr>
                <w:p>
                  <w:pPr>
                    <w:spacing w:line="0" w:lineRule="atLeast"/>
                    <w:jc w:val="center"/>
                    <w:rPr>
                      <w:color w:val="auto"/>
                      <w:u w:val="single"/>
                    </w:rPr>
                  </w:pPr>
                  <w:r>
                    <w:rPr>
                      <w:rFonts w:hint="eastAsia"/>
                      <w:color w:val="auto"/>
                      <w:u w:val="single"/>
                    </w:rPr>
                    <w:t>/</w:t>
                  </w:r>
                </w:p>
              </w:tc>
              <w:tc>
                <w:tcPr>
                  <w:tcW w:w="1490" w:type="dxa"/>
                  <w:tcBorders>
                    <w:tl2br w:val="nil"/>
                    <w:tr2bl w:val="nil"/>
                  </w:tcBorders>
                  <w:noWrap/>
                  <w:vAlign w:val="center"/>
                </w:tcPr>
                <w:p>
                  <w:pPr>
                    <w:spacing w:line="0" w:lineRule="atLeast"/>
                    <w:jc w:val="center"/>
                    <w:rPr>
                      <w:color w:val="auto"/>
                      <w:u w:val="single"/>
                    </w:rPr>
                  </w:pPr>
                  <w:r>
                    <w:rPr>
                      <w:rFonts w:hint="eastAsia"/>
                      <w:color w:val="auto"/>
                      <w:u w:val="single"/>
                    </w:rPr>
                    <w:t>/</w:t>
                  </w:r>
                </w:p>
              </w:tc>
              <w:tc>
                <w:tcPr>
                  <w:tcW w:w="750" w:type="dxa"/>
                  <w:tcBorders>
                    <w:tl2br w:val="nil"/>
                    <w:tr2bl w:val="nil"/>
                  </w:tcBorders>
                  <w:noWrap/>
                  <w:vAlign w:val="center"/>
                </w:tcPr>
                <w:p>
                  <w:pPr>
                    <w:spacing w:line="0" w:lineRule="atLeast"/>
                    <w:jc w:val="center"/>
                    <w:rPr>
                      <w:color w:val="auto"/>
                      <w:u w:val="single"/>
                    </w:rPr>
                  </w:pPr>
                  <w:r>
                    <w:rPr>
                      <w:rFonts w:hint="eastAsia"/>
                      <w:color w:val="auto"/>
                      <w:u w:val="single"/>
                    </w:rPr>
                    <w:t>/</w:t>
                  </w:r>
                </w:p>
              </w:tc>
              <w:tc>
                <w:tcPr>
                  <w:tcW w:w="1413" w:type="dxa"/>
                  <w:tcBorders>
                    <w:tl2br w:val="nil"/>
                    <w:tr2bl w:val="nil"/>
                  </w:tcBorders>
                  <w:noWrap/>
                  <w:vAlign w:val="center"/>
                </w:tcPr>
                <w:p>
                  <w:pPr>
                    <w:spacing w:line="0" w:lineRule="atLeast"/>
                    <w:jc w:val="center"/>
                    <w:rPr>
                      <w:color w:val="auto"/>
                      <w:u w:val="single"/>
                    </w:rPr>
                  </w:pPr>
                  <w:r>
                    <w:rPr>
                      <w:rFonts w:hint="eastAsia"/>
                      <w:color w:val="auto"/>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67" w:hRule="atLeast"/>
              </w:trPr>
              <w:tc>
                <w:tcPr>
                  <w:tcW w:w="890"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苍台村</w:t>
                  </w:r>
                </w:p>
              </w:tc>
              <w:tc>
                <w:tcPr>
                  <w:tcW w:w="802" w:type="dxa"/>
                  <w:tcBorders>
                    <w:tl2br w:val="nil"/>
                    <w:tr2bl w:val="nil"/>
                  </w:tcBorders>
                  <w:noWrap/>
                  <w:vAlign w:val="center"/>
                </w:tcPr>
                <w:p>
                  <w:pPr>
                    <w:spacing w:line="0" w:lineRule="atLeast"/>
                    <w:jc w:val="center"/>
                    <w:rPr>
                      <w:color w:val="auto"/>
                      <w:u w:val="single"/>
                    </w:rPr>
                  </w:pPr>
                  <w:r>
                    <w:rPr>
                      <w:rFonts w:hint="eastAsia"/>
                      <w:color w:val="auto"/>
                      <w:u w:val="single"/>
                    </w:rPr>
                    <w:t>0</w:t>
                  </w:r>
                </w:p>
              </w:tc>
              <w:tc>
                <w:tcPr>
                  <w:tcW w:w="837" w:type="dxa"/>
                  <w:tcBorders>
                    <w:tl2br w:val="nil"/>
                    <w:tr2bl w:val="nil"/>
                  </w:tcBorders>
                  <w:noWrap/>
                  <w:vAlign w:val="center"/>
                </w:tcPr>
                <w:p>
                  <w:pPr>
                    <w:spacing w:line="0" w:lineRule="atLeast"/>
                    <w:jc w:val="center"/>
                    <w:rPr>
                      <w:color w:val="auto"/>
                      <w:u w:val="single"/>
                    </w:rPr>
                  </w:pPr>
                  <w:r>
                    <w:rPr>
                      <w:rFonts w:hint="eastAsia"/>
                      <w:color w:val="auto"/>
                      <w:u w:val="single"/>
                    </w:rPr>
                    <w:t>95</w:t>
                  </w:r>
                </w:p>
              </w:tc>
              <w:tc>
                <w:tcPr>
                  <w:tcW w:w="650" w:type="dxa"/>
                  <w:tcBorders>
                    <w:tl2br w:val="nil"/>
                    <w:tr2bl w:val="nil"/>
                  </w:tcBorders>
                  <w:noWrap/>
                  <w:vAlign w:val="center"/>
                </w:tcPr>
                <w:p>
                  <w:pPr>
                    <w:spacing w:line="0" w:lineRule="atLeast"/>
                    <w:jc w:val="center"/>
                    <w:rPr>
                      <w:color w:val="auto"/>
                      <w:u w:val="single"/>
                    </w:rPr>
                  </w:pPr>
                  <w:r>
                    <w:rPr>
                      <w:color w:val="auto"/>
                      <w:u w:val="single"/>
                    </w:rPr>
                    <w:t>居民</w:t>
                  </w:r>
                </w:p>
              </w:tc>
              <w:tc>
                <w:tcPr>
                  <w:tcW w:w="1488"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居民约</w:t>
                  </w:r>
                  <w:r>
                    <w:rPr>
                      <w:rFonts w:hint="eastAsia"/>
                      <w:color w:val="auto"/>
                      <w:u w:val="single"/>
                      <w:lang w:val="en-US" w:eastAsia="zh-CN"/>
                    </w:rPr>
                    <w:t>500</w:t>
                  </w:r>
                  <w:r>
                    <w:rPr>
                      <w:rFonts w:hint="eastAsia"/>
                      <w:color w:val="auto"/>
                      <w:u w:val="single"/>
                    </w:rPr>
                    <w:t>户，</w:t>
                  </w:r>
                  <w:r>
                    <w:rPr>
                      <w:rFonts w:hint="eastAsia"/>
                      <w:color w:val="auto"/>
                      <w:u w:val="single"/>
                      <w:lang w:val="en-US" w:eastAsia="zh-CN"/>
                    </w:rPr>
                    <w:t>1750</w:t>
                  </w:r>
                  <w:r>
                    <w:rPr>
                      <w:rFonts w:hint="eastAsia"/>
                      <w:color w:val="auto"/>
                      <w:u w:val="single"/>
                    </w:rPr>
                    <w:t>人</w:t>
                  </w:r>
                </w:p>
              </w:tc>
              <w:tc>
                <w:tcPr>
                  <w:tcW w:w="1490"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二类区，执行</w:t>
                  </w:r>
                  <w:r>
                    <w:rPr>
                      <w:color w:val="auto"/>
                      <w:u w:val="single"/>
                    </w:rPr>
                    <w:t>《环境空气质量标准》</w:t>
                  </w:r>
                </w:p>
                <w:p>
                  <w:pPr>
                    <w:spacing w:line="0" w:lineRule="atLeast"/>
                    <w:jc w:val="center"/>
                    <w:rPr>
                      <w:color w:val="auto"/>
                      <w:u w:val="single"/>
                    </w:rPr>
                  </w:pPr>
                  <w:r>
                    <w:rPr>
                      <w:color w:val="auto"/>
                      <w:u w:val="single"/>
                    </w:rPr>
                    <w:t>（GB3095-1996）二级标准</w:t>
                  </w:r>
                </w:p>
              </w:tc>
              <w:tc>
                <w:tcPr>
                  <w:tcW w:w="750" w:type="dxa"/>
                  <w:tcBorders>
                    <w:tl2br w:val="nil"/>
                    <w:tr2bl w:val="nil"/>
                  </w:tcBorders>
                  <w:noWrap/>
                  <w:vAlign w:val="center"/>
                </w:tcPr>
                <w:p>
                  <w:pPr>
                    <w:spacing w:line="0" w:lineRule="atLeast"/>
                    <w:jc w:val="center"/>
                    <w:rPr>
                      <w:color w:val="auto"/>
                      <w:u w:val="single"/>
                    </w:rPr>
                  </w:pPr>
                  <w:r>
                    <w:rPr>
                      <w:rFonts w:hint="eastAsia"/>
                      <w:color w:val="auto"/>
                      <w:u w:val="single"/>
                    </w:rPr>
                    <w:t>NW</w:t>
                  </w:r>
                </w:p>
              </w:tc>
              <w:tc>
                <w:tcPr>
                  <w:tcW w:w="1413" w:type="dxa"/>
                  <w:tcBorders>
                    <w:tl2br w:val="nil"/>
                    <w:tr2bl w:val="nil"/>
                  </w:tcBorders>
                  <w:noWrap/>
                  <w:vAlign w:val="center"/>
                </w:tcPr>
                <w:p>
                  <w:pPr>
                    <w:spacing w:line="0" w:lineRule="atLeast"/>
                    <w:jc w:val="center"/>
                    <w:rPr>
                      <w:color w:val="auto"/>
                      <w:u w:val="single"/>
                    </w:rPr>
                  </w:pPr>
                  <w:r>
                    <w:rPr>
                      <w:rFonts w:hint="eastAsia"/>
                      <w:color w:val="auto"/>
                      <w:u w:val="single"/>
                    </w:rPr>
                    <w:t>95</w:t>
                  </w:r>
                  <w:r>
                    <w:rPr>
                      <w:color w:val="auto"/>
                      <w:u w:val="single"/>
                    </w:rPr>
                    <w:t>-</w:t>
                  </w:r>
                  <w:r>
                    <w:rPr>
                      <w:rFonts w:hint="eastAsia"/>
                      <w:color w:val="auto"/>
                      <w:u w:val="single"/>
                      <w:lang w:val="en-US" w:eastAsia="zh-CN"/>
                    </w:rPr>
                    <w:t>2500</w:t>
                  </w:r>
                  <w:r>
                    <w:rPr>
                      <w:color w:val="auto"/>
                      <w:u w:val="singl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98" w:hRule="atLeast"/>
              </w:trPr>
              <w:tc>
                <w:tcPr>
                  <w:tcW w:w="890"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肖兰家村</w:t>
                  </w:r>
                </w:p>
              </w:tc>
              <w:tc>
                <w:tcPr>
                  <w:tcW w:w="802" w:type="dxa"/>
                  <w:tcBorders>
                    <w:tl2br w:val="nil"/>
                    <w:tr2bl w:val="nil"/>
                  </w:tcBorders>
                  <w:noWrap/>
                  <w:vAlign w:val="center"/>
                </w:tcPr>
                <w:p>
                  <w:pPr>
                    <w:spacing w:line="0" w:lineRule="atLeast"/>
                    <w:jc w:val="center"/>
                    <w:rPr>
                      <w:color w:val="auto"/>
                      <w:u w:val="single"/>
                    </w:rPr>
                  </w:pPr>
                  <w:r>
                    <w:rPr>
                      <w:rFonts w:hint="eastAsia"/>
                      <w:color w:val="auto"/>
                      <w:u w:val="single"/>
                    </w:rPr>
                    <w:t>-187</w:t>
                  </w:r>
                </w:p>
              </w:tc>
              <w:tc>
                <w:tcPr>
                  <w:tcW w:w="837" w:type="dxa"/>
                  <w:tcBorders>
                    <w:tl2br w:val="nil"/>
                    <w:tr2bl w:val="nil"/>
                  </w:tcBorders>
                  <w:noWrap/>
                  <w:vAlign w:val="center"/>
                </w:tcPr>
                <w:p>
                  <w:pPr>
                    <w:spacing w:line="0" w:lineRule="atLeast"/>
                    <w:jc w:val="center"/>
                    <w:rPr>
                      <w:color w:val="auto"/>
                      <w:u w:val="single"/>
                    </w:rPr>
                  </w:pPr>
                  <w:r>
                    <w:rPr>
                      <w:rFonts w:hint="eastAsia"/>
                      <w:color w:val="auto"/>
                      <w:u w:val="single"/>
                    </w:rPr>
                    <w:t>0</w:t>
                  </w:r>
                </w:p>
              </w:tc>
              <w:tc>
                <w:tcPr>
                  <w:tcW w:w="650" w:type="dxa"/>
                  <w:tcBorders>
                    <w:tl2br w:val="nil"/>
                    <w:tr2bl w:val="nil"/>
                  </w:tcBorders>
                  <w:noWrap/>
                  <w:vAlign w:val="center"/>
                </w:tcPr>
                <w:p>
                  <w:pPr>
                    <w:spacing w:line="0" w:lineRule="atLeast"/>
                    <w:jc w:val="center"/>
                    <w:rPr>
                      <w:color w:val="auto"/>
                      <w:u w:val="single"/>
                    </w:rPr>
                  </w:pPr>
                  <w:r>
                    <w:rPr>
                      <w:color w:val="auto"/>
                      <w:u w:val="single"/>
                    </w:rPr>
                    <w:t>居民</w:t>
                  </w:r>
                </w:p>
              </w:tc>
              <w:tc>
                <w:tcPr>
                  <w:tcW w:w="1488" w:type="dxa"/>
                  <w:vMerge w:val="continue"/>
                  <w:tcBorders>
                    <w:tl2br w:val="nil"/>
                    <w:tr2bl w:val="nil"/>
                  </w:tcBorders>
                  <w:noWrap/>
                  <w:vAlign w:val="center"/>
                </w:tcPr>
                <w:p>
                  <w:pPr>
                    <w:spacing w:line="0" w:lineRule="atLeast"/>
                    <w:jc w:val="center"/>
                    <w:rPr>
                      <w:color w:val="auto"/>
                      <w:u w:val="single"/>
                    </w:rPr>
                  </w:pP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rPr>
                    <w:t>W</w:t>
                  </w:r>
                </w:p>
              </w:tc>
              <w:tc>
                <w:tcPr>
                  <w:tcW w:w="1413" w:type="dxa"/>
                  <w:tcBorders>
                    <w:tl2br w:val="nil"/>
                    <w:tr2bl w:val="nil"/>
                  </w:tcBorders>
                  <w:noWrap/>
                  <w:vAlign w:val="center"/>
                </w:tcPr>
                <w:p>
                  <w:pPr>
                    <w:spacing w:line="0" w:lineRule="atLeast"/>
                    <w:jc w:val="center"/>
                    <w:rPr>
                      <w:color w:val="auto"/>
                      <w:u w:val="single"/>
                    </w:rPr>
                  </w:pPr>
                  <w:r>
                    <w:rPr>
                      <w:rFonts w:hint="eastAsia"/>
                      <w:color w:val="auto"/>
                      <w:u w:val="single"/>
                    </w:rPr>
                    <w:t>187</w:t>
                  </w:r>
                  <w:r>
                    <w:rPr>
                      <w:color w:val="auto"/>
                      <w:u w:val="single"/>
                    </w:rPr>
                    <w:t>m-</w:t>
                  </w:r>
                  <w:r>
                    <w:rPr>
                      <w:rFonts w:hint="eastAsia"/>
                      <w:color w:val="auto"/>
                      <w:u w:val="single"/>
                      <w:lang w:val="en-US" w:eastAsia="zh-CN"/>
                    </w:rPr>
                    <w:t>2500</w:t>
                  </w:r>
                  <w:r>
                    <w:rPr>
                      <w:color w:val="auto"/>
                      <w:u w:val="singl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98" w:hRule="atLeast"/>
              </w:trPr>
              <w:tc>
                <w:tcPr>
                  <w:tcW w:w="89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涛湖村</w:t>
                  </w:r>
                </w:p>
              </w:tc>
              <w:tc>
                <w:tcPr>
                  <w:tcW w:w="802" w:type="dxa"/>
                  <w:tcBorders>
                    <w:tl2br w:val="nil"/>
                    <w:tr2bl w:val="nil"/>
                  </w:tcBorders>
                  <w:noWrap/>
                  <w:vAlign w:val="center"/>
                </w:tcPr>
                <w:p>
                  <w:pPr>
                    <w:spacing w:line="0" w:lineRule="atLeast"/>
                    <w:jc w:val="center"/>
                    <w:rPr>
                      <w:rFonts w:hint="eastAsia" w:eastAsia="宋体"/>
                      <w:color w:val="auto"/>
                      <w:u w:val="single"/>
                      <w:lang w:val="en-US" w:eastAsia="zh-CN"/>
                    </w:rPr>
                  </w:pPr>
                  <w:r>
                    <w:rPr>
                      <w:rFonts w:hint="eastAsia"/>
                      <w:color w:val="auto"/>
                      <w:u w:val="single"/>
                      <w:lang w:val="en-US" w:eastAsia="zh-CN"/>
                    </w:rPr>
                    <w:t>0</w:t>
                  </w:r>
                </w:p>
              </w:tc>
              <w:tc>
                <w:tcPr>
                  <w:tcW w:w="837"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-926</w:t>
                  </w:r>
                </w:p>
              </w:tc>
              <w:tc>
                <w:tcPr>
                  <w:tcW w:w="650"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居民</w:t>
                  </w:r>
                </w:p>
              </w:tc>
              <w:tc>
                <w:tcPr>
                  <w:tcW w:w="1488" w:type="dxa"/>
                  <w:vMerge w:val="continue"/>
                  <w:tcBorders>
                    <w:tl2br w:val="nil"/>
                    <w:tr2bl w:val="nil"/>
                  </w:tcBorders>
                  <w:noWrap/>
                  <w:vAlign w:val="center"/>
                </w:tcPr>
                <w:p>
                  <w:pPr>
                    <w:spacing w:line="0" w:lineRule="atLeast"/>
                    <w:jc w:val="center"/>
                    <w:rPr>
                      <w:color w:val="auto"/>
                      <w:u w:val="single"/>
                    </w:rPr>
                  </w:pP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rFonts w:hint="eastAsia" w:eastAsia="宋体"/>
                      <w:color w:val="auto"/>
                      <w:u w:val="single"/>
                      <w:lang w:val="en-US" w:eastAsia="zh-CN"/>
                    </w:rPr>
                  </w:pPr>
                  <w:r>
                    <w:rPr>
                      <w:rFonts w:hint="eastAsia"/>
                      <w:color w:val="auto"/>
                      <w:u w:val="single"/>
                      <w:lang w:val="en-US" w:eastAsia="zh-CN"/>
                    </w:rPr>
                    <w:t>S</w:t>
                  </w:r>
                </w:p>
              </w:tc>
              <w:tc>
                <w:tcPr>
                  <w:tcW w:w="1413" w:type="dxa"/>
                  <w:tcBorders>
                    <w:tl2br w:val="nil"/>
                    <w:tr2bl w:val="nil"/>
                  </w:tcBorders>
                  <w:noWrap/>
                  <w:vAlign w:val="center"/>
                </w:tcPr>
                <w:p>
                  <w:pPr>
                    <w:spacing w:line="0" w:lineRule="atLeast"/>
                    <w:jc w:val="center"/>
                    <w:rPr>
                      <w:rFonts w:hint="eastAsia"/>
                      <w:color w:val="auto"/>
                      <w:u w:val="single"/>
                    </w:rPr>
                  </w:pPr>
                  <w:r>
                    <w:rPr>
                      <w:rFonts w:hint="eastAsia"/>
                      <w:color w:val="auto"/>
                      <w:u w:val="single"/>
                      <w:lang w:val="en-US" w:eastAsia="zh-CN"/>
                    </w:rPr>
                    <w:t>926</w:t>
                  </w:r>
                  <w:r>
                    <w:rPr>
                      <w:color w:val="auto"/>
                      <w:u w:val="single"/>
                    </w:rPr>
                    <w:t>m-</w:t>
                  </w:r>
                  <w:r>
                    <w:rPr>
                      <w:rFonts w:hint="eastAsia"/>
                      <w:color w:val="auto"/>
                      <w:u w:val="single"/>
                      <w:lang w:val="en-US" w:eastAsia="zh-CN"/>
                    </w:rPr>
                    <w:t>2500</w:t>
                  </w:r>
                  <w:r>
                    <w:rPr>
                      <w:color w:val="auto"/>
                      <w:u w:val="singl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98" w:hRule="atLeast"/>
              </w:trPr>
              <w:tc>
                <w:tcPr>
                  <w:tcW w:w="89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贺家咀</w:t>
                  </w:r>
                </w:p>
              </w:tc>
              <w:tc>
                <w:tcPr>
                  <w:tcW w:w="802"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28</w:t>
                  </w:r>
                </w:p>
              </w:tc>
              <w:tc>
                <w:tcPr>
                  <w:tcW w:w="837"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0</w:t>
                  </w:r>
                </w:p>
              </w:tc>
              <w:tc>
                <w:tcPr>
                  <w:tcW w:w="65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居民</w:t>
                  </w:r>
                </w:p>
              </w:tc>
              <w:tc>
                <w:tcPr>
                  <w:tcW w:w="1488" w:type="dxa"/>
                  <w:tcBorders>
                    <w:tl2br w:val="nil"/>
                    <w:tr2bl w:val="nil"/>
                  </w:tcBorders>
                  <w:noWrap/>
                  <w:vAlign w:val="center"/>
                </w:tcPr>
                <w:p>
                  <w:pPr>
                    <w:spacing w:line="0" w:lineRule="atLeast"/>
                    <w:jc w:val="center"/>
                    <w:rPr>
                      <w:rFonts w:hint="eastAsia" w:eastAsia="宋体"/>
                      <w:color w:val="auto"/>
                      <w:u w:val="single"/>
                      <w:lang w:val="en-US" w:eastAsia="zh-CN"/>
                    </w:rPr>
                  </w:pPr>
                  <w:r>
                    <w:rPr>
                      <w:rFonts w:hint="eastAsia"/>
                      <w:color w:val="auto"/>
                      <w:u w:val="single"/>
                      <w:lang w:val="en-US" w:eastAsia="zh-CN"/>
                    </w:rPr>
                    <w:t>1户</w:t>
                  </w: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E</w:t>
                  </w:r>
                </w:p>
              </w:tc>
              <w:tc>
                <w:tcPr>
                  <w:tcW w:w="1413"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28m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98" w:hRule="atLeast"/>
              </w:trPr>
              <w:tc>
                <w:tcPr>
                  <w:tcW w:w="89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贺家咀</w:t>
                  </w:r>
                </w:p>
              </w:tc>
              <w:tc>
                <w:tcPr>
                  <w:tcW w:w="802"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0</w:t>
                  </w:r>
                </w:p>
              </w:tc>
              <w:tc>
                <w:tcPr>
                  <w:tcW w:w="837"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-1</w:t>
                  </w:r>
                </w:p>
              </w:tc>
              <w:tc>
                <w:tcPr>
                  <w:tcW w:w="65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居民</w:t>
                  </w:r>
                </w:p>
              </w:tc>
              <w:tc>
                <w:tcPr>
                  <w:tcW w:w="1488" w:type="dxa"/>
                  <w:tcBorders>
                    <w:tl2br w:val="nil"/>
                    <w:tr2bl w:val="nil"/>
                  </w:tcBorders>
                  <w:noWrap/>
                  <w:vAlign w:val="center"/>
                </w:tcPr>
                <w:p>
                  <w:pPr>
                    <w:spacing w:line="0" w:lineRule="atLeast"/>
                    <w:jc w:val="both"/>
                    <w:rPr>
                      <w:rFonts w:hint="default" w:eastAsia="宋体"/>
                      <w:color w:val="auto"/>
                      <w:u w:val="single"/>
                      <w:lang w:val="en-US" w:eastAsia="zh-CN"/>
                    </w:rPr>
                  </w:pPr>
                  <w:r>
                    <w:rPr>
                      <w:rFonts w:hint="eastAsia"/>
                      <w:color w:val="auto"/>
                      <w:u w:val="single"/>
                      <w:lang w:val="en-US" w:eastAsia="zh-CN"/>
                    </w:rPr>
                    <w:t>居民约30户，约105人</w:t>
                  </w: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S</w:t>
                  </w:r>
                </w:p>
              </w:tc>
              <w:tc>
                <w:tcPr>
                  <w:tcW w:w="1413"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1m-432m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71" w:hRule="atLeast"/>
              </w:trPr>
              <w:tc>
                <w:tcPr>
                  <w:tcW w:w="890"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月形村</w:t>
                  </w:r>
                </w:p>
              </w:tc>
              <w:tc>
                <w:tcPr>
                  <w:tcW w:w="802" w:type="dxa"/>
                  <w:tcBorders>
                    <w:tl2br w:val="nil"/>
                    <w:tr2bl w:val="nil"/>
                  </w:tcBorders>
                  <w:noWrap/>
                  <w:vAlign w:val="center"/>
                </w:tcPr>
                <w:p>
                  <w:pPr>
                    <w:spacing w:line="0" w:lineRule="atLeast"/>
                    <w:jc w:val="center"/>
                    <w:rPr>
                      <w:color w:val="auto"/>
                      <w:u w:val="single"/>
                    </w:rPr>
                  </w:pPr>
                  <w:r>
                    <w:rPr>
                      <w:rFonts w:hint="eastAsia"/>
                      <w:color w:val="auto"/>
                      <w:u w:val="single"/>
                    </w:rPr>
                    <w:t>369</w:t>
                  </w:r>
                </w:p>
              </w:tc>
              <w:tc>
                <w:tcPr>
                  <w:tcW w:w="837" w:type="dxa"/>
                  <w:tcBorders>
                    <w:tl2br w:val="nil"/>
                    <w:tr2bl w:val="nil"/>
                  </w:tcBorders>
                  <w:noWrap/>
                  <w:vAlign w:val="center"/>
                </w:tcPr>
                <w:p>
                  <w:pPr>
                    <w:spacing w:line="0" w:lineRule="atLeast"/>
                    <w:jc w:val="center"/>
                    <w:rPr>
                      <w:color w:val="auto"/>
                      <w:u w:val="single"/>
                    </w:rPr>
                  </w:pPr>
                  <w:r>
                    <w:rPr>
                      <w:rFonts w:hint="eastAsia"/>
                      <w:color w:val="auto"/>
                      <w:u w:val="single"/>
                    </w:rPr>
                    <w:t>242</w:t>
                  </w:r>
                </w:p>
              </w:tc>
              <w:tc>
                <w:tcPr>
                  <w:tcW w:w="650" w:type="dxa"/>
                  <w:tcBorders>
                    <w:tl2br w:val="nil"/>
                    <w:tr2bl w:val="nil"/>
                  </w:tcBorders>
                  <w:noWrap/>
                  <w:vAlign w:val="center"/>
                </w:tcPr>
                <w:p>
                  <w:pPr>
                    <w:spacing w:line="0" w:lineRule="atLeast"/>
                    <w:jc w:val="center"/>
                    <w:rPr>
                      <w:color w:val="auto"/>
                      <w:u w:val="single"/>
                    </w:rPr>
                  </w:pPr>
                  <w:r>
                    <w:rPr>
                      <w:rFonts w:hint="eastAsia"/>
                      <w:color w:val="auto"/>
                      <w:u w:val="single"/>
                    </w:rPr>
                    <w:t>居民</w:t>
                  </w:r>
                </w:p>
              </w:tc>
              <w:tc>
                <w:tcPr>
                  <w:tcW w:w="1488" w:type="dxa"/>
                  <w:tcBorders>
                    <w:tl2br w:val="nil"/>
                    <w:tr2bl w:val="nil"/>
                  </w:tcBorders>
                  <w:noWrap/>
                  <w:vAlign w:val="center"/>
                </w:tcPr>
                <w:p>
                  <w:pPr>
                    <w:spacing w:line="0" w:lineRule="atLeast"/>
                    <w:jc w:val="center"/>
                    <w:rPr>
                      <w:color w:val="auto"/>
                      <w:u w:val="single"/>
                    </w:rPr>
                  </w:pPr>
                  <w:r>
                    <w:rPr>
                      <w:rFonts w:hint="eastAsia"/>
                      <w:color w:val="auto"/>
                      <w:u w:val="single"/>
                    </w:rPr>
                    <w:t>居民约</w:t>
                  </w:r>
                  <w:r>
                    <w:rPr>
                      <w:rFonts w:hint="eastAsia"/>
                      <w:color w:val="auto"/>
                      <w:u w:val="single"/>
                      <w:lang w:val="en-US" w:eastAsia="zh-CN"/>
                    </w:rPr>
                    <w:t>450</w:t>
                  </w:r>
                  <w:r>
                    <w:rPr>
                      <w:rFonts w:hint="eastAsia"/>
                      <w:color w:val="auto"/>
                      <w:u w:val="single"/>
                    </w:rPr>
                    <w:t>户，约</w:t>
                  </w:r>
                  <w:r>
                    <w:rPr>
                      <w:rFonts w:hint="eastAsia"/>
                      <w:color w:val="auto"/>
                      <w:u w:val="single"/>
                      <w:lang w:val="en-US" w:eastAsia="zh-CN"/>
                    </w:rPr>
                    <w:t>1575</w:t>
                  </w:r>
                  <w:r>
                    <w:rPr>
                      <w:rFonts w:hint="eastAsia"/>
                      <w:color w:val="auto"/>
                      <w:u w:val="single"/>
                    </w:rPr>
                    <w:t>人</w:t>
                  </w: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color w:val="auto"/>
                      <w:u w:val="single"/>
                    </w:rPr>
                  </w:pPr>
                  <w:r>
                    <w:rPr>
                      <w:rFonts w:hint="eastAsia"/>
                      <w:color w:val="auto"/>
                      <w:u w:val="single"/>
                    </w:rPr>
                    <w:t xml:space="preserve">E </w:t>
                  </w:r>
                </w:p>
              </w:tc>
              <w:tc>
                <w:tcPr>
                  <w:tcW w:w="1413" w:type="dxa"/>
                  <w:tcBorders>
                    <w:tl2br w:val="nil"/>
                    <w:tr2bl w:val="nil"/>
                  </w:tcBorders>
                  <w:noWrap/>
                  <w:vAlign w:val="center"/>
                </w:tcPr>
                <w:p>
                  <w:pPr>
                    <w:spacing w:line="0" w:lineRule="atLeast"/>
                    <w:jc w:val="center"/>
                    <w:rPr>
                      <w:color w:val="auto"/>
                      <w:u w:val="single"/>
                    </w:rPr>
                  </w:pPr>
                  <w:r>
                    <w:rPr>
                      <w:rFonts w:hint="eastAsia"/>
                      <w:color w:val="auto"/>
                      <w:u w:val="single"/>
                    </w:rPr>
                    <w:t>431m-</w:t>
                  </w:r>
                  <w:r>
                    <w:rPr>
                      <w:rFonts w:hint="eastAsia"/>
                      <w:color w:val="auto"/>
                      <w:u w:val="single"/>
                      <w:lang w:val="en-US" w:eastAsia="zh-CN"/>
                    </w:rPr>
                    <w:t>250</w:t>
                  </w:r>
                  <w:r>
                    <w:rPr>
                      <w:rFonts w:hint="eastAsia"/>
                      <w:color w:val="auto"/>
                      <w:u w:val="single"/>
                    </w:rPr>
                    <w:t>0</w:t>
                  </w:r>
                  <w:r>
                    <w:rPr>
                      <w:color w:val="auto"/>
                      <w:u w:val="singl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71" w:hRule="atLeast"/>
              </w:trPr>
              <w:tc>
                <w:tcPr>
                  <w:tcW w:w="89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双燕村</w:t>
                  </w:r>
                </w:p>
              </w:tc>
              <w:tc>
                <w:tcPr>
                  <w:tcW w:w="802"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-527</w:t>
                  </w:r>
                </w:p>
              </w:tc>
              <w:tc>
                <w:tcPr>
                  <w:tcW w:w="837"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1439</w:t>
                  </w:r>
                </w:p>
              </w:tc>
              <w:tc>
                <w:tcPr>
                  <w:tcW w:w="650"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居民</w:t>
                  </w:r>
                </w:p>
              </w:tc>
              <w:tc>
                <w:tcPr>
                  <w:tcW w:w="1488" w:type="dxa"/>
                  <w:tcBorders>
                    <w:tl2br w:val="nil"/>
                    <w:tr2bl w:val="nil"/>
                  </w:tcBorders>
                  <w:noWrap/>
                  <w:vAlign w:val="center"/>
                </w:tcPr>
                <w:p>
                  <w:pPr>
                    <w:spacing w:line="0" w:lineRule="atLeast"/>
                    <w:jc w:val="center"/>
                    <w:rPr>
                      <w:rFonts w:hint="eastAsia"/>
                      <w:color w:val="auto"/>
                      <w:u w:val="single"/>
                    </w:rPr>
                  </w:pPr>
                  <w:r>
                    <w:rPr>
                      <w:rFonts w:hint="eastAsia"/>
                      <w:color w:val="auto"/>
                      <w:u w:val="single"/>
                    </w:rPr>
                    <w:t>居民约</w:t>
                  </w:r>
                  <w:r>
                    <w:rPr>
                      <w:rFonts w:hint="eastAsia"/>
                      <w:color w:val="auto"/>
                      <w:u w:val="single"/>
                      <w:lang w:val="en-US" w:eastAsia="zh-CN"/>
                    </w:rPr>
                    <w:t>300</w:t>
                  </w:r>
                  <w:r>
                    <w:rPr>
                      <w:rFonts w:hint="eastAsia"/>
                      <w:color w:val="auto"/>
                      <w:u w:val="single"/>
                    </w:rPr>
                    <w:t>户，约</w:t>
                  </w:r>
                  <w:r>
                    <w:rPr>
                      <w:rFonts w:hint="eastAsia"/>
                      <w:color w:val="auto"/>
                      <w:u w:val="single"/>
                      <w:lang w:val="en-US" w:eastAsia="zh-CN"/>
                    </w:rPr>
                    <w:t>1050</w:t>
                  </w:r>
                  <w:r>
                    <w:rPr>
                      <w:rFonts w:hint="eastAsia"/>
                      <w:color w:val="auto"/>
                      <w:u w:val="single"/>
                    </w:rPr>
                    <w:t>人</w:t>
                  </w: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rFonts w:hint="eastAsia" w:eastAsia="宋体"/>
                      <w:color w:val="auto"/>
                      <w:u w:val="single"/>
                      <w:lang w:val="en-US" w:eastAsia="zh-CN"/>
                    </w:rPr>
                  </w:pPr>
                  <w:r>
                    <w:rPr>
                      <w:rFonts w:hint="eastAsia"/>
                      <w:color w:val="auto"/>
                      <w:u w:val="single"/>
                      <w:lang w:val="en-US" w:eastAsia="zh-CN"/>
                    </w:rPr>
                    <w:t>N</w:t>
                  </w:r>
                </w:p>
              </w:tc>
              <w:tc>
                <w:tcPr>
                  <w:tcW w:w="1413" w:type="dxa"/>
                  <w:tcBorders>
                    <w:tl2br w:val="nil"/>
                    <w:tr2bl w:val="nil"/>
                  </w:tcBorders>
                  <w:noWrap/>
                  <w:vAlign w:val="center"/>
                </w:tcPr>
                <w:p>
                  <w:pPr>
                    <w:spacing w:line="0" w:lineRule="atLeast"/>
                    <w:jc w:val="center"/>
                    <w:rPr>
                      <w:rFonts w:hint="eastAsia"/>
                      <w:color w:val="auto"/>
                      <w:u w:val="single"/>
                    </w:rPr>
                  </w:pPr>
                  <w:r>
                    <w:rPr>
                      <w:rFonts w:hint="eastAsia"/>
                      <w:color w:val="auto"/>
                      <w:u w:val="single"/>
                      <w:lang w:val="en-US" w:eastAsia="zh-CN"/>
                    </w:rPr>
                    <w:t>1542</w:t>
                  </w:r>
                  <w:r>
                    <w:rPr>
                      <w:rFonts w:hint="eastAsia"/>
                      <w:color w:val="auto"/>
                      <w:u w:val="single"/>
                    </w:rPr>
                    <w:t>m-</w:t>
                  </w:r>
                  <w:r>
                    <w:rPr>
                      <w:rFonts w:hint="eastAsia"/>
                      <w:color w:val="auto"/>
                      <w:u w:val="single"/>
                      <w:lang w:val="en-US" w:eastAsia="zh-CN"/>
                    </w:rPr>
                    <w:t>250</w:t>
                  </w:r>
                  <w:r>
                    <w:rPr>
                      <w:rFonts w:hint="eastAsia"/>
                      <w:color w:val="auto"/>
                      <w:u w:val="single"/>
                    </w:rPr>
                    <w:t>0</w:t>
                  </w:r>
                  <w:r>
                    <w:rPr>
                      <w:color w:val="auto"/>
                      <w:u w:val="singl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71" w:hRule="atLeast"/>
              </w:trPr>
              <w:tc>
                <w:tcPr>
                  <w:tcW w:w="89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杨家铺村</w:t>
                  </w:r>
                </w:p>
              </w:tc>
              <w:tc>
                <w:tcPr>
                  <w:tcW w:w="802"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914</w:t>
                  </w:r>
                </w:p>
              </w:tc>
              <w:tc>
                <w:tcPr>
                  <w:tcW w:w="837"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1987</w:t>
                  </w:r>
                </w:p>
              </w:tc>
              <w:tc>
                <w:tcPr>
                  <w:tcW w:w="650"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居民</w:t>
                  </w:r>
                </w:p>
              </w:tc>
              <w:tc>
                <w:tcPr>
                  <w:tcW w:w="1488" w:type="dxa"/>
                  <w:tcBorders>
                    <w:tl2br w:val="nil"/>
                    <w:tr2bl w:val="nil"/>
                  </w:tcBorders>
                  <w:noWrap/>
                  <w:vAlign w:val="center"/>
                </w:tcPr>
                <w:p>
                  <w:pPr>
                    <w:spacing w:line="0" w:lineRule="atLeast"/>
                    <w:jc w:val="center"/>
                    <w:rPr>
                      <w:rFonts w:hint="eastAsia"/>
                      <w:color w:val="auto"/>
                      <w:u w:val="single"/>
                    </w:rPr>
                  </w:pPr>
                  <w:r>
                    <w:rPr>
                      <w:rFonts w:hint="eastAsia"/>
                      <w:color w:val="auto"/>
                      <w:u w:val="single"/>
                    </w:rPr>
                    <w:t>居民约</w:t>
                  </w:r>
                  <w:r>
                    <w:rPr>
                      <w:rFonts w:hint="eastAsia"/>
                      <w:color w:val="auto"/>
                      <w:u w:val="single"/>
                      <w:lang w:val="en-US" w:eastAsia="zh-CN"/>
                    </w:rPr>
                    <w:t>200</w:t>
                  </w:r>
                  <w:r>
                    <w:rPr>
                      <w:rFonts w:hint="eastAsia"/>
                      <w:color w:val="auto"/>
                      <w:u w:val="single"/>
                    </w:rPr>
                    <w:t>户，约</w:t>
                  </w:r>
                  <w:r>
                    <w:rPr>
                      <w:rFonts w:hint="eastAsia"/>
                      <w:color w:val="auto"/>
                      <w:u w:val="single"/>
                      <w:lang w:val="en-US" w:eastAsia="zh-CN"/>
                    </w:rPr>
                    <w:t>700</w:t>
                  </w:r>
                  <w:r>
                    <w:rPr>
                      <w:rFonts w:hint="eastAsia"/>
                      <w:color w:val="auto"/>
                      <w:u w:val="single"/>
                    </w:rPr>
                    <w:t>人</w:t>
                  </w: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rFonts w:hint="eastAsia" w:eastAsia="宋体"/>
                      <w:color w:val="auto"/>
                      <w:u w:val="single"/>
                      <w:lang w:val="en-US" w:eastAsia="zh-CN"/>
                    </w:rPr>
                  </w:pPr>
                  <w:r>
                    <w:rPr>
                      <w:rFonts w:hint="eastAsia"/>
                      <w:color w:val="auto"/>
                      <w:u w:val="single"/>
                      <w:lang w:val="en-US" w:eastAsia="zh-CN"/>
                    </w:rPr>
                    <w:t>N</w:t>
                  </w:r>
                </w:p>
              </w:tc>
              <w:tc>
                <w:tcPr>
                  <w:tcW w:w="1413"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2209</w:t>
                  </w:r>
                  <w:r>
                    <w:rPr>
                      <w:rFonts w:hint="eastAsia"/>
                      <w:color w:val="auto"/>
                      <w:u w:val="single"/>
                    </w:rPr>
                    <w:t>m-</w:t>
                  </w:r>
                  <w:r>
                    <w:rPr>
                      <w:rFonts w:hint="eastAsia"/>
                      <w:color w:val="auto"/>
                      <w:u w:val="single"/>
                      <w:lang w:val="en-US" w:eastAsia="zh-CN"/>
                    </w:rPr>
                    <w:t>250</w:t>
                  </w:r>
                  <w:r>
                    <w:rPr>
                      <w:rFonts w:hint="eastAsia"/>
                      <w:color w:val="auto"/>
                      <w:u w:val="single"/>
                    </w:rPr>
                    <w:t>0</w:t>
                  </w:r>
                  <w:r>
                    <w:rPr>
                      <w:color w:val="auto"/>
                      <w:u w:val="singl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71" w:hRule="atLeast"/>
              </w:trPr>
              <w:tc>
                <w:tcPr>
                  <w:tcW w:w="89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塌西湖村</w:t>
                  </w:r>
                </w:p>
              </w:tc>
              <w:tc>
                <w:tcPr>
                  <w:tcW w:w="802"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1197</w:t>
                  </w:r>
                </w:p>
              </w:tc>
              <w:tc>
                <w:tcPr>
                  <w:tcW w:w="837"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1620</w:t>
                  </w:r>
                </w:p>
              </w:tc>
              <w:tc>
                <w:tcPr>
                  <w:tcW w:w="650"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居民</w:t>
                  </w:r>
                </w:p>
              </w:tc>
              <w:tc>
                <w:tcPr>
                  <w:tcW w:w="1488" w:type="dxa"/>
                  <w:tcBorders>
                    <w:tl2br w:val="nil"/>
                    <w:tr2bl w:val="nil"/>
                  </w:tcBorders>
                  <w:noWrap/>
                  <w:vAlign w:val="center"/>
                </w:tcPr>
                <w:p>
                  <w:pPr>
                    <w:spacing w:line="0" w:lineRule="atLeast"/>
                    <w:jc w:val="center"/>
                    <w:rPr>
                      <w:rFonts w:hint="eastAsia"/>
                      <w:color w:val="auto"/>
                      <w:u w:val="single"/>
                    </w:rPr>
                  </w:pPr>
                  <w:r>
                    <w:rPr>
                      <w:rFonts w:hint="eastAsia"/>
                      <w:color w:val="auto"/>
                      <w:u w:val="single"/>
                    </w:rPr>
                    <w:t>居民约</w:t>
                  </w:r>
                  <w:r>
                    <w:rPr>
                      <w:rFonts w:hint="eastAsia"/>
                      <w:color w:val="auto"/>
                      <w:u w:val="single"/>
                      <w:lang w:val="en-US" w:eastAsia="zh-CN"/>
                    </w:rPr>
                    <w:t>100</w:t>
                  </w:r>
                  <w:r>
                    <w:rPr>
                      <w:rFonts w:hint="eastAsia"/>
                      <w:color w:val="auto"/>
                      <w:u w:val="single"/>
                    </w:rPr>
                    <w:t>户，约</w:t>
                  </w:r>
                  <w:r>
                    <w:rPr>
                      <w:rFonts w:hint="eastAsia"/>
                      <w:color w:val="auto"/>
                      <w:u w:val="single"/>
                      <w:lang w:val="en-US" w:eastAsia="zh-CN"/>
                    </w:rPr>
                    <w:t>350</w:t>
                  </w:r>
                  <w:r>
                    <w:rPr>
                      <w:rFonts w:hint="eastAsia"/>
                      <w:color w:val="auto"/>
                      <w:u w:val="single"/>
                    </w:rPr>
                    <w:t>人</w:t>
                  </w: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NW</w:t>
                  </w:r>
                </w:p>
              </w:tc>
              <w:tc>
                <w:tcPr>
                  <w:tcW w:w="1413"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val="en-US" w:eastAsia="zh-CN"/>
                    </w:rPr>
                    <w:t>2167</w:t>
                  </w:r>
                  <w:r>
                    <w:rPr>
                      <w:rFonts w:hint="eastAsia"/>
                      <w:color w:val="auto"/>
                      <w:u w:val="single"/>
                    </w:rPr>
                    <w:t>m-</w:t>
                  </w:r>
                  <w:r>
                    <w:rPr>
                      <w:rFonts w:hint="eastAsia"/>
                      <w:color w:val="auto"/>
                      <w:u w:val="single"/>
                      <w:lang w:val="en-US" w:eastAsia="zh-CN"/>
                    </w:rPr>
                    <w:t>250</w:t>
                  </w:r>
                  <w:r>
                    <w:rPr>
                      <w:rFonts w:hint="eastAsia"/>
                      <w:color w:val="auto"/>
                      <w:u w:val="single"/>
                    </w:rPr>
                    <w:t>0</w:t>
                  </w:r>
                  <w:r>
                    <w:rPr>
                      <w:color w:val="auto"/>
                      <w:u w:val="singl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71" w:hRule="atLeast"/>
              </w:trPr>
              <w:tc>
                <w:tcPr>
                  <w:tcW w:w="89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吴家桥村</w:t>
                  </w:r>
                </w:p>
              </w:tc>
              <w:tc>
                <w:tcPr>
                  <w:tcW w:w="802"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-312</w:t>
                  </w:r>
                </w:p>
              </w:tc>
              <w:tc>
                <w:tcPr>
                  <w:tcW w:w="837"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-1745</w:t>
                  </w:r>
                </w:p>
              </w:tc>
              <w:tc>
                <w:tcPr>
                  <w:tcW w:w="65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居民</w:t>
                  </w:r>
                </w:p>
              </w:tc>
              <w:tc>
                <w:tcPr>
                  <w:tcW w:w="1488" w:type="dxa"/>
                  <w:tcBorders>
                    <w:tl2br w:val="nil"/>
                    <w:tr2bl w:val="nil"/>
                  </w:tcBorders>
                  <w:noWrap/>
                  <w:vAlign w:val="center"/>
                </w:tcPr>
                <w:p>
                  <w:pPr>
                    <w:spacing w:line="0" w:lineRule="atLeast"/>
                    <w:jc w:val="center"/>
                    <w:rPr>
                      <w:rFonts w:hint="eastAsia"/>
                      <w:color w:val="auto"/>
                      <w:u w:val="single"/>
                    </w:rPr>
                  </w:pPr>
                  <w:r>
                    <w:rPr>
                      <w:rFonts w:hint="eastAsia"/>
                      <w:color w:val="auto"/>
                      <w:u w:val="single"/>
                    </w:rPr>
                    <w:t>居民约</w:t>
                  </w:r>
                  <w:r>
                    <w:rPr>
                      <w:rFonts w:hint="eastAsia"/>
                      <w:color w:val="auto"/>
                      <w:u w:val="single"/>
                      <w:lang w:val="en-US" w:eastAsia="zh-CN"/>
                    </w:rPr>
                    <w:t>150</w:t>
                  </w:r>
                  <w:r>
                    <w:rPr>
                      <w:rFonts w:hint="eastAsia"/>
                      <w:color w:val="auto"/>
                      <w:u w:val="single"/>
                    </w:rPr>
                    <w:t>户，约</w:t>
                  </w:r>
                  <w:r>
                    <w:rPr>
                      <w:rFonts w:hint="eastAsia"/>
                      <w:color w:val="auto"/>
                      <w:u w:val="single"/>
                      <w:lang w:val="en-US" w:eastAsia="zh-CN"/>
                    </w:rPr>
                    <w:t>525</w:t>
                  </w:r>
                  <w:r>
                    <w:rPr>
                      <w:rFonts w:hint="eastAsia"/>
                      <w:color w:val="auto"/>
                      <w:u w:val="single"/>
                    </w:rPr>
                    <w:t>人</w:t>
                  </w: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SW</w:t>
                  </w:r>
                </w:p>
              </w:tc>
              <w:tc>
                <w:tcPr>
                  <w:tcW w:w="1413" w:type="dxa"/>
                  <w:tcBorders>
                    <w:tl2br w:val="nil"/>
                    <w:tr2bl w:val="nil"/>
                  </w:tcBorders>
                  <w:noWrap/>
                  <w:vAlign w:val="center"/>
                </w:tcPr>
                <w:p>
                  <w:pPr>
                    <w:spacing w:line="0" w:lineRule="atLeast"/>
                    <w:jc w:val="center"/>
                    <w:rPr>
                      <w:rFonts w:hint="eastAsia"/>
                      <w:color w:val="auto"/>
                      <w:u w:val="single"/>
                      <w:lang w:val="en-US" w:eastAsia="zh-CN"/>
                    </w:rPr>
                  </w:pPr>
                  <w:r>
                    <w:rPr>
                      <w:rFonts w:hint="eastAsia"/>
                      <w:color w:val="auto"/>
                      <w:u w:val="single"/>
                      <w:lang w:val="en-US" w:eastAsia="zh-CN"/>
                    </w:rPr>
                    <w:t>1766</w:t>
                  </w:r>
                  <w:r>
                    <w:rPr>
                      <w:rFonts w:hint="eastAsia"/>
                      <w:color w:val="auto"/>
                      <w:u w:val="single"/>
                    </w:rPr>
                    <w:t>m-</w:t>
                  </w:r>
                  <w:r>
                    <w:rPr>
                      <w:rFonts w:hint="eastAsia"/>
                      <w:color w:val="auto"/>
                      <w:u w:val="single"/>
                      <w:lang w:val="en-US" w:eastAsia="zh-CN"/>
                    </w:rPr>
                    <w:t>250</w:t>
                  </w:r>
                  <w:r>
                    <w:rPr>
                      <w:rFonts w:hint="eastAsia"/>
                      <w:color w:val="auto"/>
                      <w:u w:val="single"/>
                    </w:rPr>
                    <w:t>0</w:t>
                  </w:r>
                  <w:r>
                    <w:rPr>
                      <w:color w:val="auto"/>
                      <w:u w:val="singl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71" w:hRule="atLeast"/>
              </w:trPr>
              <w:tc>
                <w:tcPr>
                  <w:tcW w:w="89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普贤村</w:t>
                  </w:r>
                </w:p>
              </w:tc>
              <w:tc>
                <w:tcPr>
                  <w:tcW w:w="802"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-1964</w:t>
                  </w:r>
                </w:p>
              </w:tc>
              <w:tc>
                <w:tcPr>
                  <w:tcW w:w="837"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-2614</w:t>
                  </w:r>
                </w:p>
              </w:tc>
              <w:tc>
                <w:tcPr>
                  <w:tcW w:w="65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居民</w:t>
                  </w:r>
                </w:p>
              </w:tc>
              <w:tc>
                <w:tcPr>
                  <w:tcW w:w="1488" w:type="dxa"/>
                  <w:tcBorders>
                    <w:tl2br w:val="nil"/>
                    <w:tr2bl w:val="nil"/>
                  </w:tcBorders>
                  <w:noWrap/>
                  <w:vAlign w:val="center"/>
                </w:tcPr>
                <w:p>
                  <w:pPr>
                    <w:spacing w:line="0" w:lineRule="atLeast"/>
                    <w:jc w:val="center"/>
                    <w:rPr>
                      <w:rFonts w:hint="eastAsia"/>
                      <w:color w:val="auto"/>
                      <w:u w:val="single"/>
                    </w:rPr>
                  </w:pPr>
                  <w:r>
                    <w:rPr>
                      <w:rFonts w:hint="eastAsia"/>
                      <w:color w:val="auto"/>
                      <w:u w:val="single"/>
                    </w:rPr>
                    <w:t>居民约</w:t>
                  </w:r>
                  <w:r>
                    <w:rPr>
                      <w:rFonts w:hint="eastAsia"/>
                      <w:color w:val="auto"/>
                      <w:u w:val="single"/>
                      <w:lang w:val="en-US" w:eastAsia="zh-CN"/>
                    </w:rPr>
                    <w:t>45</w:t>
                  </w:r>
                  <w:r>
                    <w:rPr>
                      <w:rFonts w:hint="eastAsia"/>
                      <w:color w:val="auto"/>
                      <w:u w:val="single"/>
                    </w:rPr>
                    <w:t>户，约</w:t>
                  </w:r>
                  <w:r>
                    <w:rPr>
                      <w:rFonts w:hint="eastAsia"/>
                      <w:color w:val="auto"/>
                      <w:u w:val="single"/>
                      <w:lang w:val="en-US" w:eastAsia="zh-CN"/>
                    </w:rPr>
                    <w:t>158</w:t>
                  </w:r>
                  <w:r>
                    <w:rPr>
                      <w:rFonts w:hint="eastAsia"/>
                      <w:color w:val="auto"/>
                      <w:u w:val="single"/>
                    </w:rPr>
                    <w:t>人</w:t>
                  </w:r>
                </w:p>
              </w:tc>
              <w:tc>
                <w:tcPr>
                  <w:tcW w:w="1490" w:type="dxa"/>
                  <w:vMerge w:val="continue"/>
                  <w:tcBorders>
                    <w:tl2br w:val="nil"/>
                    <w:tr2bl w:val="nil"/>
                  </w:tcBorders>
                  <w:noWrap/>
                  <w:vAlign w:val="center"/>
                </w:tcPr>
                <w:p>
                  <w:pPr>
                    <w:spacing w:line="0" w:lineRule="atLeast"/>
                    <w:jc w:val="center"/>
                    <w:rPr>
                      <w:color w:val="auto"/>
                      <w:u w:val="single"/>
                    </w:rPr>
                  </w:pPr>
                </w:p>
              </w:tc>
              <w:tc>
                <w:tcPr>
                  <w:tcW w:w="750" w:type="dxa"/>
                  <w:tcBorders>
                    <w:tl2br w:val="nil"/>
                    <w:tr2bl w:val="nil"/>
                  </w:tcBorders>
                  <w:noWrap/>
                  <w:vAlign w:val="center"/>
                </w:tcPr>
                <w:p>
                  <w:pPr>
                    <w:spacing w:line="0" w:lineRule="atLeast"/>
                    <w:jc w:val="center"/>
                    <w:rPr>
                      <w:rFonts w:hint="default"/>
                      <w:color w:val="auto"/>
                      <w:u w:val="single"/>
                      <w:lang w:val="en-US" w:eastAsia="zh-CN"/>
                    </w:rPr>
                  </w:pPr>
                  <w:r>
                    <w:rPr>
                      <w:rFonts w:hint="eastAsia"/>
                      <w:color w:val="auto"/>
                      <w:u w:val="single"/>
                      <w:lang w:val="en-US" w:eastAsia="zh-CN"/>
                    </w:rPr>
                    <w:t>SW</w:t>
                  </w:r>
                </w:p>
              </w:tc>
              <w:tc>
                <w:tcPr>
                  <w:tcW w:w="1413" w:type="dxa"/>
                  <w:tcBorders>
                    <w:tl2br w:val="nil"/>
                    <w:tr2bl w:val="nil"/>
                  </w:tcBorders>
                  <w:noWrap/>
                  <w:vAlign w:val="center"/>
                </w:tcPr>
                <w:p>
                  <w:pPr>
                    <w:spacing w:line="0" w:lineRule="atLeast"/>
                    <w:jc w:val="center"/>
                    <w:rPr>
                      <w:rFonts w:hint="eastAsia"/>
                      <w:color w:val="auto"/>
                      <w:u w:val="single"/>
                      <w:lang w:val="en-US" w:eastAsia="zh-CN"/>
                    </w:rPr>
                  </w:pPr>
                  <w:r>
                    <w:rPr>
                      <w:rFonts w:hint="eastAsia"/>
                      <w:color w:val="auto"/>
                      <w:u w:val="single"/>
                      <w:lang w:val="en-US" w:eastAsia="zh-CN"/>
                    </w:rPr>
                    <w:t>3264</w:t>
                  </w:r>
                  <w:r>
                    <w:rPr>
                      <w:rFonts w:hint="eastAsia"/>
                      <w:color w:val="auto"/>
                      <w:u w:val="single"/>
                    </w:rPr>
                    <w:t>m-</w:t>
                  </w:r>
                  <w:r>
                    <w:rPr>
                      <w:rFonts w:hint="eastAsia"/>
                      <w:color w:val="auto"/>
                      <w:u w:val="single"/>
                      <w:lang w:val="en-US" w:eastAsia="zh-CN"/>
                    </w:rPr>
                    <w:t>250</w:t>
                  </w:r>
                  <w:r>
                    <w:rPr>
                      <w:rFonts w:hint="eastAsia"/>
                      <w:color w:val="auto"/>
                      <w:u w:val="single"/>
                    </w:rPr>
                    <w:t>0</w:t>
                  </w:r>
                  <w:r>
                    <w:rPr>
                      <w:color w:val="auto"/>
                      <w:u w:val="single"/>
                    </w:rPr>
                    <w:t>m</w:t>
                  </w:r>
                </w:p>
              </w:tc>
            </w:tr>
          </w:tbl>
          <w:p>
            <w:pPr>
              <w:ind w:firstLine="211" w:firstLineChars="100"/>
              <w:jc w:val="center"/>
              <w:rPr>
                <w:b/>
                <w:bCs/>
                <w:u w:val="single"/>
              </w:rPr>
            </w:pPr>
            <w:r>
              <w:rPr>
                <w:rFonts w:hint="eastAsia"/>
                <w:b/>
                <w:bCs/>
                <w:u w:val="single"/>
              </w:rPr>
              <w:t>表3-</w:t>
            </w:r>
            <w:r>
              <w:rPr>
                <w:rFonts w:hint="eastAsia"/>
                <w:b/>
                <w:bCs/>
                <w:u w:val="single"/>
                <w:lang w:val="en-US" w:eastAsia="zh-CN"/>
              </w:rPr>
              <w:t>10</w:t>
            </w:r>
            <w:r>
              <w:rPr>
                <w:rFonts w:hint="eastAsia"/>
                <w:b/>
                <w:bCs/>
                <w:u w:val="single"/>
              </w:rPr>
              <w:t>项目声环境</w:t>
            </w:r>
            <w:r>
              <w:rPr>
                <w:b/>
                <w:bCs/>
                <w:u w:val="single"/>
              </w:rPr>
              <w:t>保护目标表</w:t>
            </w:r>
          </w:p>
          <w:tbl>
            <w:tblPr>
              <w:tblStyle w:val="28"/>
              <w:tblW w:w="826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4" w:type="dxa"/>
                <w:bottom w:w="0" w:type="dxa"/>
                <w:right w:w="14" w:type="dxa"/>
              </w:tblCellMar>
            </w:tblPr>
            <w:tblGrid>
              <w:gridCol w:w="570"/>
              <w:gridCol w:w="1667"/>
              <w:gridCol w:w="1197"/>
              <w:gridCol w:w="2157"/>
              <w:gridCol w:w="26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648" w:hRule="atLeast"/>
                <w:tblHeader/>
              </w:trPr>
              <w:tc>
                <w:tcPr>
                  <w:tcW w:w="570" w:type="dxa"/>
                  <w:tcBorders>
                    <w:top w:val="single" w:color="auto" w:sz="12" w:space="0"/>
                  </w:tcBorders>
                  <w:vAlign w:val="center"/>
                </w:tcPr>
                <w:p>
                  <w:pPr>
                    <w:spacing w:line="0" w:lineRule="atLeast"/>
                    <w:jc w:val="center"/>
                    <w:rPr>
                      <w:u w:val="single"/>
                    </w:rPr>
                  </w:pPr>
                  <w:r>
                    <w:rPr>
                      <w:u w:val="single"/>
                    </w:rPr>
                    <w:t>项目</w:t>
                  </w:r>
                </w:p>
              </w:tc>
              <w:tc>
                <w:tcPr>
                  <w:tcW w:w="1667" w:type="dxa"/>
                  <w:tcBorders>
                    <w:top w:val="single" w:color="auto" w:sz="12" w:space="0"/>
                  </w:tcBorders>
                  <w:vAlign w:val="center"/>
                </w:tcPr>
                <w:p>
                  <w:pPr>
                    <w:spacing w:line="0" w:lineRule="atLeast"/>
                    <w:jc w:val="center"/>
                    <w:rPr>
                      <w:u w:val="single"/>
                    </w:rPr>
                  </w:pPr>
                  <w:r>
                    <w:rPr>
                      <w:u w:val="single"/>
                    </w:rPr>
                    <w:t>目标名称</w:t>
                  </w:r>
                </w:p>
              </w:tc>
              <w:tc>
                <w:tcPr>
                  <w:tcW w:w="1197" w:type="dxa"/>
                  <w:tcBorders>
                    <w:top w:val="single" w:color="auto" w:sz="12" w:space="0"/>
                  </w:tcBorders>
                  <w:vAlign w:val="center"/>
                </w:tcPr>
                <w:p>
                  <w:pPr>
                    <w:spacing w:line="0" w:lineRule="atLeast"/>
                    <w:jc w:val="center"/>
                    <w:rPr>
                      <w:u w:val="single"/>
                    </w:rPr>
                  </w:pPr>
                  <w:r>
                    <w:rPr>
                      <w:u w:val="single"/>
                    </w:rPr>
                    <w:t>规  模</w:t>
                  </w:r>
                </w:p>
              </w:tc>
              <w:tc>
                <w:tcPr>
                  <w:tcW w:w="2157" w:type="dxa"/>
                  <w:tcBorders>
                    <w:top w:val="single" w:color="auto" w:sz="12" w:space="0"/>
                  </w:tcBorders>
                  <w:vAlign w:val="center"/>
                </w:tcPr>
                <w:p>
                  <w:pPr>
                    <w:spacing w:line="0" w:lineRule="atLeast"/>
                    <w:jc w:val="center"/>
                    <w:rPr>
                      <w:u w:val="single"/>
                    </w:rPr>
                  </w:pPr>
                  <w:r>
                    <w:rPr>
                      <w:u w:val="single"/>
                    </w:rPr>
                    <w:t>相对项目厂址方位及厂界距离</w:t>
                  </w:r>
                </w:p>
              </w:tc>
              <w:tc>
                <w:tcPr>
                  <w:tcW w:w="2669" w:type="dxa"/>
                  <w:tcBorders>
                    <w:top w:val="single" w:color="auto" w:sz="12" w:space="0"/>
                    <w:right w:val="single" w:color="auto" w:sz="12" w:space="0"/>
                  </w:tcBorders>
                  <w:vAlign w:val="center"/>
                </w:tcPr>
                <w:p>
                  <w:pPr>
                    <w:spacing w:line="0" w:lineRule="atLeast"/>
                    <w:jc w:val="center"/>
                    <w:rPr>
                      <w:u w:val="single"/>
                    </w:rPr>
                  </w:pPr>
                  <w:r>
                    <w:rPr>
                      <w:u w:val="single"/>
                    </w:rPr>
                    <w:t>环境功能及保护级别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619" w:hRule="atLeast"/>
              </w:trPr>
              <w:tc>
                <w:tcPr>
                  <w:tcW w:w="570" w:type="dxa"/>
                  <w:vMerge w:val="restart"/>
                  <w:tcBorders>
                    <w:left w:val="single" w:color="auto" w:sz="4" w:space="0"/>
                  </w:tcBorders>
                  <w:vAlign w:val="center"/>
                </w:tcPr>
                <w:p>
                  <w:pPr>
                    <w:spacing w:line="0" w:lineRule="atLeast"/>
                    <w:jc w:val="center"/>
                    <w:rPr>
                      <w:u w:val="single"/>
                    </w:rPr>
                  </w:pPr>
                  <w:r>
                    <w:rPr>
                      <w:u w:val="single"/>
                    </w:rPr>
                    <w:t>声环境</w:t>
                  </w:r>
                </w:p>
              </w:tc>
              <w:tc>
                <w:tcPr>
                  <w:tcW w:w="1667" w:type="dxa"/>
                  <w:vAlign w:val="center"/>
                </w:tcPr>
                <w:p>
                  <w:pPr>
                    <w:spacing w:line="0" w:lineRule="atLeast"/>
                    <w:jc w:val="center"/>
                    <w:rPr>
                      <w:u w:val="single"/>
                    </w:rPr>
                  </w:pPr>
                  <w:r>
                    <w:rPr>
                      <w:rFonts w:hint="eastAsia"/>
                      <w:u w:val="single"/>
                      <w:lang w:eastAsia="zh-CN"/>
                    </w:rPr>
                    <w:t>苍台村</w:t>
                  </w:r>
                </w:p>
              </w:tc>
              <w:tc>
                <w:tcPr>
                  <w:tcW w:w="1197" w:type="dxa"/>
                  <w:vAlign w:val="center"/>
                </w:tcPr>
                <w:p>
                  <w:pPr>
                    <w:spacing w:line="0" w:lineRule="atLeast"/>
                    <w:jc w:val="center"/>
                    <w:rPr>
                      <w:u w:val="single"/>
                    </w:rPr>
                  </w:pPr>
                  <w:r>
                    <w:rPr>
                      <w:rFonts w:hint="eastAsia"/>
                      <w:u w:val="single"/>
                    </w:rPr>
                    <w:t>居民约10户，35人</w:t>
                  </w:r>
                </w:p>
              </w:tc>
              <w:tc>
                <w:tcPr>
                  <w:tcW w:w="2157" w:type="dxa"/>
                  <w:vAlign w:val="center"/>
                </w:tcPr>
                <w:p>
                  <w:pPr>
                    <w:spacing w:line="0" w:lineRule="atLeast"/>
                    <w:jc w:val="center"/>
                    <w:rPr>
                      <w:u w:val="single"/>
                    </w:rPr>
                  </w:pPr>
                  <w:r>
                    <w:rPr>
                      <w:rFonts w:hint="eastAsia"/>
                      <w:u w:val="single"/>
                    </w:rPr>
                    <w:t>NW</w:t>
                  </w:r>
                  <w:r>
                    <w:rPr>
                      <w:u w:val="single"/>
                    </w:rPr>
                    <w:t>，</w:t>
                  </w:r>
                  <w:r>
                    <w:rPr>
                      <w:rFonts w:hint="eastAsia"/>
                      <w:u w:val="single"/>
                    </w:rPr>
                    <w:t>95</w:t>
                  </w:r>
                  <w:r>
                    <w:rPr>
                      <w:u w:val="single"/>
                    </w:rPr>
                    <w:t>-</w:t>
                  </w:r>
                  <w:r>
                    <w:rPr>
                      <w:rFonts w:hint="eastAsia"/>
                      <w:u w:val="single"/>
                    </w:rPr>
                    <w:t>200</w:t>
                  </w:r>
                  <w:r>
                    <w:rPr>
                      <w:u w:val="single"/>
                    </w:rPr>
                    <w:t>m</w:t>
                  </w:r>
                </w:p>
              </w:tc>
              <w:tc>
                <w:tcPr>
                  <w:tcW w:w="2669" w:type="dxa"/>
                  <w:vMerge w:val="restart"/>
                  <w:tcBorders>
                    <w:right w:val="single" w:color="auto" w:sz="12" w:space="0"/>
                  </w:tcBorders>
                  <w:vAlign w:val="center"/>
                </w:tcPr>
                <w:p>
                  <w:pPr>
                    <w:spacing w:line="0" w:lineRule="atLeast"/>
                    <w:jc w:val="center"/>
                    <w:rPr>
                      <w:u w:val="single"/>
                    </w:rPr>
                  </w:pPr>
                  <w:r>
                    <w:rPr>
                      <w:u w:val="single"/>
                    </w:rPr>
                    <w:t>《声环境质量标准》</w:t>
                  </w:r>
                </w:p>
                <w:p>
                  <w:pPr>
                    <w:spacing w:line="0" w:lineRule="atLeast"/>
                    <w:jc w:val="center"/>
                    <w:rPr>
                      <w:u w:val="single"/>
                    </w:rPr>
                  </w:pPr>
                  <w:r>
                    <w:rPr>
                      <w:u w:val="single"/>
                    </w:rPr>
                    <w:t>GB3096-2008中2类标准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619" w:hRule="atLeast"/>
              </w:trPr>
              <w:tc>
                <w:tcPr>
                  <w:tcW w:w="570" w:type="dxa"/>
                  <w:vMerge w:val="continue"/>
                  <w:tcBorders>
                    <w:left w:val="single" w:color="auto" w:sz="4" w:space="0"/>
                  </w:tcBorders>
                  <w:vAlign w:val="center"/>
                </w:tcPr>
                <w:p>
                  <w:pPr>
                    <w:spacing w:line="0" w:lineRule="atLeast"/>
                    <w:jc w:val="center"/>
                    <w:rPr>
                      <w:u w:val="single"/>
                    </w:rPr>
                  </w:pPr>
                </w:p>
              </w:tc>
              <w:tc>
                <w:tcPr>
                  <w:tcW w:w="1667" w:type="dxa"/>
                  <w:vAlign w:val="center"/>
                </w:tcPr>
                <w:p>
                  <w:pPr>
                    <w:spacing w:line="0" w:lineRule="atLeast"/>
                    <w:jc w:val="center"/>
                    <w:rPr>
                      <w:u w:val="single"/>
                    </w:rPr>
                  </w:pPr>
                  <w:r>
                    <w:rPr>
                      <w:rFonts w:hint="eastAsia"/>
                      <w:u w:val="single"/>
                    </w:rPr>
                    <w:t>贺家咀</w:t>
                  </w:r>
                </w:p>
              </w:tc>
              <w:tc>
                <w:tcPr>
                  <w:tcW w:w="1197" w:type="dxa"/>
                  <w:vAlign w:val="center"/>
                </w:tcPr>
                <w:p>
                  <w:pPr>
                    <w:spacing w:line="0" w:lineRule="atLeast"/>
                    <w:jc w:val="center"/>
                    <w:rPr>
                      <w:u w:val="single"/>
                    </w:rPr>
                  </w:pPr>
                  <w:r>
                    <w:rPr>
                      <w:rFonts w:hint="eastAsia"/>
                      <w:u w:val="single"/>
                    </w:rPr>
                    <w:t>居民约15户，约53人</w:t>
                  </w:r>
                </w:p>
              </w:tc>
              <w:tc>
                <w:tcPr>
                  <w:tcW w:w="2157" w:type="dxa"/>
                  <w:vAlign w:val="center"/>
                </w:tcPr>
                <w:p>
                  <w:pPr>
                    <w:spacing w:line="0" w:lineRule="atLeast"/>
                    <w:jc w:val="center"/>
                    <w:rPr>
                      <w:u w:val="single"/>
                    </w:rPr>
                  </w:pPr>
                  <w:r>
                    <w:rPr>
                      <w:rFonts w:hint="eastAsia"/>
                      <w:u w:val="single"/>
                    </w:rPr>
                    <w:t>S，1m-200</w:t>
                  </w:r>
                  <w:r>
                    <w:rPr>
                      <w:u w:val="single"/>
                    </w:rPr>
                    <w:t>m</w:t>
                  </w:r>
                </w:p>
              </w:tc>
              <w:tc>
                <w:tcPr>
                  <w:tcW w:w="2669" w:type="dxa"/>
                  <w:vMerge w:val="continue"/>
                  <w:tcBorders>
                    <w:right w:val="single" w:color="auto" w:sz="12" w:space="0"/>
                  </w:tcBorders>
                  <w:vAlign w:val="center"/>
                </w:tcPr>
                <w:p>
                  <w:pPr>
                    <w:spacing w:line="0" w:lineRule="atLeast"/>
                    <w:jc w:val="center"/>
                    <w:rPr>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619" w:hRule="atLeast"/>
              </w:trPr>
              <w:tc>
                <w:tcPr>
                  <w:tcW w:w="570" w:type="dxa"/>
                  <w:vMerge w:val="continue"/>
                  <w:tcBorders>
                    <w:left w:val="single" w:color="auto" w:sz="4" w:space="0"/>
                  </w:tcBorders>
                  <w:vAlign w:val="center"/>
                </w:tcPr>
                <w:p>
                  <w:pPr>
                    <w:spacing w:line="0" w:lineRule="atLeast"/>
                    <w:jc w:val="center"/>
                    <w:rPr>
                      <w:u w:val="single"/>
                    </w:rPr>
                  </w:pPr>
                </w:p>
              </w:tc>
              <w:tc>
                <w:tcPr>
                  <w:tcW w:w="1667" w:type="dxa"/>
                  <w:vAlign w:val="center"/>
                </w:tcPr>
                <w:p>
                  <w:pPr>
                    <w:spacing w:line="0" w:lineRule="atLeast"/>
                    <w:jc w:val="center"/>
                    <w:rPr>
                      <w:u w:val="single"/>
                    </w:rPr>
                  </w:pPr>
                  <w:r>
                    <w:rPr>
                      <w:rFonts w:hint="eastAsia"/>
                      <w:u w:val="single"/>
                    </w:rPr>
                    <w:t>贺家咀</w:t>
                  </w:r>
                </w:p>
              </w:tc>
              <w:tc>
                <w:tcPr>
                  <w:tcW w:w="1197" w:type="dxa"/>
                  <w:vAlign w:val="center"/>
                </w:tcPr>
                <w:p>
                  <w:pPr>
                    <w:spacing w:line="0" w:lineRule="atLeast"/>
                    <w:jc w:val="center"/>
                    <w:rPr>
                      <w:u w:val="single"/>
                    </w:rPr>
                  </w:pPr>
                  <w:r>
                    <w:rPr>
                      <w:rFonts w:hint="eastAsia"/>
                      <w:u w:val="single"/>
                    </w:rPr>
                    <w:t>居民约1户</w:t>
                  </w:r>
                </w:p>
              </w:tc>
              <w:tc>
                <w:tcPr>
                  <w:tcW w:w="2157" w:type="dxa"/>
                  <w:vAlign w:val="center"/>
                </w:tcPr>
                <w:p>
                  <w:pPr>
                    <w:spacing w:line="0" w:lineRule="atLeast"/>
                    <w:jc w:val="center"/>
                    <w:rPr>
                      <w:u w:val="single"/>
                    </w:rPr>
                  </w:pPr>
                  <w:r>
                    <w:rPr>
                      <w:rFonts w:hint="eastAsia"/>
                      <w:u w:val="single"/>
                    </w:rPr>
                    <w:t>E，</w:t>
                  </w:r>
                  <w:r>
                    <w:rPr>
                      <w:rFonts w:hint="eastAsia"/>
                      <w:u w:val="single"/>
                      <w:lang w:val="en-US" w:eastAsia="zh-CN"/>
                    </w:rPr>
                    <w:t>28</w:t>
                  </w:r>
                  <w:r>
                    <w:rPr>
                      <w:rFonts w:hint="eastAsia"/>
                      <w:u w:val="single"/>
                    </w:rPr>
                    <w:t>m</w:t>
                  </w:r>
                </w:p>
              </w:tc>
              <w:tc>
                <w:tcPr>
                  <w:tcW w:w="2669" w:type="dxa"/>
                  <w:vMerge w:val="continue"/>
                  <w:tcBorders>
                    <w:right w:val="single" w:color="auto" w:sz="12" w:space="0"/>
                  </w:tcBorders>
                  <w:vAlign w:val="center"/>
                </w:tcPr>
                <w:p>
                  <w:pPr>
                    <w:spacing w:line="0" w:lineRule="atLeast"/>
                    <w:jc w:val="center"/>
                    <w:rPr>
                      <w:u w:val="singl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619" w:hRule="atLeast"/>
              </w:trPr>
              <w:tc>
                <w:tcPr>
                  <w:tcW w:w="570" w:type="dxa"/>
                  <w:vMerge w:val="continue"/>
                  <w:tcBorders>
                    <w:left w:val="single" w:color="auto" w:sz="4" w:space="0"/>
                  </w:tcBorders>
                  <w:vAlign w:val="center"/>
                </w:tcPr>
                <w:p>
                  <w:pPr>
                    <w:spacing w:line="0" w:lineRule="atLeast"/>
                    <w:jc w:val="center"/>
                    <w:rPr>
                      <w:u w:val="single"/>
                    </w:rPr>
                  </w:pPr>
                </w:p>
              </w:tc>
              <w:tc>
                <w:tcPr>
                  <w:tcW w:w="1667" w:type="dxa"/>
                  <w:vAlign w:val="center"/>
                </w:tcPr>
                <w:p>
                  <w:pPr>
                    <w:spacing w:line="0" w:lineRule="atLeast"/>
                    <w:jc w:val="center"/>
                    <w:rPr>
                      <w:u w:val="single"/>
                    </w:rPr>
                  </w:pPr>
                  <w:r>
                    <w:rPr>
                      <w:rFonts w:hint="eastAsia"/>
                      <w:u w:val="single"/>
                    </w:rPr>
                    <w:t>肖兰家台</w:t>
                  </w:r>
                </w:p>
              </w:tc>
              <w:tc>
                <w:tcPr>
                  <w:tcW w:w="1197" w:type="dxa"/>
                  <w:vAlign w:val="center"/>
                </w:tcPr>
                <w:p>
                  <w:pPr>
                    <w:spacing w:line="0" w:lineRule="atLeast"/>
                    <w:jc w:val="center"/>
                    <w:rPr>
                      <w:u w:val="single"/>
                    </w:rPr>
                  </w:pPr>
                  <w:r>
                    <w:rPr>
                      <w:rFonts w:hint="eastAsia"/>
                      <w:u w:val="single"/>
                    </w:rPr>
                    <w:t>居民约2</w:t>
                  </w:r>
                  <w:r>
                    <w:rPr>
                      <w:u w:val="single"/>
                    </w:rPr>
                    <w:t>户</w:t>
                  </w:r>
                  <w:r>
                    <w:rPr>
                      <w:rFonts w:hint="eastAsia"/>
                      <w:u w:val="single"/>
                    </w:rPr>
                    <w:t>，7人</w:t>
                  </w:r>
                </w:p>
              </w:tc>
              <w:tc>
                <w:tcPr>
                  <w:tcW w:w="2157" w:type="dxa"/>
                  <w:vAlign w:val="center"/>
                </w:tcPr>
                <w:p>
                  <w:pPr>
                    <w:spacing w:line="0" w:lineRule="atLeast"/>
                    <w:jc w:val="center"/>
                    <w:rPr>
                      <w:u w:val="single"/>
                    </w:rPr>
                  </w:pPr>
                  <w:r>
                    <w:rPr>
                      <w:rFonts w:hint="eastAsia"/>
                      <w:u w:val="single"/>
                    </w:rPr>
                    <w:t>W，187-200m</w:t>
                  </w:r>
                </w:p>
              </w:tc>
              <w:tc>
                <w:tcPr>
                  <w:tcW w:w="2669" w:type="dxa"/>
                  <w:vMerge w:val="continue"/>
                  <w:tcBorders>
                    <w:right w:val="single" w:color="auto" w:sz="12" w:space="0"/>
                  </w:tcBorders>
                  <w:vAlign w:val="center"/>
                </w:tcPr>
                <w:p>
                  <w:pPr>
                    <w:spacing w:line="0" w:lineRule="atLeast"/>
                    <w:jc w:val="center"/>
                    <w:rPr>
                      <w:u w:val="single"/>
                    </w:rPr>
                  </w:pPr>
                </w:p>
              </w:tc>
            </w:tr>
          </w:tbl>
          <w:p>
            <w:pPr>
              <w:ind w:firstLine="211" w:firstLineChars="100"/>
              <w:jc w:val="center"/>
              <w:rPr>
                <w:rFonts w:hint="eastAsia"/>
                <w:b/>
                <w:bCs/>
                <w:u w:val="single"/>
              </w:rPr>
            </w:pPr>
          </w:p>
          <w:p>
            <w:pPr>
              <w:ind w:firstLine="211" w:firstLineChars="100"/>
              <w:jc w:val="center"/>
              <w:rPr>
                <w:rFonts w:hint="eastAsia"/>
                <w:b/>
                <w:bCs/>
                <w:u w:val="single"/>
              </w:rPr>
            </w:pPr>
          </w:p>
          <w:p>
            <w:pPr>
              <w:ind w:firstLine="211" w:firstLineChars="100"/>
              <w:jc w:val="center"/>
              <w:rPr>
                <w:b/>
                <w:bCs/>
                <w:u w:val="single"/>
              </w:rPr>
            </w:pPr>
            <w:r>
              <w:rPr>
                <w:rFonts w:hint="eastAsia"/>
                <w:b/>
                <w:bCs/>
                <w:u w:val="single"/>
              </w:rPr>
              <w:t>表3-</w:t>
            </w:r>
            <w:r>
              <w:rPr>
                <w:rFonts w:hint="eastAsia"/>
                <w:b/>
                <w:bCs/>
                <w:u w:val="single"/>
                <w:lang w:val="en-US" w:eastAsia="zh-CN"/>
              </w:rPr>
              <w:t>11</w:t>
            </w:r>
            <w:r>
              <w:rPr>
                <w:rFonts w:hint="eastAsia"/>
                <w:b/>
                <w:bCs/>
                <w:u w:val="single"/>
              </w:rPr>
              <w:t>项目地表水环境</w:t>
            </w:r>
            <w:r>
              <w:rPr>
                <w:b/>
                <w:bCs/>
                <w:u w:val="single"/>
              </w:rPr>
              <w:t>保护目标表</w:t>
            </w:r>
          </w:p>
          <w:tbl>
            <w:tblPr>
              <w:tblStyle w:val="28"/>
              <w:tblW w:w="839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4" w:type="dxa"/>
                <w:bottom w:w="0" w:type="dxa"/>
                <w:right w:w="14" w:type="dxa"/>
              </w:tblCellMar>
            </w:tblPr>
            <w:tblGrid>
              <w:gridCol w:w="443"/>
              <w:gridCol w:w="601"/>
              <w:gridCol w:w="1375"/>
              <w:gridCol w:w="623"/>
              <w:gridCol w:w="1215"/>
              <w:gridCol w:w="1487"/>
              <w:gridCol w:w="1500"/>
              <w:gridCol w:w="11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606" w:hRule="atLeast"/>
                <w:tblHeader/>
              </w:trPr>
              <w:tc>
                <w:tcPr>
                  <w:tcW w:w="443" w:type="dxa"/>
                  <w:tcBorders>
                    <w:top w:val="single" w:color="auto" w:sz="12" w:space="0"/>
                  </w:tcBorders>
                  <w:vAlign w:val="center"/>
                </w:tcPr>
                <w:p>
                  <w:pPr>
                    <w:spacing w:line="0" w:lineRule="atLeast"/>
                    <w:jc w:val="center"/>
                    <w:rPr>
                      <w:u w:val="single"/>
                    </w:rPr>
                  </w:pPr>
                  <w:r>
                    <w:rPr>
                      <w:u w:val="single"/>
                    </w:rPr>
                    <w:t>项目</w:t>
                  </w:r>
                </w:p>
              </w:tc>
              <w:tc>
                <w:tcPr>
                  <w:tcW w:w="601" w:type="dxa"/>
                  <w:tcBorders>
                    <w:top w:val="single" w:color="auto" w:sz="12" w:space="0"/>
                    <w:right w:val="single" w:color="auto" w:sz="4" w:space="0"/>
                  </w:tcBorders>
                  <w:vAlign w:val="center"/>
                </w:tcPr>
                <w:p>
                  <w:pPr>
                    <w:spacing w:line="0" w:lineRule="atLeast"/>
                    <w:jc w:val="center"/>
                    <w:rPr>
                      <w:u w:val="single"/>
                    </w:rPr>
                  </w:pPr>
                  <w:r>
                    <w:rPr>
                      <w:u w:val="single"/>
                    </w:rPr>
                    <w:t>目标名称</w:t>
                  </w:r>
                </w:p>
              </w:tc>
              <w:tc>
                <w:tcPr>
                  <w:tcW w:w="1375" w:type="dxa"/>
                  <w:tcBorders>
                    <w:top w:val="single" w:color="auto" w:sz="12" w:space="0"/>
                    <w:left w:val="single" w:color="auto" w:sz="4" w:space="0"/>
                  </w:tcBorders>
                  <w:vAlign w:val="center"/>
                </w:tcPr>
                <w:p>
                  <w:pPr>
                    <w:spacing w:line="0" w:lineRule="atLeast"/>
                    <w:jc w:val="center"/>
                    <w:rPr>
                      <w:u w:val="single"/>
                    </w:rPr>
                  </w:pPr>
                  <w:r>
                    <w:rPr>
                      <w:rFonts w:hint="eastAsia"/>
                      <w:u w:val="single"/>
                    </w:rPr>
                    <w:t>坐标</w:t>
                  </w:r>
                </w:p>
              </w:tc>
              <w:tc>
                <w:tcPr>
                  <w:tcW w:w="623" w:type="dxa"/>
                  <w:tcBorders>
                    <w:top w:val="single" w:color="auto" w:sz="12" w:space="0"/>
                  </w:tcBorders>
                  <w:vAlign w:val="center"/>
                </w:tcPr>
                <w:p>
                  <w:pPr>
                    <w:spacing w:line="0" w:lineRule="atLeast"/>
                    <w:jc w:val="center"/>
                    <w:rPr>
                      <w:u w:val="single"/>
                    </w:rPr>
                  </w:pPr>
                  <w:r>
                    <w:rPr>
                      <w:rFonts w:hint="eastAsia"/>
                      <w:u w:val="single"/>
                    </w:rPr>
                    <w:t>高差</w:t>
                  </w:r>
                </w:p>
                <w:p>
                  <w:pPr>
                    <w:spacing w:line="0" w:lineRule="atLeast"/>
                    <w:jc w:val="center"/>
                    <w:rPr>
                      <w:u w:val="single"/>
                    </w:rPr>
                  </w:pPr>
                  <w:r>
                    <w:rPr>
                      <w:rFonts w:hint="eastAsia"/>
                      <w:u w:val="single"/>
                    </w:rPr>
                    <w:t>(m)</w:t>
                  </w:r>
                </w:p>
              </w:tc>
              <w:tc>
                <w:tcPr>
                  <w:tcW w:w="1215" w:type="dxa"/>
                  <w:tcBorders>
                    <w:top w:val="single" w:color="auto" w:sz="12" w:space="0"/>
                    <w:right w:val="single" w:color="auto" w:sz="4" w:space="0"/>
                  </w:tcBorders>
                  <w:vAlign w:val="center"/>
                </w:tcPr>
                <w:p>
                  <w:pPr>
                    <w:spacing w:line="0" w:lineRule="atLeast"/>
                    <w:jc w:val="center"/>
                    <w:rPr>
                      <w:u w:val="single"/>
                    </w:rPr>
                  </w:pPr>
                  <w:r>
                    <w:rPr>
                      <w:u w:val="single"/>
                    </w:rPr>
                    <w:t>规  模</w:t>
                  </w:r>
                </w:p>
              </w:tc>
              <w:tc>
                <w:tcPr>
                  <w:tcW w:w="1487" w:type="dxa"/>
                  <w:tcBorders>
                    <w:top w:val="single" w:color="auto" w:sz="12" w:space="0"/>
                    <w:left w:val="single" w:color="auto" w:sz="4" w:space="0"/>
                  </w:tcBorders>
                  <w:vAlign w:val="center"/>
                </w:tcPr>
                <w:p>
                  <w:pPr>
                    <w:spacing w:line="0" w:lineRule="atLeast"/>
                    <w:jc w:val="center"/>
                    <w:rPr>
                      <w:u w:val="single"/>
                    </w:rPr>
                  </w:pPr>
                  <w:r>
                    <w:rPr>
                      <w:u w:val="single"/>
                    </w:rPr>
                    <w:t>相对项目厂址方位及厂界距离</w:t>
                  </w:r>
                </w:p>
              </w:tc>
              <w:tc>
                <w:tcPr>
                  <w:tcW w:w="1500" w:type="dxa"/>
                  <w:tcBorders>
                    <w:top w:val="single" w:color="auto" w:sz="12" w:space="0"/>
                    <w:right w:val="single" w:color="auto" w:sz="4" w:space="0"/>
                  </w:tcBorders>
                  <w:vAlign w:val="center"/>
                </w:tcPr>
                <w:p>
                  <w:pPr>
                    <w:spacing w:line="0" w:lineRule="atLeast"/>
                    <w:jc w:val="center"/>
                    <w:rPr>
                      <w:u w:val="single"/>
                    </w:rPr>
                  </w:pPr>
                  <w:r>
                    <w:rPr>
                      <w:u w:val="single"/>
                    </w:rPr>
                    <w:t>环境功能及保护级别</w:t>
                  </w:r>
                </w:p>
              </w:tc>
              <w:tc>
                <w:tcPr>
                  <w:tcW w:w="1155" w:type="dxa"/>
                  <w:tcBorders>
                    <w:top w:val="single" w:color="auto" w:sz="12" w:space="0"/>
                    <w:left w:val="single" w:color="auto" w:sz="4" w:space="0"/>
                    <w:right w:val="single" w:color="auto" w:sz="12" w:space="0"/>
                  </w:tcBorders>
                  <w:vAlign w:val="center"/>
                </w:tcPr>
                <w:p>
                  <w:pPr>
                    <w:spacing w:line="0" w:lineRule="atLeast"/>
                    <w:jc w:val="center"/>
                    <w:rPr>
                      <w:u w:val="single"/>
                    </w:rPr>
                  </w:pPr>
                  <w:r>
                    <w:rPr>
                      <w:rFonts w:hint="eastAsia"/>
                      <w:u w:val="single"/>
                    </w:rPr>
                    <w:t>与建设项目水力联系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582" w:hRule="atLeast"/>
              </w:trPr>
              <w:tc>
                <w:tcPr>
                  <w:tcW w:w="443" w:type="dxa"/>
                  <w:vMerge w:val="restart"/>
                  <w:tcBorders>
                    <w:left w:val="single" w:color="auto" w:sz="4" w:space="0"/>
                  </w:tcBorders>
                  <w:vAlign w:val="center"/>
                </w:tcPr>
                <w:p>
                  <w:pPr>
                    <w:spacing w:line="0" w:lineRule="atLeast"/>
                    <w:jc w:val="center"/>
                    <w:rPr>
                      <w:u w:val="single"/>
                    </w:rPr>
                  </w:pPr>
                  <w:r>
                    <w:rPr>
                      <w:u w:val="single"/>
                    </w:rPr>
                    <w:t>地表水</w:t>
                  </w:r>
                </w:p>
              </w:tc>
              <w:tc>
                <w:tcPr>
                  <w:tcW w:w="601" w:type="dxa"/>
                  <w:tcBorders>
                    <w:right w:val="single" w:color="auto" w:sz="4" w:space="0"/>
                  </w:tcBorders>
                  <w:vAlign w:val="center"/>
                </w:tcPr>
                <w:p>
                  <w:pPr>
                    <w:spacing w:line="0" w:lineRule="atLeast"/>
                    <w:jc w:val="center"/>
                    <w:rPr>
                      <w:u w:val="single"/>
                    </w:rPr>
                  </w:pPr>
                  <w:r>
                    <w:rPr>
                      <w:rFonts w:hint="eastAsia"/>
                      <w:u w:val="single"/>
                    </w:rPr>
                    <w:t>塌西湖</w:t>
                  </w:r>
                </w:p>
              </w:tc>
              <w:tc>
                <w:tcPr>
                  <w:tcW w:w="1375" w:type="dxa"/>
                  <w:tcBorders>
                    <w:left w:val="single" w:color="auto" w:sz="4" w:space="0"/>
                  </w:tcBorders>
                  <w:vAlign w:val="center"/>
                </w:tcPr>
                <w:p>
                  <w:pPr>
                    <w:spacing w:line="0" w:lineRule="atLeast"/>
                    <w:jc w:val="center"/>
                    <w:rPr>
                      <w:u w:val="single"/>
                    </w:rPr>
                  </w:pPr>
                  <w:r>
                    <w:rPr>
                      <w:rFonts w:hint="eastAsia"/>
                      <w:u w:val="single"/>
                    </w:rPr>
                    <w:t>经度</w:t>
                  </w:r>
                  <w:r>
                    <w:rPr>
                      <w:u w:val="single"/>
                    </w:rPr>
                    <w:t>112.476654</w:t>
                  </w:r>
                </w:p>
                <w:p>
                  <w:pPr>
                    <w:pStyle w:val="2"/>
                    <w:rPr>
                      <w:u w:val="single"/>
                    </w:rPr>
                  </w:pPr>
                  <w:r>
                    <w:rPr>
                      <w:rFonts w:hint="eastAsia"/>
                      <w:u w:val="single"/>
                    </w:rPr>
                    <w:t>纬度29.572860</w:t>
                  </w:r>
                </w:p>
              </w:tc>
              <w:tc>
                <w:tcPr>
                  <w:tcW w:w="623" w:type="dxa"/>
                  <w:vAlign w:val="center"/>
                </w:tcPr>
                <w:p>
                  <w:pPr>
                    <w:spacing w:line="0" w:lineRule="atLeast"/>
                    <w:jc w:val="center"/>
                    <w:rPr>
                      <w:u w:val="single"/>
                    </w:rPr>
                  </w:pPr>
                  <w:r>
                    <w:rPr>
                      <w:rFonts w:hint="eastAsia"/>
                      <w:u w:val="single"/>
                    </w:rPr>
                    <w:t>21</w:t>
                  </w:r>
                </w:p>
              </w:tc>
              <w:tc>
                <w:tcPr>
                  <w:tcW w:w="1215" w:type="dxa"/>
                  <w:tcBorders>
                    <w:right w:val="single" w:color="auto" w:sz="4" w:space="0"/>
                  </w:tcBorders>
                  <w:vAlign w:val="center"/>
                </w:tcPr>
                <w:p>
                  <w:pPr>
                    <w:spacing w:line="0" w:lineRule="atLeast"/>
                    <w:jc w:val="center"/>
                    <w:rPr>
                      <w:u w:val="single"/>
                    </w:rPr>
                  </w:pPr>
                  <w:r>
                    <w:rPr>
                      <w:rFonts w:hint="eastAsia"/>
                      <w:u w:val="single"/>
                    </w:rPr>
                    <w:t>小湖，湖泊面积5.1km2，流域面积47.2km2</w:t>
                  </w:r>
                </w:p>
              </w:tc>
              <w:tc>
                <w:tcPr>
                  <w:tcW w:w="1487" w:type="dxa"/>
                  <w:tcBorders>
                    <w:left w:val="single" w:color="auto" w:sz="4" w:space="0"/>
                  </w:tcBorders>
                  <w:vAlign w:val="center"/>
                </w:tcPr>
                <w:p>
                  <w:pPr>
                    <w:spacing w:line="0" w:lineRule="atLeast"/>
                    <w:jc w:val="center"/>
                    <w:rPr>
                      <w:u w:val="single"/>
                    </w:rPr>
                  </w:pPr>
                  <w:r>
                    <w:rPr>
                      <w:rFonts w:hint="eastAsia"/>
                      <w:u w:val="single"/>
                    </w:rPr>
                    <w:t>位于本项目西侧</w:t>
                  </w:r>
                  <w:r>
                    <w:rPr>
                      <w:rFonts w:hint="eastAsia"/>
                      <w:u w:val="single"/>
                      <w:lang w:val="en-US" w:eastAsia="zh-CN"/>
                    </w:rPr>
                    <w:t>8</w:t>
                  </w:r>
                  <w:r>
                    <w:rPr>
                      <w:rFonts w:hint="eastAsia"/>
                      <w:u w:val="single"/>
                    </w:rPr>
                    <w:t>30m</w:t>
                  </w:r>
                </w:p>
              </w:tc>
              <w:tc>
                <w:tcPr>
                  <w:tcW w:w="1500" w:type="dxa"/>
                  <w:tcBorders>
                    <w:right w:val="single" w:color="auto" w:sz="4" w:space="0"/>
                  </w:tcBorders>
                  <w:vAlign w:val="center"/>
                </w:tcPr>
                <w:p>
                  <w:pPr>
                    <w:spacing w:line="0" w:lineRule="atLeast"/>
                    <w:jc w:val="center"/>
                    <w:rPr>
                      <w:u w:val="single"/>
                    </w:rPr>
                  </w:pPr>
                  <w:r>
                    <w:rPr>
                      <w:rFonts w:hint="eastAsia"/>
                      <w:u w:val="single"/>
                    </w:rPr>
                    <w:t>渔业用水</w:t>
                  </w:r>
                  <w:r>
                    <w:rPr>
                      <w:u w:val="single"/>
                    </w:rPr>
                    <w:t>执行《地表水环境质量标准》（GB3838-2002）中的Ⅲ类标准</w:t>
                  </w:r>
                </w:p>
              </w:tc>
              <w:tc>
                <w:tcPr>
                  <w:tcW w:w="1155" w:type="dxa"/>
                  <w:tcBorders>
                    <w:left w:val="single" w:color="auto" w:sz="4" w:space="0"/>
                    <w:right w:val="single" w:color="auto" w:sz="12" w:space="0"/>
                  </w:tcBorders>
                  <w:vAlign w:val="center"/>
                </w:tcPr>
                <w:p>
                  <w:pPr>
                    <w:spacing w:line="0" w:lineRule="atLeast"/>
                    <w:jc w:val="center"/>
                    <w:rPr>
                      <w:u w:val="single"/>
                    </w:rPr>
                  </w:pPr>
                  <w:r>
                    <w:rPr>
                      <w:rFonts w:hint="eastAsia"/>
                      <w:u w:val="single"/>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866" w:hRule="atLeast"/>
              </w:trPr>
              <w:tc>
                <w:tcPr>
                  <w:tcW w:w="443" w:type="dxa"/>
                  <w:vMerge w:val="continue"/>
                  <w:tcBorders>
                    <w:left w:val="single" w:color="auto" w:sz="4" w:space="0"/>
                  </w:tcBorders>
                  <w:vAlign w:val="center"/>
                </w:tcPr>
                <w:p>
                  <w:pPr>
                    <w:spacing w:line="0" w:lineRule="atLeast"/>
                    <w:jc w:val="center"/>
                    <w:rPr>
                      <w:u w:val="single"/>
                    </w:rPr>
                  </w:pPr>
                </w:p>
              </w:tc>
              <w:tc>
                <w:tcPr>
                  <w:tcW w:w="601" w:type="dxa"/>
                  <w:tcBorders>
                    <w:right w:val="single" w:color="auto" w:sz="4" w:space="0"/>
                  </w:tcBorders>
                  <w:vAlign w:val="center"/>
                </w:tcPr>
                <w:p>
                  <w:pPr>
                    <w:spacing w:line="0" w:lineRule="atLeast"/>
                    <w:jc w:val="center"/>
                    <w:rPr>
                      <w:u w:val="single"/>
                    </w:rPr>
                  </w:pPr>
                  <w:r>
                    <w:rPr>
                      <w:rFonts w:hint="eastAsia"/>
                      <w:u w:val="single"/>
                    </w:rPr>
                    <w:t>华容河</w:t>
                  </w:r>
                </w:p>
              </w:tc>
              <w:tc>
                <w:tcPr>
                  <w:tcW w:w="1375" w:type="dxa"/>
                  <w:tcBorders>
                    <w:left w:val="single" w:color="auto" w:sz="4" w:space="0"/>
                  </w:tcBorders>
                  <w:vAlign w:val="center"/>
                </w:tcPr>
                <w:p>
                  <w:pPr>
                    <w:spacing w:line="0" w:lineRule="atLeast"/>
                    <w:jc w:val="center"/>
                    <w:rPr>
                      <w:u w:val="single"/>
                    </w:rPr>
                  </w:pPr>
                  <w:r>
                    <w:rPr>
                      <w:rFonts w:hint="eastAsia"/>
                      <w:u w:val="single"/>
                    </w:rPr>
                    <w:t>经度</w:t>
                  </w:r>
                  <w:r>
                    <w:rPr>
                      <w:u w:val="single"/>
                    </w:rPr>
                    <w:t>112.516308</w:t>
                  </w:r>
                </w:p>
                <w:p>
                  <w:pPr>
                    <w:pStyle w:val="2"/>
                    <w:rPr>
                      <w:u w:val="single"/>
                    </w:rPr>
                  </w:pPr>
                  <w:r>
                    <w:rPr>
                      <w:rFonts w:hint="eastAsia"/>
                      <w:u w:val="single"/>
                    </w:rPr>
                    <w:t>纬度29.570546</w:t>
                  </w:r>
                </w:p>
              </w:tc>
              <w:tc>
                <w:tcPr>
                  <w:tcW w:w="623" w:type="dxa"/>
                  <w:vAlign w:val="center"/>
                </w:tcPr>
                <w:p>
                  <w:pPr>
                    <w:spacing w:line="0" w:lineRule="atLeast"/>
                    <w:jc w:val="center"/>
                    <w:rPr>
                      <w:u w:val="single"/>
                    </w:rPr>
                  </w:pPr>
                  <w:r>
                    <w:rPr>
                      <w:rFonts w:hint="eastAsia"/>
                      <w:u w:val="single"/>
                    </w:rPr>
                    <w:t>34</w:t>
                  </w:r>
                </w:p>
              </w:tc>
              <w:tc>
                <w:tcPr>
                  <w:tcW w:w="1215" w:type="dxa"/>
                  <w:tcBorders>
                    <w:right w:val="single" w:color="auto" w:sz="4" w:space="0"/>
                  </w:tcBorders>
                  <w:vAlign w:val="center"/>
                </w:tcPr>
                <w:p>
                  <w:pPr>
                    <w:spacing w:line="0" w:lineRule="atLeast"/>
                    <w:jc w:val="center"/>
                    <w:rPr>
                      <w:u w:val="single"/>
                    </w:rPr>
                  </w:pPr>
                  <w:r>
                    <w:rPr>
                      <w:rFonts w:hint="eastAsia"/>
                      <w:u w:val="single"/>
                    </w:rPr>
                    <w:t>大河，</w:t>
                  </w:r>
                  <w:r>
                    <w:rPr>
                      <w:u w:val="single"/>
                    </w:rPr>
                    <w:t>全长</w:t>
                  </w:r>
                  <w:r>
                    <w:rPr>
                      <w:rFonts w:hint="eastAsia"/>
                      <w:u w:val="single"/>
                    </w:rPr>
                    <w:t>55</w:t>
                  </w:r>
                  <w:r>
                    <w:rPr>
                      <w:u w:val="single"/>
                    </w:rPr>
                    <w:t>余公里</w:t>
                  </w:r>
                  <w:r>
                    <w:rPr>
                      <w:rFonts w:hint="eastAsia"/>
                      <w:u w:val="single"/>
                    </w:rPr>
                    <w:t>，流域面积1128.8平方千米</w:t>
                  </w:r>
                </w:p>
              </w:tc>
              <w:tc>
                <w:tcPr>
                  <w:tcW w:w="1487" w:type="dxa"/>
                  <w:tcBorders>
                    <w:left w:val="single" w:color="auto" w:sz="4" w:space="0"/>
                  </w:tcBorders>
                  <w:vAlign w:val="center"/>
                </w:tcPr>
                <w:p>
                  <w:pPr>
                    <w:spacing w:line="0" w:lineRule="atLeast"/>
                    <w:jc w:val="center"/>
                    <w:rPr>
                      <w:u w:val="single"/>
                    </w:rPr>
                  </w:pPr>
                  <w:r>
                    <w:rPr>
                      <w:rFonts w:hint="eastAsia"/>
                      <w:u w:val="single"/>
                    </w:rPr>
                    <w:t>本项目东侧2km</w:t>
                  </w:r>
                </w:p>
              </w:tc>
              <w:tc>
                <w:tcPr>
                  <w:tcW w:w="1500" w:type="dxa"/>
                  <w:tcBorders>
                    <w:right w:val="single" w:color="auto" w:sz="4" w:space="0"/>
                  </w:tcBorders>
                  <w:vAlign w:val="center"/>
                </w:tcPr>
                <w:p>
                  <w:pPr>
                    <w:spacing w:line="0" w:lineRule="atLeast"/>
                    <w:jc w:val="center"/>
                    <w:rPr>
                      <w:u w:val="single"/>
                    </w:rPr>
                  </w:pPr>
                  <w:r>
                    <w:rPr>
                      <w:rFonts w:hint="eastAsia"/>
                      <w:u w:val="single"/>
                    </w:rPr>
                    <w:t>本项目所在河段为渔业用水，执行《地表水环境质量标准（GB3838-2002）》中Ⅲ类标准</w:t>
                  </w:r>
                </w:p>
              </w:tc>
              <w:tc>
                <w:tcPr>
                  <w:tcW w:w="1155" w:type="dxa"/>
                  <w:tcBorders>
                    <w:left w:val="single" w:color="auto" w:sz="4" w:space="0"/>
                    <w:right w:val="single" w:color="auto" w:sz="12" w:space="0"/>
                  </w:tcBorders>
                  <w:vAlign w:val="center"/>
                </w:tcPr>
                <w:p>
                  <w:pPr>
                    <w:spacing w:line="0" w:lineRule="atLeast"/>
                    <w:jc w:val="center"/>
                    <w:rPr>
                      <w:u w:val="single"/>
                    </w:rPr>
                  </w:pPr>
                  <w:r>
                    <w:rPr>
                      <w:rFonts w:hint="eastAsia"/>
                      <w:u w:val="single"/>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866" w:hRule="atLeast"/>
              </w:trPr>
              <w:tc>
                <w:tcPr>
                  <w:tcW w:w="443" w:type="dxa"/>
                  <w:vMerge w:val="continue"/>
                  <w:tcBorders>
                    <w:left w:val="single" w:color="auto" w:sz="4" w:space="0"/>
                    <w:bottom w:val="single" w:color="auto" w:sz="12" w:space="0"/>
                  </w:tcBorders>
                  <w:vAlign w:val="center"/>
                </w:tcPr>
                <w:p>
                  <w:pPr>
                    <w:spacing w:line="0" w:lineRule="atLeast"/>
                    <w:jc w:val="center"/>
                    <w:rPr>
                      <w:u w:val="single"/>
                    </w:rPr>
                  </w:pPr>
                </w:p>
              </w:tc>
              <w:tc>
                <w:tcPr>
                  <w:tcW w:w="601" w:type="dxa"/>
                  <w:tcBorders>
                    <w:bottom w:val="single" w:color="auto" w:sz="12" w:space="0"/>
                    <w:right w:val="single" w:color="auto" w:sz="4" w:space="0"/>
                  </w:tcBorders>
                  <w:vAlign w:val="center"/>
                </w:tcPr>
                <w:p>
                  <w:pPr>
                    <w:spacing w:line="0" w:lineRule="atLeast"/>
                    <w:jc w:val="center"/>
                    <w:rPr>
                      <w:u w:val="single"/>
                    </w:rPr>
                  </w:pPr>
                  <w:r>
                    <w:rPr>
                      <w:rFonts w:hint="eastAsia"/>
                      <w:u w:val="single"/>
                    </w:rPr>
                    <w:t>长江</w:t>
                  </w:r>
                </w:p>
              </w:tc>
              <w:tc>
                <w:tcPr>
                  <w:tcW w:w="1375" w:type="dxa"/>
                  <w:tcBorders>
                    <w:left w:val="single" w:color="auto" w:sz="4" w:space="0"/>
                    <w:bottom w:val="single" w:color="auto" w:sz="12" w:space="0"/>
                  </w:tcBorders>
                  <w:vAlign w:val="center"/>
                </w:tcPr>
                <w:p>
                  <w:pPr>
                    <w:spacing w:line="0" w:lineRule="atLeast"/>
                    <w:jc w:val="center"/>
                    <w:rPr>
                      <w:u w:val="single"/>
                    </w:rPr>
                  </w:pPr>
                  <w:r>
                    <w:rPr>
                      <w:rFonts w:hint="eastAsia"/>
                      <w:u w:val="single"/>
                    </w:rPr>
                    <w:t>经度</w:t>
                  </w:r>
                  <w:r>
                    <w:rPr>
                      <w:u w:val="single"/>
                    </w:rPr>
                    <w:t>112.816372</w:t>
                  </w:r>
                </w:p>
                <w:p>
                  <w:pPr>
                    <w:pStyle w:val="2"/>
                    <w:rPr>
                      <w:u w:val="single"/>
                    </w:rPr>
                  </w:pPr>
                  <w:r>
                    <w:rPr>
                      <w:rFonts w:hint="eastAsia"/>
                      <w:u w:val="single"/>
                    </w:rPr>
                    <w:t>纬度29.743401</w:t>
                  </w:r>
                </w:p>
              </w:tc>
              <w:tc>
                <w:tcPr>
                  <w:tcW w:w="623" w:type="dxa"/>
                  <w:tcBorders>
                    <w:bottom w:val="single" w:color="auto" w:sz="12" w:space="0"/>
                  </w:tcBorders>
                  <w:vAlign w:val="center"/>
                </w:tcPr>
                <w:p>
                  <w:pPr>
                    <w:spacing w:line="0" w:lineRule="atLeast"/>
                    <w:jc w:val="center"/>
                    <w:rPr>
                      <w:u w:val="single"/>
                    </w:rPr>
                  </w:pPr>
                  <w:r>
                    <w:rPr>
                      <w:rFonts w:hint="eastAsia"/>
                      <w:u w:val="single"/>
                    </w:rPr>
                    <w:t>32</w:t>
                  </w:r>
                </w:p>
              </w:tc>
              <w:tc>
                <w:tcPr>
                  <w:tcW w:w="1215" w:type="dxa"/>
                  <w:tcBorders>
                    <w:bottom w:val="single" w:color="auto" w:sz="12" w:space="0"/>
                    <w:right w:val="single" w:color="auto" w:sz="4" w:space="0"/>
                  </w:tcBorders>
                  <w:vAlign w:val="center"/>
                </w:tcPr>
                <w:p>
                  <w:pPr>
                    <w:spacing w:line="0" w:lineRule="atLeast"/>
                    <w:jc w:val="center"/>
                    <w:rPr>
                      <w:u w:val="single"/>
                    </w:rPr>
                  </w:pPr>
                  <w:r>
                    <w:rPr>
                      <w:rFonts w:hint="eastAsia"/>
                      <w:u w:val="single"/>
                    </w:rPr>
                    <w:t>大河，</w:t>
                  </w:r>
                  <w:r>
                    <w:rPr>
                      <w:u w:val="single"/>
                    </w:rPr>
                    <w:t>全长6300余公里</w:t>
                  </w:r>
                  <w:r>
                    <w:rPr>
                      <w:rFonts w:hint="eastAsia"/>
                      <w:u w:val="single"/>
                    </w:rPr>
                    <w:t>，流域面积68万平方千米</w:t>
                  </w:r>
                </w:p>
              </w:tc>
              <w:tc>
                <w:tcPr>
                  <w:tcW w:w="1487" w:type="dxa"/>
                  <w:tcBorders>
                    <w:left w:val="single" w:color="auto" w:sz="4" w:space="0"/>
                    <w:bottom w:val="single" w:color="auto" w:sz="12" w:space="0"/>
                  </w:tcBorders>
                  <w:vAlign w:val="center"/>
                </w:tcPr>
                <w:p>
                  <w:pPr>
                    <w:spacing w:line="0" w:lineRule="atLeast"/>
                    <w:jc w:val="center"/>
                    <w:rPr>
                      <w:u w:val="single"/>
                    </w:rPr>
                  </w:pPr>
                  <w:r>
                    <w:rPr>
                      <w:rFonts w:hint="eastAsia"/>
                      <w:u w:val="single"/>
                    </w:rPr>
                    <w:t>本项目北侧15km</w:t>
                  </w:r>
                </w:p>
              </w:tc>
              <w:tc>
                <w:tcPr>
                  <w:tcW w:w="1500" w:type="dxa"/>
                  <w:tcBorders>
                    <w:bottom w:val="single" w:color="auto" w:sz="12" w:space="0"/>
                    <w:right w:val="single" w:color="auto" w:sz="4" w:space="0"/>
                  </w:tcBorders>
                  <w:vAlign w:val="center"/>
                </w:tcPr>
                <w:p>
                  <w:pPr>
                    <w:spacing w:line="0" w:lineRule="atLeast"/>
                    <w:jc w:val="center"/>
                    <w:rPr>
                      <w:u w:val="single"/>
                    </w:rPr>
                  </w:pPr>
                  <w:r>
                    <w:rPr>
                      <w:rFonts w:hint="eastAsia"/>
                      <w:u w:val="single"/>
                    </w:rPr>
                    <w:t>本项目所在河段为渔业用水，执行《地表水环境质量标准（GB3838-2002）》中Ⅲ类标准</w:t>
                  </w:r>
                </w:p>
              </w:tc>
              <w:tc>
                <w:tcPr>
                  <w:tcW w:w="1155" w:type="dxa"/>
                  <w:tcBorders>
                    <w:left w:val="single" w:color="auto" w:sz="4" w:space="0"/>
                    <w:bottom w:val="single" w:color="auto" w:sz="12" w:space="0"/>
                    <w:right w:val="single" w:color="auto" w:sz="12" w:space="0"/>
                  </w:tcBorders>
                  <w:vAlign w:val="center"/>
                </w:tcPr>
                <w:p>
                  <w:pPr>
                    <w:spacing w:line="0" w:lineRule="atLeast"/>
                    <w:jc w:val="center"/>
                    <w:rPr>
                      <w:u w:val="single"/>
                    </w:rPr>
                  </w:pPr>
                  <w:r>
                    <w:rPr>
                      <w:rFonts w:hint="eastAsia"/>
                      <w:u w:val="single"/>
                    </w:rPr>
                    <w:t>本项目运输载体</w:t>
                  </w:r>
                </w:p>
              </w:tc>
            </w:tr>
          </w:tbl>
          <w:p>
            <w:pPr>
              <w:spacing w:line="360" w:lineRule="auto"/>
              <w:jc w:val="left"/>
              <w:rPr>
                <w:rFonts w:hint="eastAsia"/>
                <w:sz w:val="24"/>
                <w:szCs w:val="24"/>
                <w:u w:val="single"/>
              </w:rPr>
            </w:pPr>
            <w:r>
              <w:rPr>
                <w:rFonts w:hint="eastAsia"/>
                <w:sz w:val="24"/>
                <w:szCs w:val="24"/>
                <w:u w:val="single"/>
              </w:rPr>
              <w:t>主</w:t>
            </w:r>
            <w:bookmarkStart w:id="13" w:name="OLE_LINK35"/>
            <w:r>
              <w:rPr>
                <w:rFonts w:hint="eastAsia"/>
                <w:sz w:val="24"/>
                <w:szCs w:val="24"/>
                <w:u w:val="single"/>
              </w:rPr>
              <w:t>要环境保护目标示意图见附图。</w:t>
            </w:r>
          </w:p>
          <w:p>
            <w:pPr>
              <w:pStyle w:val="2"/>
              <w:rPr>
                <w:rFonts w:hint="eastAsia" w:eastAsia="宋体"/>
                <w:sz w:val="21"/>
                <w:szCs w:val="21"/>
                <w:u w:val="single"/>
                <w:lang w:eastAsia="zh-CN"/>
              </w:rPr>
            </w:pPr>
            <w:r>
              <w:rPr>
                <w:rFonts w:hint="eastAsia"/>
                <w:sz w:val="21"/>
                <w:szCs w:val="21"/>
                <w:u w:val="single"/>
                <w:lang w:eastAsia="zh-CN"/>
              </w:rPr>
              <w:t>注：大气环境保护目标详见附图四。</w:t>
            </w:r>
          </w:p>
          <w:bookmarkEnd w:id="11"/>
          <w:bookmarkEnd w:id="12"/>
          <w:bookmarkEnd w:id="13"/>
          <w:p>
            <w:pPr>
              <w:pStyle w:val="2"/>
              <w:jc w:val="center"/>
              <w:rPr>
                <w:u w:val="single"/>
              </w:rPr>
            </w:pPr>
            <w:r>
              <w:rPr>
                <w:u w:val="single"/>
              </w:rPr>
              <w:pict>
                <v:shape id="_x0000_s1505" o:spid="_x0000_s1505" style="position:absolute;left:0pt;margin-left:142.3pt;margin-top:90.1pt;height:6.25pt;width:6.25pt;z-index:251687936;mso-width-relative:page;mso-height-relative:page;" filled="f" stroked="t" coordsize="125,125" path="m38,0l0,88,100,125,125,25,38,0xe">
                  <v:fill on="f" focussize="0,0"/>
                  <v:stroke weight="1.5pt" color="#1F1CB0"/>
                  <v:imagedata o:title=""/>
                  <o:lock v:ext="edit"/>
                </v:shape>
              </w:pict>
            </w:r>
            <w:r>
              <w:rPr>
                <w:u w:val="single"/>
              </w:rPr>
              <w:pict>
                <v:shape id="_x0000_s1506" o:spid="_x0000_s1506" style="position:absolute;left:0pt;margin-left:129.2pt;margin-top:82.15pt;height:18.1pt;width:15pt;z-index:251686912;mso-width-relative:page;mso-height-relative:page;" filled="f" stroked="t" coordsize="300,362" path="m38,0l0,212,75,275,50,337,163,362,213,287,263,250,300,125,38,0xe">
                  <v:fill on="f" focussize="0,0"/>
                  <v:stroke weight="1.75pt" color="#FF0000"/>
                  <v:imagedata o:title=""/>
                  <o:lock v:ext="edit"/>
                </v:shape>
              </w:pict>
            </w:r>
            <w:r>
              <w:rPr>
                <w:u w:val="single"/>
              </w:rPr>
              <w:pict>
                <v:rect id="_x0000_s1507" o:spid="_x0000_s1507" o:spt="1" style="position:absolute;left:0pt;margin-left:167.25pt;margin-top:15.8pt;height:22.45pt;width:60.5pt;z-index:251685888;mso-width-relative:page;mso-height-relative:page;" filled="f" stroked="f" coordsize="21600,21600">
                  <v:path/>
                  <v:fill on="f" focussize="0,0"/>
                  <v:stroke on="f"/>
                  <v:imagedata o:title=""/>
                  <o:lock v:ext="edit"/>
                  <v:textbox>
                    <w:txbxContent>
                      <w:p>
                        <w:r>
                          <w:rPr>
                            <w:rFonts w:hint="eastAsia"/>
                            <w:color w:val="FFFD21"/>
                            <w:szCs w:val="21"/>
                          </w:rPr>
                          <w:t>陈家咀</w:t>
                        </w:r>
                      </w:p>
                    </w:txbxContent>
                  </v:textbox>
                </v:rect>
              </w:pict>
            </w:r>
            <w:r>
              <w:rPr>
                <w:u w:val="single"/>
              </w:rPr>
              <w:pict>
                <v:shape id="_x0000_s1508" o:spid="_x0000_s1508" style="position:absolute;left:0pt;margin-left:164.2pt;margin-top:7.3pt;height:58.15pt;width:129.4pt;z-index:251684864;mso-width-relative:page;mso-height-relative:page;" filled="f" stroked="t" coordsize="2588,1163" path="m1613,38l1900,363,1488,1100,1800,1163,1950,975,2250,850,2425,650,2588,338,2250,13,0,0,250,638,613,575,588,50,1613,38xe">
                  <v:fill on="f" focussize="0,0"/>
                  <v:stroke weight="1.5pt" color="#0D2ABB"/>
                  <v:imagedata o:title=""/>
                  <o:lock v:ext="edit"/>
                </v:shape>
              </w:pict>
            </w:r>
            <w:r>
              <w:rPr>
                <w:u w:val="single"/>
              </w:rPr>
              <w:pict>
                <v:rect id="_x0000_s1509" o:spid="_x0000_s1509" o:spt="1" style="position:absolute;left:0pt;margin-left:89.15pt;margin-top:117.05pt;height:22.45pt;width:60.5pt;z-index:251683840;mso-width-relative:page;mso-height-relative:page;" filled="f" stroked="f" coordsize="21600,21600">
                  <v:path/>
                  <v:fill on="f" focussize="0,0"/>
                  <v:stroke on="f"/>
                  <v:imagedata o:title=""/>
                  <o:lock v:ext="edit"/>
                  <v:textbox>
                    <w:txbxContent>
                      <w:p>
                        <w:r>
                          <w:rPr>
                            <w:rFonts w:hint="eastAsia"/>
                            <w:color w:val="FFFD21"/>
                            <w:szCs w:val="21"/>
                          </w:rPr>
                          <w:t>贺家咀</w:t>
                        </w:r>
                      </w:p>
                    </w:txbxContent>
                  </v:textbox>
                </v:rect>
              </w:pict>
            </w:r>
            <w:r>
              <w:rPr>
                <w:u w:val="single"/>
              </w:rPr>
              <w:pict>
                <v:rect id="_x0000_s1510" o:spid="_x0000_s1510" o:spt="1" style="position:absolute;left:0pt;margin-left:57.9pt;margin-top:80.8pt;height:22.45pt;width:60.5pt;z-index:251682816;mso-width-relative:page;mso-height-relative:page;" filled="f" stroked="f" coordsize="21600,21600">
                  <v:path/>
                  <v:fill on="f" focussize="0,0"/>
                  <v:stroke on="f"/>
                  <v:imagedata o:title=""/>
                  <o:lock v:ext="edit"/>
                  <v:textbox>
                    <w:txbxContent>
                      <w:p>
                        <w:r>
                          <w:rPr>
                            <w:rFonts w:hint="eastAsia"/>
                            <w:color w:val="FFFD21"/>
                            <w:szCs w:val="21"/>
                          </w:rPr>
                          <w:t>肖兰家台</w:t>
                        </w:r>
                      </w:p>
                    </w:txbxContent>
                  </v:textbox>
                </v:rect>
              </w:pict>
            </w:r>
            <w:r>
              <w:rPr>
                <w:u w:val="single"/>
              </w:rPr>
              <w:pict>
                <v:shape id="_x0000_s1511" o:spid="_x0000_s1511" style="position:absolute;left:0pt;margin-left:62.95pt;margin-top:64.8pt;height:47.5pt;width:41.9pt;z-index:251681792;mso-width-relative:page;mso-height-relative:page;" filled="f" stroked="t" coordsize="838,950" path="m838,613l775,463,513,438,475,188,400,0,213,0,100,175,50,338,0,638,0,763,125,875,313,950,488,825,588,625,650,538,813,550,813,475,750,463,638,425e">
                  <v:path arrowok="t"/>
                  <v:fill on="f" focussize="0,0"/>
                  <v:stroke weight="1.5pt" color="#0D2ABB"/>
                  <v:imagedata o:title=""/>
                  <o:lock v:ext="edit"/>
                </v:shape>
              </w:pict>
            </w:r>
            <w:r>
              <w:rPr>
                <w:u w:val="single"/>
              </w:rPr>
              <w:pict>
                <v:shape id="_x0000_s1512" o:spid="_x0000_s1512" style="position:absolute;left:0pt;margin-left:67.35pt;margin-top:94.15pt;height:73.75pt;width:103.75pt;z-index:251680768;mso-width-relative:page;mso-height-relative:page;" filled="f" stroked="t" coordsize="2075,1475" path="m1137,88l1400,175,1362,463,1637,313,1662,475,1487,638,1862,1050,1937,1013,2025,1113,1975,1163,2075,1200,2050,1425,1962,1475,1687,1263,1350,1038,1262,663,1100,525,1125,700,1150,925,1112,1100,975,1075,912,863,787,863,475,963,0,1038,37,900,337,725,487,575,562,400,712,400,762,350,750,175,925,0,1137,88xe">
                  <v:fill on="f" focussize="0,0"/>
                  <v:stroke weight="1.5pt" color="#292DB4"/>
                  <v:imagedata o:title=""/>
                  <o:lock v:ext="edit"/>
                </v:shape>
              </w:pict>
            </w:r>
            <w:r>
              <w:rPr>
                <w:u w:val="single"/>
              </w:rPr>
              <w:pict>
                <v:rect id="_x0000_s1513" o:spid="_x0000_s1513" o:spt="1" style="position:absolute;left:0pt;margin-left:84.15pt;margin-top:22.7pt;height:22.45pt;width:49.9pt;z-index:251679744;mso-width-relative:page;mso-height-relative:page;" filled="f" stroked="f" coordsize="21600,21600">
                  <v:path/>
                  <v:fill on="f" focussize="0,0"/>
                  <v:stroke on="f"/>
                  <v:imagedata o:title=""/>
                  <o:lock v:ext="edit"/>
                  <v:textbox>
                    <w:txbxContent>
                      <w:p>
                        <w:pPr>
                          <w:rPr>
                            <w:color w:val="FFFF00"/>
                          </w:rPr>
                        </w:pPr>
                        <w:r>
                          <w:rPr>
                            <w:rFonts w:hint="eastAsia"/>
                            <w:color w:val="FFFF00"/>
                          </w:rPr>
                          <w:t>苍苔村</w:t>
                        </w:r>
                      </w:p>
                    </w:txbxContent>
                  </v:textbox>
                </v:rect>
              </w:pict>
            </w:r>
            <w:r>
              <w:rPr>
                <w:u w:val="single"/>
              </w:rPr>
              <w:pict>
                <v:shape id="_x0000_s1514" o:spid="_x0000_s1514" style="position:absolute;left:0pt;margin-left:72.95pt;margin-top:6.7pt;height:63.75pt;width:88.75pt;z-index:251678720;mso-width-relative:page;mso-height-relative:page;" filled="f" stroked="t" coordsize="1775,1275" path="m688,1275l1175,1212,1300,1237,1413,1237,1700,1275,1775,1175,1375,1062,725,975,1013,687,763,187,163,0,0,275,188,512,213,700,325,800,500,787,513,900,363,1062,388,1162,688,1275xe">
                  <v:fill on="f" focussize="0,0"/>
                  <v:stroke weight="1.5pt" color="#0D2ABB"/>
                  <v:imagedata o:title=""/>
                  <o:lock v:ext="edit"/>
                </v:shape>
              </w:pict>
            </w:r>
            <w:r>
              <w:rPr>
                <w:u w:val="single"/>
              </w:rPr>
              <w:pict>
                <v:rect id="_x0000_s1515" o:spid="_x0000_s1515" o:spt="1" style="position:absolute;left:0pt;margin-left:399.15pt;margin-top:7.1pt;height:22.45pt;width:26.2pt;z-index:251676672;mso-width-relative:page;mso-height-relative:page;" filled="f" stroked="f" coordsize="21600,21600">
                  <v:path/>
                  <v:fill on="f" focussize="0,0"/>
                  <v:stroke on="f"/>
                  <v:imagedata o:title=""/>
                  <o:lock v:ext="edit"/>
                  <v:textbox>
                    <w:txbxContent>
                      <w:p>
                        <w:pPr>
                          <w:rPr>
                            <w:color w:val="FFFF00"/>
                          </w:rPr>
                        </w:pPr>
                        <w:r>
                          <w:rPr>
                            <w:rFonts w:hint="eastAsia"/>
                            <w:color w:val="FFFF00"/>
                          </w:rPr>
                          <w:t>N</w:t>
                        </w:r>
                      </w:p>
                    </w:txbxContent>
                  </v:textbox>
                </v:rect>
              </w:pict>
            </w:r>
            <w:r>
              <w:rPr>
                <w:u w:val="single"/>
              </w:rPr>
              <w:pict>
                <v:shape id="_x0000_s1516" o:spid="_x0000_s1516" o:spt="68" type="#_x0000_t68" style="position:absolute;left:0pt;margin-left:400.5pt;margin-top:6.9pt;height:19.8pt;width:5.95pt;z-index:251675648;mso-width-relative:page;mso-height-relative:page;" fillcolor="#FFFF00" filled="t" stroked="t" coordsize="21600,21600">
                  <v:path/>
                  <v:fill on="t" focussize="0,0"/>
                  <v:stroke color="#FFFF00" joinstyle="miter"/>
                  <v:imagedata o:title=""/>
                  <o:lock v:ext="edit"/>
                  <v:textbox>
                    <w:txbxContent>
                      <w:p/>
                    </w:txbxContent>
                  </v:textbox>
                </v:shape>
              </w:pict>
            </w:r>
            <w:r>
              <w:rPr>
                <w:u w:val="single"/>
              </w:rPr>
              <w:drawing>
                <wp:inline distT="0" distB="0" distL="114300" distR="114300">
                  <wp:extent cx="5271135" cy="3446780"/>
                  <wp:effectExtent l="0" t="0" r="5715"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cstate="print"/>
                          <a:stretch>
                            <a:fillRect/>
                          </a:stretch>
                        </pic:blipFill>
                        <pic:spPr>
                          <a:xfrm>
                            <a:off x="0" y="0"/>
                            <a:ext cx="5271135" cy="3446780"/>
                          </a:xfrm>
                          <a:prstGeom prst="rect">
                            <a:avLst/>
                          </a:prstGeom>
                          <a:noFill/>
                          <a:ln w="9525">
                            <a:noFill/>
                          </a:ln>
                        </pic:spPr>
                      </pic:pic>
                    </a:graphicData>
                  </a:graphic>
                </wp:inline>
              </w:drawing>
            </w:r>
          </w:p>
          <w:p>
            <w:pPr>
              <w:spacing w:line="360" w:lineRule="auto"/>
              <w:jc w:val="center"/>
              <w:rPr>
                <w:b/>
                <w:bCs/>
                <w:u w:val="single"/>
              </w:rPr>
            </w:pPr>
            <w:r>
              <w:rPr>
                <w:rFonts w:hint="eastAsia"/>
                <w:b/>
                <w:bCs/>
                <w:u w:val="single"/>
              </w:rPr>
              <w:t>图3-</w:t>
            </w:r>
            <w:r>
              <w:rPr>
                <w:rFonts w:hint="eastAsia"/>
                <w:b/>
                <w:bCs/>
                <w:u w:val="single"/>
                <w:lang w:val="en-US" w:eastAsia="zh-CN"/>
              </w:rPr>
              <w:t>3</w:t>
            </w:r>
            <w:r>
              <w:rPr>
                <w:rFonts w:hint="eastAsia"/>
                <w:b/>
                <w:bCs/>
                <w:u w:val="single"/>
              </w:rPr>
              <w:t xml:space="preserve">  项目环境保护目标图（大气环境</w:t>
            </w:r>
            <w:r>
              <w:rPr>
                <w:rFonts w:hint="eastAsia"/>
                <w:b/>
                <w:bCs/>
                <w:u w:val="single"/>
                <w:lang w:eastAsia="zh-CN"/>
              </w:rPr>
              <w:t>（部分）</w:t>
            </w:r>
            <w:r>
              <w:rPr>
                <w:rFonts w:hint="eastAsia"/>
                <w:b/>
                <w:bCs/>
                <w:u w:val="single"/>
              </w:rPr>
              <w:t>、噪声环境）</w:t>
            </w:r>
          </w:p>
          <w:p>
            <w:pPr>
              <w:pStyle w:val="2"/>
              <w:ind w:firstLine="480" w:firstLineChars="200"/>
              <w:rPr>
                <w:rFonts w:hint="eastAsia" w:ascii="Times New Roman" w:hAnsi="Times New Roman" w:eastAsia="宋体" w:cs="Times New Roman"/>
                <w:kern w:val="2"/>
                <w:sz w:val="24"/>
                <w:szCs w:val="24"/>
                <w:u w:val="single"/>
                <w:lang w:val="en-US" w:eastAsia="zh-CN" w:bidi="ar-SA"/>
              </w:rPr>
            </w:pPr>
          </w:p>
          <w:p>
            <w:pPr>
              <w:pStyle w:val="2"/>
              <w:ind w:firstLine="480" w:firstLineChars="200"/>
              <w:rPr>
                <w:rFonts w:hint="eastAsia" w:ascii="Times New Roman" w:hAnsi="Times New Roman" w:eastAsia="宋体" w:cs="Times New Roman"/>
                <w:kern w:val="2"/>
                <w:sz w:val="24"/>
                <w:szCs w:val="24"/>
                <w:u w:val="single"/>
                <w:lang w:val="en-US" w:eastAsia="zh-CN" w:bidi="ar-SA"/>
              </w:rPr>
            </w:pPr>
          </w:p>
          <w:p>
            <w:pPr>
              <w:pStyle w:val="2"/>
              <w:ind w:firstLine="480" w:firstLineChars="200"/>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（2）运输线路环境保护目标</w:t>
            </w:r>
          </w:p>
          <w:p>
            <w:pPr>
              <w:spacing w:line="360" w:lineRule="auto"/>
              <w:ind w:firstLine="480" w:firstLineChars="200"/>
              <w:rPr>
                <w:rFonts w:hint="default" w:ascii="Times New Roman" w:hAnsi="Times New Roman" w:cs="Times New Roman"/>
                <w:kern w:val="2"/>
                <w:sz w:val="24"/>
                <w:szCs w:val="24"/>
                <w:u w:val="single"/>
                <w:lang w:val="en-US" w:eastAsia="zh-CN" w:bidi="ar-SA"/>
              </w:rPr>
            </w:pPr>
            <w:r>
              <w:rPr>
                <w:rFonts w:hint="eastAsia" w:ascii="Times New Roman" w:hAnsi="Times New Roman" w:cs="Times New Roman"/>
                <w:kern w:val="2"/>
                <w:sz w:val="24"/>
                <w:szCs w:val="24"/>
                <w:u w:val="single"/>
                <w:lang w:val="en-US" w:eastAsia="zh-CN" w:bidi="ar-SA"/>
              </w:rPr>
              <w:t>本项目原辅材料及产品均采用长江水路运输方式，原料到达五码口码头后（位于本项目东北侧32km，为现有码头，本项目不另设码头），到达码头后由货车运输经由S202省道往南转S206省道最后往北经由S203省道到达厂区，由厂区进场道路运输至厂区内。环境保护目标主要为水运承载水体长江以及运输线路200m范围内的居民。</w:t>
            </w:r>
          </w:p>
          <w:p>
            <w:pPr>
              <w:spacing w:line="360" w:lineRule="auto"/>
              <w:rPr>
                <w:rFonts w:hint="default" w:ascii="Times New Roman" w:hAnsi="Times New Roman" w:cs="Times New Roman"/>
                <w:kern w:val="2"/>
                <w:sz w:val="24"/>
                <w:szCs w:val="24"/>
                <w:u w:val="single"/>
                <w:lang w:val="en-US" w:eastAsia="zh-CN" w:bidi="ar-SA"/>
              </w:rPr>
            </w:pPr>
            <w:r>
              <w:rPr>
                <w:rFonts w:hint="eastAsia" w:ascii="Times New Roman" w:hAnsi="Times New Roman" w:cs="Times New Roman"/>
                <w:kern w:val="2"/>
                <w:sz w:val="24"/>
                <w:szCs w:val="24"/>
                <w:u w:val="single"/>
                <w:lang w:val="en-US" w:eastAsia="zh-CN" w:bidi="ar-SA"/>
              </w:rPr>
              <w:t>项目运输线路环境保护目标图详见附图5。</w:t>
            </w:r>
          </w:p>
          <w:p>
            <w:pPr>
              <w:spacing w:line="360" w:lineRule="auto"/>
              <w:ind w:firstLine="480" w:firstLineChars="200"/>
              <w:rPr>
                <w:rFonts w:hint="eastAsia" w:ascii="Times New Roman" w:hAnsi="Times New Roman" w:cs="Times New Roman"/>
                <w:kern w:val="2"/>
                <w:sz w:val="24"/>
                <w:szCs w:val="24"/>
                <w:u w:val="single"/>
                <w:lang w:val="en-US" w:eastAsia="zh-CN" w:bidi="ar-SA"/>
              </w:rPr>
            </w:pPr>
            <w:r>
              <w:rPr>
                <w:rFonts w:hint="eastAsia" w:ascii="Times New Roman" w:hAnsi="Times New Roman" w:cs="Times New Roman"/>
                <w:kern w:val="2"/>
                <w:sz w:val="24"/>
                <w:szCs w:val="24"/>
                <w:u w:val="single"/>
                <w:lang w:val="en-US" w:eastAsia="zh-CN" w:bidi="ar-SA"/>
              </w:rPr>
              <w:t>环境保护目标详见表3-1</w:t>
            </w:r>
            <w:r>
              <w:rPr>
                <w:rFonts w:hint="eastAsia" w:cs="Times New Roman"/>
                <w:kern w:val="2"/>
                <w:sz w:val="24"/>
                <w:szCs w:val="24"/>
                <w:u w:val="single"/>
                <w:lang w:val="en-US" w:eastAsia="zh-CN" w:bidi="ar-SA"/>
              </w:rPr>
              <w:t>2</w:t>
            </w:r>
            <w:r>
              <w:rPr>
                <w:rFonts w:hint="eastAsia" w:ascii="Times New Roman" w:hAnsi="Times New Roman" w:cs="Times New Roman"/>
                <w:kern w:val="2"/>
                <w:sz w:val="24"/>
                <w:szCs w:val="24"/>
                <w:u w:val="single"/>
                <w:lang w:val="en-US" w:eastAsia="zh-CN" w:bidi="ar-SA"/>
              </w:rPr>
              <w:t>以及3-1</w:t>
            </w:r>
            <w:r>
              <w:rPr>
                <w:rFonts w:hint="eastAsia" w:cs="Times New Roman"/>
                <w:kern w:val="2"/>
                <w:sz w:val="24"/>
                <w:szCs w:val="24"/>
                <w:u w:val="single"/>
                <w:lang w:val="en-US" w:eastAsia="zh-CN" w:bidi="ar-SA"/>
              </w:rPr>
              <w:t>3</w:t>
            </w:r>
            <w:r>
              <w:rPr>
                <w:rFonts w:hint="eastAsia" w:ascii="Times New Roman" w:hAnsi="Times New Roman" w:cs="Times New Roman"/>
                <w:kern w:val="2"/>
                <w:sz w:val="24"/>
                <w:szCs w:val="24"/>
                <w:u w:val="single"/>
                <w:lang w:val="en-US" w:eastAsia="zh-CN" w:bidi="ar-SA"/>
              </w:rPr>
              <w:t>。</w:t>
            </w:r>
          </w:p>
          <w:p>
            <w:pPr>
              <w:spacing w:line="360" w:lineRule="auto"/>
              <w:jc w:val="center"/>
              <w:rPr>
                <w:color w:val="auto"/>
                <w:u w:val="single"/>
              </w:rPr>
            </w:pPr>
            <w:r>
              <w:rPr>
                <w:b/>
                <w:bCs/>
                <w:color w:val="auto"/>
                <w:u w:val="single"/>
              </w:rPr>
              <w:t>表</w:t>
            </w:r>
            <w:r>
              <w:rPr>
                <w:rFonts w:hint="eastAsia"/>
                <w:b/>
                <w:bCs/>
                <w:color w:val="auto"/>
                <w:u w:val="single"/>
              </w:rPr>
              <w:t>3-</w:t>
            </w:r>
            <w:r>
              <w:rPr>
                <w:rFonts w:hint="eastAsia"/>
                <w:b/>
                <w:bCs/>
                <w:color w:val="auto"/>
                <w:u w:val="single"/>
                <w:lang w:val="en-US" w:eastAsia="zh-CN"/>
              </w:rPr>
              <w:t>12</w:t>
            </w:r>
            <w:r>
              <w:rPr>
                <w:rFonts w:hint="eastAsia"/>
                <w:b/>
                <w:bCs/>
                <w:color w:val="auto"/>
                <w:u w:val="single"/>
              </w:rPr>
              <w:t>大气</w:t>
            </w:r>
            <w:r>
              <w:rPr>
                <w:b/>
                <w:bCs/>
                <w:color w:val="auto"/>
                <w:u w:val="single"/>
              </w:rPr>
              <w:t>环境</w:t>
            </w:r>
            <w:r>
              <w:rPr>
                <w:rFonts w:hint="eastAsia"/>
                <w:b/>
                <w:bCs/>
                <w:color w:val="auto"/>
                <w:u w:val="single"/>
                <w:lang w:eastAsia="zh-CN"/>
              </w:rPr>
              <w:t>、声环境</w:t>
            </w:r>
            <w:r>
              <w:rPr>
                <w:b/>
                <w:bCs/>
                <w:color w:val="auto"/>
                <w:u w:val="single"/>
              </w:rPr>
              <w:t>保护目标</w:t>
            </w:r>
            <w:r>
              <w:rPr>
                <w:rFonts w:hint="eastAsia"/>
                <w:b/>
                <w:bCs/>
                <w:color w:val="auto"/>
                <w:u w:val="single"/>
              </w:rPr>
              <w:t>示意表</w:t>
            </w:r>
          </w:p>
          <w:tbl>
            <w:tblPr>
              <w:tblStyle w:val="28"/>
              <w:tblW w:w="82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4" w:type="dxa"/>
                <w:bottom w:w="0" w:type="dxa"/>
                <w:right w:w="14" w:type="dxa"/>
              </w:tblCellMar>
            </w:tblPr>
            <w:tblGrid>
              <w:gridCol w:w="1100"/>
              <w:gridCol w:w="803"/>
              <w:gridCol w:w="1839"/>
              <w:gridCol w:w="1842"/>
              <w:gridCol w:w="927"/>
              <w:gridCol w:w="1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694" w:hRule="atLeast"/>
                <w:tblHeader/>
              </w:trPr>
              <w:tc>
                <w:tcPr>
                  <w:tcW w:w="1100" w:type="dxa"/>
                  <w:vMerge w:val="restart"/>
                  <w:tcBorders>
                    <w:tl2br w:val="nil"/>
                    <w:tr2bl w:val="nil"/>
                  </w:tcBorders>
                  <w:noWrap/>
                  <w:vAlign w:val="center"/>
                </w:tcPr>
                <w:p>
                  <w:pPr>
                    <w:spacing w:line="0" w:lineRule="atLeast"/>
                    <w:jc w:val="center"/>
                    <w:rPr>
                      <w:color w:val="auto"/>
                      <w:u w:val="single"/>
                    </w:rPr>
                  </w:pPr>
                  <w:r>
                    <w:rPr>
                      <w:color w:val="auto"/>
                      <w:u w:val="single"/>
                    </w:rPr>
                    <w:t>名称</w:t>
                  </w:r>
                </w:p>
              </w:tc>
              <w:tc>
                <w:tcPr>
                  <w:tcW w:w="803"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保护对象</w:t>
                  </w:r>
                </w:p>
              </w:tc>
              <w:tc>
                <w:tcPr>
                  <w:tcW w:w="1839"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保护内容</w:t>
                  </w:r>
                </w:p>
              </w:tc>
              <w:tc>
                <w:tcPr>
                  <w:tcW w:w="1842"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环境功能区</w:t>
                  </w:r>
                </w:p>
              </w:tc>
              <w:tc>
                <w:tcPr>
                  <w:tcW w:w="927"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相对</w:t>
                  </w:r>
                  <w:r>
                    <w:rPr>
                      <w:rFonts w:hint="eastAsia"/>
                      <w:color w:val="auto"/>
                      <w:u w:val="single"/>
                      <w:lang w:eastAsia="zh-CN"/>
                    </w:rPr>
                    <w:t>路线</w:t>
                  </w:r>
                  <w:r>
                    <w:rPr>
                      <w:rFonts w:hint="eastAsia"/>
                      <w:color w:val="auto"/>
                      <w:u w:val="single"/>
                    </w:rPr>
                    <w:t>方位</w:t>
                  </w:r>
                </w:p>
              </w:tc>
              <w:tc>
                <w:tcPr>
                  <w:tcW w:w="1746" w:type="dxa"/>
                  <w:vMerge w:val="restart"/>
                  <w:tcBorders>
                    <w:tl2br w:val="nil"/>
                    <w:tr2bl w:val="nil"/>
                  </w:tcBorders>
                  <w:noWrap/>
                  <w:vAlign w:val="center"/>
                </w:tcPr>
                <w:p>
                  <w:pPr>
                    <w:spacing w:line="0" w:lineRule="atLeast"/>
                    <w:jc w:val="center"/>
                    <w:rPr>
                      <w:color w:val="auto"/>
                      <w:u w:val="single"/>
                    </w:rPr>
                  </w:pPr>
                  <w:r>
                    <w:rPr>
                      <w:rFonts w:hint="eastAsia"/>
                      <w:color w:val="auto"/>
                      <w:u w:val="single"/>
                    </w:rPr>
                    <w:t>相对</w:t>
                  </w:r>
                  <w:r>
                    <w:rPr>
                      <w:rFonts w:hint="eastAsia"/>
                      <w:color w:val="auto"/>
                      <w:u w:val="single"/>
                      <w:lang w:eastAsia="zh-CN"/>
                    </w:rPr>
                    <w:t>路线</w:t>
                  </w:r>
                  <w:r>
                    <w:rPr>
                      <w:rFonts w:hint="eastAsia"/>
                      <w:color w:val="auto"/>
                      <w:u w:val="single"/>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314" w:hRule="atLeast"/>
                <w:tblHeader/>
              </w:trPr>
              <w:tc>
                <w:tcPr>
                  <w:tcW w:w="1100" w:type="dxa"/>
                  <w:vMerge w:val="continue"/>
                  <w:tcBorders>
                    <w:tl2br w:val="nil"/>
                    <w:tr2bl w:val="nil"/>
                  </w:tcBorders>
                  <w:noWrap/>
                  <w:vAlign w:val="center"/>
                </w:tcPr>
                <w:p>
                  <w:pPr>
                    <w:spacing w:line="0" w:lineRule="atLeast"/>
                    <w:jc w:val="center"/>
                    <w:rPr>
                      <w:color w:val="auto"/>
                      <w:u w:val="single"/>
                    </w:rPr>
                  </w:pPr>
                </w:p>
              </w:tc>
              <w:tc>
                <w:tcPr>
                  <w:tcW w:w="803" w:type="dxa"/>
                  <w:vMerge w:val="continue"/>
                  <w:tcBorders>
                    <w:tl2br w:val="nil"/>
                    <w:tr2bl w:val="nil"/>
                  </w:tcBorders>
                  <w:noWrap/>
                  <w:vAlign w:val="center"/>
                </w:tcPr>
                <w:p>
                  <w:pPr>
                    <w:spacing w:line="0" w:lineRule="atLeast"/>
                    <w:jc w:val="center"/>
                    <w:rPr>
                      <w:color w:val="auto"/>
                      <w:u w:val="single"/>
                    </w:rPr>
                  </w:pPr>
                </w:p>
              </w:tc>
              <w:tc>
                <w:tcPr>
                  <w:tcW w:w="1839" w:type="dxa"/>
                  <w:vMerge w:val="continue"/>
                  <w:tcBorders>
                    <w:tl2br w:val="nil"/>
                    <w:tr2bl w:val="nil"/>
                  </w:tcBorders>
                  <w:noWrap/>
                  <w:vAlign w:val="center"/>
                </w:tcPr>
                <w:p>
                  <w:pPr>
                    <w:spacing w:line="0" w:lineRule="atLeast"/>
                    <w:jc w:val="center"/>
                    <w:rPr>
                      <w:color w:val="auto"/>
                      <w:u w:val="single"/>
                    </w:rPr>
                  </w:pPr>
                </w:p>
              </w:tc>
              <w:tc>
                <w:tcPr>
                  <w:tcW w:w="1842" w:type="dxa"/>
                  <w:vMerge w:val="continue"/>
                  <w:tcBorders>
                    <w:tl2br w:val="nil"/>
                    <w:tr2bl w:val="nil"/>
                  </w:tcBorders>
                  <w:noWrap/>
                  <w:vAlign w:val="center"/>
                </w:tcPr>
                <w:p>
                  <w:pPr>
                    <w:spacing w:line="0" w:lineRule="atLeast"/>
                    <w:jc w:val="center"/>
                    <w:rPr>
                      <w:color w:val="auto"/>
                      <w:u w:val="single"/>
                    </w:rPr>
                  </w:pPr>
                </w:p>
              </w:tc>
              <w:tc>
                <w:tcPr>
                  <w:tcW w:w="927" w:type="dxa"/>
                  <w:vMerge w:val="continue"/>
                  <w:tcBorders>
                    <w:tl2br w:val="nil"/>
                    <w:tr2bl w:val="nil"/>
                  </w:tcBorders>
                  <w:noWrap/>
                  <w:vAlign w:val="center"/>
                </w:tcPr>
                <w:p>
                  <w:pPr>
                    <w:spacing w:line="0" w:lineRule="atLeast"/>
                    <w:jc w:val="center"/>
                    <w:rPr>
                      <w:color w:val="auto"/>
                      <w:u w:val="single"/>
                    </w:rPr>
                  </w:pPr>
                </w:p>
              </w:tc>
              <w:tc>
                <w:tcPr>
                  <w:tcW w:w="1746" w:type="dxa"/>
                  <w:vMerge w:val="continue"/>
                  <w:tcBorders>
                    <w:tl2br w:val="nil"/>
                    <w:tr2bl w:val="nil"/>
                  </w:tcBorders>
                  <w:noWrap/>
                  <w:vAlign w:val="center"/>
                </w:tcPr>
                <w:p>
                  <w:pPr>
                    <w:spacing w:line="0" w:lineRule="atLeast"/>
                    <w:jc w:val="center"/>
                    <w:rPr>
                      <w:color w:val="auto"/>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62" w:hRule="atLeast"/>
              </w:trPr>
              <w:tc>
                <w:tcPr>
                  <w:tcW w:w="1100"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万庾镇</w:t>
                  </w:r>
                </w:p>
              </w:tc>
              <w:tc>
                <w:tcPr>
                  <w:tcW w:w="803" w:type="dxa"/>
                  <w:tcBorders>
                    <w:tl2br w:val="nil"/>
                    <w:tr2bl w:val="nil"/>
                  </w:tcBorders>
                  <w:noWrap/>
                  <w:vAlign w:val="center"/>
                </w:tcPr>
                <w:p>
                  <w:pPr>
                    <w:spacing w:line="0" w:lineRule="atLeast"/>
                    <w:jc w:val="center"/>
                    <w:rPr>
                      <w:color w:val="auto"/>
                      <w:u w:val="single"/>
                    </w:rPr>
                  </w:pPr>
                  <w:r>
                    <w:rPr>
                      <w:color w:val="auto"/>
                      <w:u w:val="single"/>
                    </w:rPr>
                    <w:t>居民</w:t>
                  </w:r>
                </w:p>
              </w:tc>
              <w:tc>
                <w:tcPr>
                  <w:tcW w:w="1839" w:type="dxa"/>
                  <w:vMerge w:val="restart"/>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eastAsia="zh-CN"/>
                    </w:rPr>
                    <w:t>线路边界两侧</w:t>
                  </w:r>
                  <w:r>
                    <w:rPr>
                      <w:rFonts w:hint="eastAsia"/>
                      <w:color w:val="auto"/>
                      <w:u w:val="single"/>
                      <w:lang w:val="en-US" w:eastAsia="zh-CN"/>
                    </w:rPr>
                    <w:t>200m范围内居民</w:t>
                  </w:r>
                </w:p>
              </w:tc>
              <w:tc>
                <w:tcPr>
                  <w:tcW w:w="1842" w:type="dxa"/>
                  <w:vMerge w:val="restart"/>
                  <w:tcBorders>
                    <w:tl2br w:val="nil"/>
                    <w:tr2bl w:val="nil"/>
                  </w:tcBorders>
                  <w:noWrap/>
                  <w:vAlign w:val="center"/>
                </w:tcPr>
                <w:p>
                  <w:pPr>
                    <w:spacing w:line="0" w:lineRule="atLeast"/>
                    <w:jc w:val="left"/>
                    <w:rPr>
                      <w:color w:val="auto"/>
                      <w:u w:val="single"/>
                    </w:rPr>
                  </w:pPr>
                  <w:r>
                    <w:rPr>
                      <w:rFonts w:hint="eastAsia"/>
                      <w:color w:val="auto"/>
                      <w:u w:val="single"/>
                      <w:lang w:eastAsia="zh-CN"/>
                    </w:rPr>
                    <w:t>大气：</w:t>
                  </w:r>
                  <w:r>
                    <w:rPr>
                      <w:rFonts w:hint="eastAsia"/>
                      <w:color w:val="auto"/>
                      <w:u w:val="single"/>
                    </w:rPr>
                    <w:t>二类区，执行</w:t>
                  </w:r>
                  <w:r>
                    <w:rPr>
                      <w:color w:val="auto"/>
                      <w:u w:val="single"/>
                    </w:rPr>
                    <w:t>《环境空气质量标准》</w:t>
                  </w:r>
                </w:p>
                <w:p>
                  <w:pPr>
                    <w:spacing w:line="0" w:lineRule="atLeast"/>
                    <w:jc w:val="left"/>
                    <w:rPr>
                      <w:color w:val="auto"/>
                      <w:u w:val="single"/>
                    </w:rPr>
                  </w:pPr>
                  <w:r>
                    <w:rPr>
                      <w:color w:val="auto"/>
                      <w:u w:val="single"/>
                    </w:rPr>
                    <w:t>（GB3095-1996）二级标准</w:t>
                  </w:r>
                </w:p>
                <w:p>
                  <w:pPr>
                    <w:spacing w:line="0" w:lineRule="atLeast"/>
                    <w:jc w:val="left"/>
                    <w:rPr>
                      <w:color w:val="auto"/>
                      <w:u w:val="single"/>
                    </w:rPr>
                  </w:pPr>
                  <w:r>
                    <w:rPr>
                      <w:rFonts w:hint="eastAsia"/>
                      <w:color w:val="auto"/>
                      <w:u w:val="single"/>
                      <w:lang w:eastAsia="zh-CN"/>
                    </w:rPr>
                    <w:t>声环境：</w:t>
                  </w:r>
                  <w:r>
                    <w:rPr>
                      <w:color w:val="auto"/>
                      <w:u w:val="single"/>
                    </w:rPr>
                    <w:t>《声环境质量标准》</w:t>
                  </w:r>
                </w:p>
                <w:p>
                  <w:pPr>
                    <w:pStyle w:val="15"/>
                    <w:jc w:val="left"/>
                    <w:rPr>
                      <w:rFonts w:hint="eastAsia" w:eastAsia="宋体"/>
                      <w:color w:val="auto"/>
                      <w:u w:val="single"/>
                      <w:lang w:eastAsia="zh-CN"/>
                    </w:rPr>
                  </w:pPr>
                  <w:r>
                    <w:rPr>
                      <w:color w:val="auto"/>
                      <w:u w:val="single"/>
                    </w:rPr>
                    <w:t>GB3096-2008中2类标准</w:t>
                  </w:r>
                </w:p>
              </w:tc>
              <w:tc>
                <w:tcPr>
                  <w:tcW w:w="927"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东西两侧</w:t>
                  </w:r>
                </w:p>
              </w:tc>
              <w:tc>
                <w:tcPr>
                  <w:tcW w:w="1746"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val="en-US" w:eastAsia="zh-CN"/>
                    </w:rPr>
                    <w:t>道路边界200</w:t>
                  </w:r>
                  <w:r>
                    <w:rPr>
                      <w:color w:val="auto"/>
                      <w:u w:val="single"/>
                    </w:rPr>
                    <w:t>m</w:t>
                  </w:r>
                  <w:r>
                    <w:rPr>
                      <w:rFonts w:hint="eastAsia"/>
                      <w:color w:val="auto"/>
                      <w:u w:val="single"/>
                      <w:lang w:eastAsia="zh-CN"/>
                    </w:rPr>
                    <w:t>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93" w:hRule="atLeast"/>
              </w:trPr>
              <w:tc>
                <w:tcPr>
                  <w:tcW w:w="1100" w:type="dxa"/>
                  <w:tcBorders>
                    <w:tl2br w:val="nil"/>
                    <w:tr2bl w:val="nil"/>
                  </w:tcBorders>
                  <w:noWrap/>
                  <w:vAlign w:val="center"/>
                </w:tcPr>
                <w:p>
                  <w:pPr>
                    <w:spacing w:line="0" w:lineRule="atLeast"/>
                    <w:jc w:val="center"/>
                    <w:rPr>
                      <w:rFonts w:hint="default" w:eastAsia="宋体"/>
                      <w:color w:val="auto"/>
                      <w:u w:val="single"/>
                      <w:lang w:val="en-US" w:eastAsia="zh-CN"/>
                    </w:rPr>
                  </w:pPr>
                  <w:r>
                    <w:rPr>
                      <w:rFonts w:hint="eastAsia"/>
                      <w:color w:val="auto"/>
                      <w:u w:val="single"/>
                      <w:lang w:eastAsia="zh-CN"/>
                    </w:rPr>
                    <w:t>三封寺镇</w:t>
                  </w:r>
                </w:p>
              </w:tc>
              <w:tc>
                <w:tcPr>
                  <w:tcW w:w="803" w:type="dxa"/>
                  <w:tcBorders>
                    <w:tl2br w:val="nil"/>
                    <w:tr2bl w:val="nil"/>
                  </w:tcBorders>
                  <w:noWrap/>
                  <w:vAlign w:val="center"/>
                </w:tcPr>
                <w:p>
                  <w:pPr>
                    <w:spacing w:line="0" w:lineRule="atLeast"/>
                    <w:jc w:val="center"/>
                    <w:rPr>
                      <w:color w:val="auto"/>
                      <w:u w:val="single"/>
                    </w:rPr>
                  </w:pPr>
                  <w:r>
                    <w:rPr>
                      <w:color w:val="auto"/>
                      <w:u w:val="single"/>
                    </w:rPr>
                    <w:t>居民</w:t>
                  </w:r>
                </w:p>
              </w:tc>
              <w:tc>
                <w:tcPr>
                  <w:tcW w:w="1839" w:type="dxa"/>
                  <w:vMerge w:val="continue"/>
                  <w:tcBorders>
                    <w:tl2br w:val="nil"/>
                    <w:tr2bl w:val="nil"/>
                  </w:tcBorders>
                  <w:noWrap/>
                  <w:vAlign w:val="center"/>
                </w:tcPr>
                <w:p>
                  <w:pPr>
                    <w:spacing w:line="0" w:lineRule="atLeast"/>
                    <w:jc w:val="center"/>
                    <w:rPr>
                      <w:color w:val="auto"/>
                      <w:u w:val="single"/>
                    </w:rPr>
                  </w:pPr>
                </w:p>
              </w:tc>
              <w:tc>
                <w:tcPr>
                  <w:tcW w:w="1842" w:type="dxa"/>
                  <w:vMerge w:val="continue"/>
                  <w:tcBorders>
                    <w:tl2br w:val="nil"/>
                    <w:tr2bl w:val="nil"/>
                  </w:tcBorders>
                  <w:noWrap/>
                  <w:vAlign w:val="center"/>
                </w:tcPr>
                <w:p>
                  <w:pPr>
                    <w:spacing w:line="0" w:lineRule="atLeast"/>
                    <w:jc w:val="left"/>
                    <w:rPr>
                      <w:color w:val="auto"/>
                      <w:u w:val="single"/>
                    </w:rPr>
                  </w:pPr>
                </w:p>
              </w:tc>
              <w:tc>
                <w:tcPr>
                  <w:tcW w:w="927" w:type="dxa"/>
                  <w:tcBorders>
                    <w:tl2br w:val="nil"/>
                    <w:tr2bl w:val="nil"/>
                  </w:tcBorders>
                  <w:noWrap/>
                  <w:vAlign w:val="center"/>
                </w:tcPr>
                <w:p>
                  <w:pPr>
                    <w:spacing w:line="0" w:lineRule="atLeast"/>
                    <w:jc w:val="center"/>
                    <w:rPr>
                      <w:rFonts w:hint="eastAsia" w:eastAsia="宋体"/>
                      <w:color w:val="auto"/>
                      <w:u w:val="single"/>
                      <w:lang w:val="en-US" w:eastAsia="zh-CN"/>
                    </w:rPr>
                  </w:pPr>
                  <w:r>
                    <w:rPr>
                      <w:rFonts w:hint="eastAsia"/>
                      <w:color w:val="auto"/>
                      <w:u w:val="single"/>
                      <w:lang w:eastAsia="zh-CN"/>
                    </w:rPr>
                    <w:t>南北两侧</w:t>
                  </w:r>
                </w:p>
              </w:tc>
              <w:tc>
                <w:tcPr>
                  <w:tcW w:w="1746" w:type="dxa"/>
                  <w:tcBorders>
                    <w:tl2br w:val="nil"/>
                    <w:tr2bl w:val="nil"/>
                  </w:tcBorders>
                  <w:noWrap/>
                  <w:vAlign w:val="center"/>
                </w:tcPr>
                <w:p>
                  <w:pPr>
                    <w:spacing w:line="0" w:lineRule="atLeast"/>
                    <w:jc w:val="center"/>
                    <w:rPr>
                      <w:color w:val="auto"/>
                      <w:u w:val="single"/>
                    </w:rPr>
                  </w:pPr>
                  <w:r>
                    <w:rPr>
                      <w:rFonts w:hint="eastAsia"/>
                      <w:color w:val="auto"/>
                      <w:u w:val="single"/>
                      <w:lang w:val="en-US" w:eastAsia="zh-CN"/>
                    </w:rPr>
                    <w:t>道路边界200</w:t>
                  </w:r>
                  <w:r>
                    <w:rPr>
                      <w:color w:val="auto"/>
                      <w:u w:val="single"/>
                    </w:rPr>
                    <w:t>m</w:t>
                  </w:r>
                  <w:r>
                    <w:rPr>
                      <w:rFonts w:hint="eastAsia"/>
                      <w:color w:val="auto"/>
                      <w:u w:val="single"/>
                      <w:lang w:eastAsia="zh-CN"/>
                    </w:rPr>
                    <w:t>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4" w:type="dxa"/>
                  <w:bottom w:w="0" w:type="dxa"/>
                  <w:right w:w="14" w:type="dxa"/>
                </w:tblCellMar>
              </w:tblPrEx>
              <w:trPr>
                <w:trHeight w:val="593" w:hRule="atLeast"/>
              </w:trPr>
              <w:tc>
                <w:tcPr>
                  <w:tcW w:w="1100" w:type="dxa"/>
                  <w:tcBorders>
                    <w:tl2br w:val="nil"/>
                    <w:tr2bl w:val="nil"/>
                  </w:tcBorders>
                  <w:noWrap/>
                  <w:vAlign w:val="center"/>
                </w:tcPr>
                <w:p>
                  <w:pPr>
                    <w:spacing w:line="0" w:lineRule="atLeast"/>
                    <w:jc w:val="center"/>
                    <w:rPr>
                      <w:rFonts w:hint="eastAsia"/>
                      <w:color w:val="auto"/>
                      <w:u w:val="single"/>
                      <w:lang w:eastAsia="zh-CN"/>
                    </w:rPr>
                  </w:pPr>
                  <w:r>
                    <w:rPr>
                      <w:rFonts w:hint="eastAsia"/>
                      <w:color w:val="auto"/>
                      <w:u w:val="single"/>
                      <w:lang w:eastAsia="zh-CN"/>
                    </w:rPr>
                    <w:t>东山镇</w:t>
                  </w:r>
                </w:p>
              </w:tc>
              <w:tc>
                <w:tcPr>
                  <w:tcW w:w="803" w:type="dxa"/>
                  <w:tcBorders>
                    <w:tl2br w:val="nil"/>
                    <w:tr2bl w:val="nil"/>
                  </w:tcBorders>
                  <w:noWrap/>
                  <w:vAlign w:val="center"/>
                </w:tcPr>
                <w:p>
                  <w:pPr>
                    <w:spacing w:line="0" w:lineRule="atLeast"/>
                    <w:jc w:val="center"/>
                    <w:rPr>
                      <w:rFonts w:hint="eastAsia" w:eastAsia="宋体"/>
                      <w:color w:val="auto"/>
                      <w:u w:val="single"/>
                      <w:lang w:eastAsia="zh-CN"/>
                    </w:rPr>
                  </w:pPr>
                  <w:r>
                    <w:rPr>
                      <w:rFonts w:hint="eastAsia"/>
                      <w:color w:val="auto"/>
                      <w:u w:val="single"/>
                      <w:lang w:eastAsia="zh-CN"/>
                    </w:rPr>
                    <w:t>居民</w:t>
                  </w:r>
                </w:p>
              </w:tc>
              <w:tc>
                <w:tcPr>
                  <w:tcW w:w="1839" w:type="dxa"/>
                  <w:vMerge w:val="continue"/>
                  <w:tcBorders>
                    <w:tl2br w:val="nil"/>
                    <w:tr2bl w:val="nil"/>
                  </w:tcBorders>
                  <w:noWrap/>
                  <w:vAlign w:val="center"/>
                </w:tcPr>
                <w:p>
                  <w:pPr>
                    <w:spacing w:line="0" w:lineRule="atLeast"/>
                    <w:jc w:val="center"/>
                    <w:rPr>
                      <w:color w:val="auto"/>
                      <w:u w:val="single"/>
                    </w:rPr>
                  </w:pPr>
                </w:p>
              </w:tc>
              <w:tc>
                <w:tcPr>
                  <w:tcW w:w="1842" w:type="dxa"/>
                  <w:vMerge w:val="continue"/>
                  <w:tcBorders>
                    <w:tl2br w:val="nil"/>
                    <w:tr2bl w:val="nil"/>
                  </w:tcBorders>
                  <w:noWrap/>
                  <w:vAlign w:val="center"/>
                </w:tcPr>
                <w:p>
                  <w:pPr>
                    <w:spacing w:line="0" w:lineRule="atLeast"/>
                    <w:jc w:val="left"/>
                    <w:rPr>
                      <w:color w:val="auto"/>
                      <w:u w:val="single"/>
                    </w:rPr>
                  </w:pPr>
                </w:p>
              </w:tc>
              <w:tc>
                <w:tcPr>
                  <w:tcW w:w="927" w:type="dxa"/>
                  <w:tcBorders>
                    <w:tl2br w:val="nil"/>
                    <w:tr2bl w:val="nil"/>
                  </w:tcBorders>
                  <w:noWrap/>
                  <w:vAlign w:val="center"/>
                </w:tcPr>
                <w:p>
                  <w:pPr>
                    <w:spacing w:line="0" w:lineRule="atLeast"/>
                    <w:jc w:val="center"/>
                    <w:rPr>
                      <w:rFonts w:hint="eastAsia" w:eastAsia="宋体"/>
                      <w:color w:val="auto"/>
                      <w:u w:val="single"/>
                      <w:lang w:val="en-US" w:eastAsia="zh-CN"/>
                    </w:rPr>
                  </w:pPr>
                  <w:r>
                    <w:rPr>
                      <w:rFonts w:hint="eastAsia"/>
                      <w:color w:val="auto"/>
                      <w:u w:val="single"/>
                      <w:lang w:val="en-US" w:eastAsia="zh-CN"/>
                    </w:rPr>
                    <w:t>东西两侧</w:t>
                  </w:r>
                </w:p>
              </w:tc>
              <w:tc>
                <w:tcPr>
                  <w:tcW w:w="1746" w:type="dxa"/>
                  <w:tcBorders>
                    <w:tl2br w:val="nil"/>
                    <w:tr2bl w:val="nil"/>
                  </w:tcBorders>
                  <w:noWrap/>
                  <w:vAlign w:val="center"/>
                </w:tcPr>
                <w:p>
                  <w:pPr>
                    <w:spacing w:line="0" w:lineRule="atLeast"/>
                    <w:jc w:val="center"/>
                    <w:rPr>
                      <w:rFonts w:hint="eastAsia"/>
                      <w:color w:val="auto"/>
                      <w:u w:val="single"/>
                    </w:rPr>
                  </w:pPr>
                  <w:r>
                    <w:rPr>
                      <w:rFonts w:hint="eastAsia"/>
                      <w:color w:val="auto"/>
                      <w:u w:val="single"/>
                      <w:lang w:val="en-US" w:eastAsia="zh-CN"/>
                    </w:rPr>
                    <w:t>道路边界200</w:t>
                  </w:r>
                  <w:r>
                    <w:rPr>
                      <w:color w:val="auto"/>
                      <w:u w:val="single"/>
                    </w:rPr>
                    <w:t>m</w:t>
                  </w:r>
                  <w:r>
                    <w:rPr>
                      <w:rFonts w:hint="eastAsia"/>
                      <w:color w:val="auto"/>
                      <w:u w:val="single"/>
                      <w:lang w:eastAsia="zh-CN"/>
                    </w:rPr>
                    <w:t>范围内</w:t>
                  </w:r>
                </w:p>
              </w:tc>
            </w:tr>
          </w:tbl>
          <w:p>
            <w:pPr>
              <w:ind w:firstLine="211" w:firstLineChars="100"/>
              <w:jc w:val="center"/>
              <w:rPr>
                <w:b/>
                <w:bCs/>
                <w:u w:val="single"/>
              </w:rPr>
            </w:pPr>
            <w:r>
              <w:rPr>
                <w:rFonts w:hint="eastAsia"/>
                <w:b/>
                <w:bCs/>
                <w:u w:val="single"/>
              </w:rPr>
              <w:t>表3-</w:t>
            </w:r>
            <w:r>
              <w:rPr>
                <w:rFonts w:hint="eastAsia"/>
                <w:b/>
                <w:bCs/>
                <w:u w:val="single"/>
                <w:lang w:val="en-US" w:eastAsia="zh-CN"/>
              </w:rPr>
              <w:t>13</w:t>
            </w:r>
            <w:r>
              <w:rPr>
                <w:rFonts w:hint="eastAsia"/>
                <w:b/>
                <w:bCs/>
                <w:u w:val="single"/>
              </w:rPr>
              <w:t>项目地表水环境</w:t>
            </w:r>
            <w:r>
              <w:rPr>
                <w:b/>
                <w:bCs/>
                <w:u w:val="single"/>
              </w:rPr>
              <w:t>保护目标表</w:t>
            </w:r>
          </w:p>
          <w:tbl>
            <w:tblPr>
              <w:tblStyle w:val="28"/>
              <w:tblW w:w="839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4" w:type="dxa"/>
                <w:bottom w:w="0" w:type="dxa"/>
                <w:right w:w="14" w:type="dxa"/>
              </w:tblCellMar>
            </w:tblPr>
            <w:tblGrid>
              <w:gridCol w:w="443"/>
              <w:gridCol w:w="601"/>
              <w:gridCol w:w="1375"/>
              <w:gridCol w:w="623"/>
              <w:gridCol w:w="1215"/>
              <w:gridCol w:w="1487"/>
              <w:gridCol w:w="1500"/>
              <w:gridCol w:w="11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606" w:hRule="atLeast"/>
                <w:tblHeader/>
              </w:trPr>
              <w:tc>
                <w:tcPr>
                  <w:tcW w:w="443" w:type="dxa"/>
                  <w:tcBorders>
                    <w:top w:val="single" w:color="auto" w:sz="12" w:space="0"/>
                  </w:tcBorders>
                  <w:vAlign w:val="center"/>
                </w:tcPr>
                <w:p>
                  <w:pPr>
                    <w:spacing w:line="0" w:lineRule="atLeast"/>
                    <w:jc w:val="center"/>
                    <w:rPr>
                      <w:u w:val="single"/>
                    </w:rPr>
                  </w:pPr>
                  <w:r>
                    <w:rPr>
                      <w:u w:val="single"/>
                    </w:rPr>
                    <w:t>项目</w:t>
                  </w:r>
                </w:p>
              </w:tc>
              <w:tc>
                <w:tcPr>
                  <w:tcW w:w="601" w:type="dxa"/>
                  <w:tcBorders>
                    <w:top w:val="single" w:color="auto" w:sz="12" w:space="0"/>
                    <w:right w:val="single" w:color="auto" w:sz="4" w:space="0"/>
                  </w:tcBorders>
                  <w:vAlign w:val="center"/>
                </w:tcPr>
                <w:p>
                  <w:pPr>
                    <w:spacing w:line="0" w:lineRule="atLeast"/>
                    <w:jc w:val="center"/>
                    <w:rPr>
                      <w:u w:val="single"/>
                    </w:rPr>
                  </w:pPr>
                  <w:r>
                    <w:rPr>
                      <w:u w:val="single"/>
                    </w:rPr>
                    <w:t>目标名称</w:t>
                  </w:r>
                </w:p>
              </w:tc>
              <w:tc>
                <w:tcPr>
                  <w:tcW w:w="1375" w:type="dxa"/>
                  <w:tcBorders>
                    <w:top w:val="single" w:color="auto" w:sz="12" w:space="0"/>
                    <w:left w:val="single" w:color="auto" w:sz="4" w:space="0"/>
                  </w:tcBorders>
                  <w:vAlign w:val="center"/>
                </w:tcPr>
                <w:p>
                  <w:pPr>
                    <w:spacing w:line="0" w:lineRule="atLeast"/>
                    <w:jc w:val="center"/>
                    <w:rPr>
                      <w:u w:val="single"/>
                    </w:rPr>
                  </w:pPr>
                  <w:r>
                    <w:rPr>
                      <w:rFonts w:hint="eastAsia"/>
                      <w:u w:val="single"/>
                    </w:rPr>
                    <w:t>坐标</w:t>
                  </w:r>
                </w:p>
              </w:tc>
              <w:tc>
                <w:tcPr>
                  <w:tcW w:w="623" w:type="dxa"/>
                  <w:tcBorders>
                    <w:top w:val="single" w:color="auto" w:sz="12" w:space="0"/>
                  </w:tcBorders>
                  <w:vAlign w:val="center"/>
                </w:tcPr>
                <w:p>
                  <w:pPr>
                    <w:spacing w:line="0" w:lineRule="atLeast"/>
                    <w:jc w:val="center"/>
                    <w:rPr>
                      <w:u w:val="single"/>
                    </w:rPr>
                  </w:pPr>
                  <w:r>
                    <w:rPr>
                      <w:rFonts w:hint="eastAsia"/>
                      <w:u w:val="single"/>
                    </w:rPr>
                    <w:t>高差</w:t>
                  </w:r>
                </w:p>
                <w:p>
                  <w:pPr>
                    <w:spacing w:line="0" w:lineRule="atLeast"/>
                    <w:jc w:val="center"/>
                    <w:rPr>
                      <w:u w:val="single"/>
                    </w:rPr>
                  </w:pPr>
                  <w:r>
                    <w:rPr>
                      <w:rFonts w:hint="eastAsia"/>
                      <w:u w:val="single"/>
                    </w:rPr>
                    <w:t>(m)</w:t>
                  </w:r>
                </w:p>
              </w:tc>
              <w:tc>
                <w:tcPr>
                  <w:tcW w:w="1215" w:type="dxa"/>
                  <w:tcBorders>
                    <w:top w:val="single" w:color="auto" w:sz="12" w:space="0"/>
                    <w:right w:val="single" w:color="auto" w:sz="4" w:space="0"/>
                  </w:tcBorders>
                  <w:vAlign w:val="center"/>
                </w:tcPr>
                <w:p>
                  <w:pPr>
                    <w:spacing w:line="0" w:lineRule="atLeast"/>
                    <w:jc w:val="center"/>
                    <w:rPr>
                      <w:u w:val="single"/>
                    </w:rPr>
                  </w:pPr>
                  <w:r>
                    <w:rPr>
                      <w:u w:val="single"/>
                    </w:rPr>
                    <w:t>规  模</w:t>
                  </w:r>
                </w:p>
              </w:tc>
              <w:tc>
                <w:tcPr>
                  <w:tcW w:w="1487" w:type="dxa"/>
                  <w:tcBorders>
                    <w:top w:val="single" w:color="auto" w:sz="12" w:space="0"/>
                    <w:left w:val="single" w:color="auto" w:sz="4" w:space="0"/>
                  </w:tcBorders>
                  <w:vAlign w:val="center"/>
                </w:tcPr>
                <w:p>
                  <w:pPr>
                    <w:spacing w:line="0" w:lineRule="atLeast"/>
                    <w:jc w:val="center"/>
                    <w:rPr>
                      <w:u w:val="single"/>
                    </w:rPr>
                  </w:pPr>
                  <w:r>
                    <w:rPr>
                      <w:u w:val="single"/>
                    </w:rPr>
                    <w:t>相对项目厂址方位及厂界距离</w:t>
                  </w:r>
                </w:p>
              </w:tc>
              <w:tc>
                <w:tcPr>
                  <w:tcW w:w="1500" w:type="dxa"/>
                  <w:tcBorders>
                    <w:top w:val="single" w:color="auto" w:sz="12" w:space="0"/>
                    <w:right w:val="single" w:color="auto" w:sz="4" w:space="0"/>
                  </w:tcBorders>
                  <w:vAlign w:val="center"/>
                </w:tcPr>
                <w:p>
                  <w:pPr>
                    <w:spacing w:line="0" w:lineRule="atLeast"/>
                    <w:jc w:val="center"/>
                    <w:rPr>
                      <w:u w:val="single"/>
                    </w:rPr>
                  </w:pPr>
                  <w:r>
                    <w:rPr>
                      <w:u w:val="single"/>
                    </w:rPr>
                    <w:t>环境功能及保护级别</w:t>
                  </w:r>
                </w:p>
              </w:tc>
              <w:tc>
                <w:tcPr>
                  <w:tcW w:w="1155" w:type="dxa"/>
                  <w:tcBorders>
                    <w:top w:val="single" w:color="auto" w:sz="12" w:space="0"/>
                    <w:left w:val="single" w:color="auto" w:sz="4" w:space="0"/>
                    <w:right w:val="single" w:color="auto" w:sz="12" w:space="0"/>
                  </w:tcBorders>
                  <w:vAlign w:val="center"/>
                </w:tcPr>
                <w:p>
                  <w:pPr>
                    <w:spacing w:line="0" w:lineRule="atLeast"/>
                    <w:jc w:val="center"/>
                    <w:rPr>
                      <w:u w:val="single"/>
                    </w:rPr>
                  </w:pPr>
                  <w:r>
                    <w:rPr>
                      <w:rFonts w:hint="eastAsia"/>
                      <w:u w:val="single"/>
                    </w:rPr>
                    <w:t>与建设项目水力联系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4" w:type="dxa"/>
                  <w:bottom w:w="0" w:type="dxa"/>
                  <w:right w:w="14" w:type="dxa"/>
                </w:tblCellMar>
              </w:tblPrEx>
              <w:trPr>
                <w:trHeight w:val="866" w:hRule="atLeast"/>
              </w:trPr>
              <w:tc>
                <w:tcPr>
                  <w:tcW w:w="443" w:type="dxa"/>
                  <w:tcBorders>
                    <w:left w:val="single" w:color="auto" w:sz="4" w:space="0"/>
                    <w:bottom w:val="single" w:color="auto" w:sz="12" w:space="0"/>
                  </w:tcBorders>
                  <w:vAlign w:val="center"/>
                </w:tcPr>
                <w:p>
                  <w:pPr>
                    <w:spacing w:line="0" w:lineRule="atLeast"/>
                    <w:jc w:val="center"/>
                    <w:rPr>
                      <w:rFonts w:hint="eastAsia" w:eastAsia="宋体"/>
                      <w:u w:val="single"/>
                      <w:lang w:eastAsia="zh-CN"/>
                    </w:rPr>
                  </w:pPr>
                  <w:r>
                    <w:rPr>
                      <w:rFonts w:hint="eastAsia"/>
                      <w:u w:val="single"/>
                      <w:lang w:eastAsia="zh-CN"/>
                    </w:rPr>
                    <w:t>水环境</w:t>
                  </w:r>
                </w:p>
              </w:tc>
              <w:tc>
                <w:tcPr>
                  <w:tcW w:w="601" w:type="dxa"/>
                  <w:tcBorders>
                    <w:bottom w:val="single" w:color="auto" w:sz="12" w:space="0"/>
                    <w:right w:val="single" w:color="auto" w:sz="4" w:space="0"/>
                  </w:tcBorders>
                  <w:vAlign w:val="center"/>
                </w:tcPr>
                <w:p>
                  <w:pPr>
                    <w:spacing w:line="0" w:lineRule="atLeast"/>
                    <w:jc w:val="center"/>
                    <w:rPr>
                      <w:u w:val="single"/>
                    </w:rPr>
                  </w:pPr>
                  <w:r>
                    <w:rPr>
                      <w:rFonts w:hint="eastAsia"/>
                      <w:u w:val="single"/>
                    </w:rPr>
                    <w:t>长江</w:t>
                  </w:r>
                </w:p>
              </w:tc>
              <w:tc>
                <w:tcPr>
                  <w:tcW w:w="1375" w:type="dxa"/>
                  <w:tcBorders>
                    <w:left w:val="single" w:color="auto" w:sz="4" w:space="0"/>
                    <w:bottom w:val="single" w:color="auto" w:sz="12" w:space="0"/>
                  </w:tcBorders>
                  <w:vAlign w:val="center"/>
                </w:tcPr>
                <w:p>
                  <w:pPr>
                    <w:spacing w:line="0" w:lineRule="atLeast"/>
                    <w:jc w:val="center"/>
                    <w:rPr>
                      <w:u w:val="single"/>
                    </w:rPr>
                  </w:pPr>
                  <w:r>
                    <w:rPr>
                      <w:rFonts w:hint="eastAsia"/>
                      <w:u w:val="single"/>
                    </w:rPr>
                    <w:t>经度</w:t>
                  </w:r>
                  <w:r>
                    <w:rPr>
                      <w:u w:val="single"/>
                    </w:rPr>
                    <w:t>112.816372</w:t>
                  </w:r>
                </w:p>
                <w:p>
                  <w:pPr>
                    <w:pStyle w:val="2"/>
                    <w:rPr>
                      <w:u w:val="single"/>
                    </w:rPr>
                  </w:pPr>
                  <w:r>
                    <w:rPr>
                      <w:rFonts w:hint="eastAsia"/>
                      <w:u w:val="single"/>
                    </w:rPr>
                    <w:t>纬度29.743401</w:t>
                  </w:r>
                </w:p>
              </w:tc>
              <w:tc>
                <w:tcPr>
                  <w:tcW w:w="623" w:type="dxa"/>
                  <w:tcBorders>
                    <w:bottom w:val="single" w:color="auto" w:sz="12" w:space="0"/>
                  </w:tcBorders>
                  <w:vAlign w:val="center"/>
                </w:tcPr>
                <w:p>
                  <w:pPr>
                    <w:spacing w:line="0" w:lineRule="atLeast"/>
                    <w:jc w:val="center"/>
                    <w:rPr>
                      <w:u w:val="single"/>
                    </w:rPr>
                  </w:pPr>
                  <w:r>
                    <w:rPr>
                      <w:rFonts w:hint="eastAsia"/>
                      <w:u w:val="single"/>
                    </w:rPr>
                    <w:t>32</w:t>
                  </w:r>
                </w:p>
              </w:tc>
              <w:tc>
                <w:tcPr>
                  <w:tcW w:w="1215" w:type="dxa"/>
                  <w:tcBorders>
                    <w:bottom w:val="single" w:color="auto" w:sz="12" w:space="0"/>
                    <w:right w:val="single" w:color="auto" w:sz="4" w:space="0"/>
                  </w:tcBorders>
                  <w:vAlign w:val="center"/>
                </w:tcPr>
                <w:p>
                  <w:pPr>
                    <w:spacing w:line="0" w:lineRule="atLeast"/>
                    <w:jc w:val="center"/>
                    <w:rPr>
                      <w:u w:val="single"/>
                    </w:rPr>
                  </w:pPr>
                  <w:r>
                    <w:rPr>
                      <w:rFonts w:hint="eastAsia"/>
                      <w:u w:val="single"/>
                    </w:rPr>
                    <w:t>大河，</w:t>
                  </w:r>
                  <w:r>
                    <w:rPr>
                      <w:u w:val="single"/>
                    </w:rPr>
                    <w:t>全长6300余公里</w:t>
                  </w:r>
                  <w:r>
                    <w:rPr>
                      <w:rFonts w:hint="eastAsia"/>
                      <w:u w:val="single"/>
                    </w:rPr>
                    <w:t>，流域面积68万平方千米</w:t>
                  </w:r>
                </w:p>
              </w:tc>
              <w:tc>
                <w:tcPr>
                  <w:tcW w:w="1487" w:type="dxa"/>
                  <w:tcBorders>
                    <w:left w:val="single" w:color="auto" w:sz="4" w:space="0"/>
                    <w:bottom w:val="single" w:color="auto" w:sz="12" w:space="0"/>
                  </w:tcBorders>
                  <w:vAlign w:val="center"/>
                </w:tcPr>
                <w:p>
                  <w:pPr>
                    <w:spacing w:line="0" w:lineRule="atLeast"/>
                    <w:jc w:val="center"/>
                    <w:rPr>
                      <w:rFonts w:hint="eastAsia" w:eastAsia="宋体"/>
                      <w:u w:val="single"/>
                      <w:lang w:eastAsia="zh-CN"/>
                    </w:rPr>
                  </w:pPr>
                  <w:r>
                    <w:rPr>
                      <w:rFonts w:hint="eastAsia"/>
                      <w:u w:val="single"/>
                      <w:lang w:val="en-US" w:eastAsia="zh-CN"/>
                    </w:rPr>
                    <w:t>/</w:t>
                  </w:r>
                </w:p>
              </w:tc>
              <w:tc>
                <w:tcPr>
                  <w:tcW w:w="1500" w:type="dxa"/>
                  <w:tcBorders>
                    <w:bottom w:val="single" w:color="auto" w:sz="12" w:space="0"/>
                    <w:right w:val="single" w:color="auto" w:sz="4" w:space="0"/>
                  </w:tcBorders>
                  <w:vAlign w:val="center"/>
                </w:tcPr>
                <w:p>
                  <w:pPr>
                    <w:spacing w:line="0" w:lineRule="atLeast"/>
                    <w:jc w:val="center"/>
                    <w:rPr>
                      <w:u w:val="single"/>
                    </w:rPr>
                  </w:pPr>
                  <w:r>
                    <w:rPr>
                      <w:rFonts w:hint="eastAsia"/>
                      <w:u w:val="single"/>
                    </w:rPr>
                    <w:t>本项目所在河段为渔业用水，执行《地表水环境质量标准（GB3838-2002）》中Ⅲ类标准</w:t>
                  </w:r>
                </w:p>
              </w:tc>
              <w:tc>
                <w:tcPr>
                  <w:tcW w:w="1155" w:type="dxa"/>
                  <w:tcBorders>
                    <w:left w:val="single" w:color="auto" w:sz="4" w:space="0"/>
                    <w:bottom w:val="single" w:color="auto" w:sz="12" w:space="0"/>
                    <w:right w:val="single" w:color="auto" w:sz="12" w:space="0"/>
                  </w:tcBorders>
                  <w:vAlign w:val="center"/>
                </w:tcPr>
                <w:p>
                  <w:pPr>
                    <w:spacing w:line="0" w:lineRule="atLeast"/>
                    <w:jc w:val="center"/>
                    <w:rPr>
                      <w:u w:val="single"/>
                    </w:rPr>
                  </w:pPr>
                  <w:r>
                    <w:rPr>
                      <w:rFonts w:hint="eastAsia"/>
                      <w:u w:val="single"/>
                    </w:rPr>
                    <w:t>本项目运输载体</w:t>
                  </w:r>
                </w:p>
              </w:tc>
            </w:tr>
          </w:tbl>
          <w:p>
            <w:pPr>
              <w:spacing w:line="360" w:lineRule="auto"/>
              <w:ind w:firstLine="420" w:firstLineChars="200"/>
              <w:rPr>
                <w:rFonts w:hint="default" w:eastAsia="宋体"/>
                <w:lang w:val="en-US" w:eastAsia="zh-CN"/>
              </w:rPr>
            </w:pPr>
          </w:p>
        </w:tc>
      </w:tr>
    </w:tbl>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ascii="宋体" w:hAnsi="宋体" w:cs="宋体"/>
          <w:b/>
          <w:bCs/>
          <w:sz w:val="28"/>
          <w:szCs w:val="28"/>
        </w:rPr>
      </w:pPr>
      <w:r>
        <w:rPr>
          <w:rFonts w:hint="eastAsia" w:ascii="宋体" w:hAnsi="宋体" w:cs="宋体"/>
          <w:b/>
          <w:bCs/>
          <w:sz w:val="28"/>
          <w:szCs w:val="28"/>
        </w:rPr>
        <w:t>表四、评价适用标准</w:t>
      </w:r>
    </w:p>
    <w:tbl>
      <w:tblPr>
        <w:tblStyle w:val="28"/>
        <w:tblW w:w="852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416"/>
        <w:gridCol w:w="810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041" w:hRule="atLeast"/>
          <w:jc w:val="center"/>
        </w:trPr>
        <w:tc>
          <w:tcPr>
            <w:tcW w:w="416" w:type="dxa"/>
            <w:tcBorders>
              <w:bottom w:val="single" w:color="auto" w:sz="4" w:space="0"/>
              <w:right w:val="single" w:color="auto" w:sz="4" w:space="0"/>
            </w:tcBorders>
            <w:vAlign w:val="center"/>
          </w:tcPr>
          <w:p>
            <w:pPr>
              <w:spacing w:line="360" w:lineRule="auto"/>
              <w:ind w:right="105" w:rightChars="50"/>
              <w:rPr>
                <w:sz w:val="24"/>
              </w:rPr>
            </w:pPr>
            <w:r>
              <w:rPr>
                <w:sz w:val="24"/>
              </w:rPr>
              <w:t>环境质量标准</w:t>
            </w:r>
          </w:p>
        </w:tc>
        <w:tc>
          <w:tcPr>
            <w:tcW w:w="8106" w:type="dxa"/>
            <w:tcBorders>
              <w:left w:val="single" w:color="auto" w:sz="4" w:space="0"/>
              <w:bottom w:val="single" w:color="auto" w:sz="4" w:space="0"/>
            </w:tcBorders>
            <w:vAlign w:val="center"/>
          </w:tcPr>
          <w:p>
            <w:pPr>
              <w:spacing w:line="360" w:lineRule="auto"/>
            </w:pPr>
            <w:r>
              <w:rPr>
                <w:rFonts w:hint="eastAsia"/>
              </w:rPr>
              <w:t>1、区域空气环境质量执行</w:t>
            </w:r>
            <w:r>
              <w:t>《环境空气质量标准》（GB3095</w:t>
            </w:r>
            <w:r>
              <w:rPr>
                <w:rFonts w:hint="eastAsia"/>
              </w:rPr>
              <w:t>-2012</w:t>
            </w:r>
            <w:r>
              <w:t>）</w:t>
            </w:r>
            <w:r>
              <w:rPr>
                <w:rFonts w:hint="eastAsia"/>
              </w:rPr>
              <w:t>中</w:t>
            </w:r>
            <w:r>
              <w:t>二级标准</w:t>
            </w:r>
            <w:r>
              <w:rPr>
                <w:rFonts w:hint="eastAsia"/>
              </w:rPr>
              <w:t>；</w:t>
            </w:r>
          </w:p>
          <w:p>
            <w:pPr>
              <w:jc w:val="center"/>
            </w:pPr>
            <w:r>
              <w:t>表4-1    环境空气质量标准</w:t>
            </w:r>
          </w:p>
          <w:tbl>
            <w:tblPr>
              <w:tblStyle w:val="28"/>
              <w:tblW w:w="742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81"/>
              <w:gridCol w:w="1196"/>
              <w:gridCol w:w="1286"/>
              <w:gridCol w:w="1286"/>
              <w:gridCol w:w="1287"/>
              <w:gridCol w:w="178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0" w:hRule="atLeast"/>
              </w:trPr>
              <w:tc>
                <w:tcPr>
                  <w:tcW w:w="581" w:type="dxa"/>
                  <w:vMerge w:val="restart"/>
                  <w:tcBorders>
                    <w:top w:val="single" w:color="auto" w:sz="12" w:space="0"/>
                    <w:bottom w:val="single" w:color="auto" w:sz="4" w:space="0"/>
                    <w:right w:val="single" w:color="auto" w:sz="4" w:space="0"/>
                  </w:tcBorders>
                  <w:vAlign w:val="center"/>
                </w:tcPr>
                <w:p>
                  <w:pPr>
                    <w:jc w:val="center"/>
                  </w:pPr>
                  <w:r>
                    <w:t>序号</w:t>
                  </w:r>
                </w:p>
              </w:tc>
              <w:tc>
                <w:tcPr>
                  <w:tcW w:w="1196" w:type="dxa"/>
                  <w:vMerge w:val="restart"/>
                  <w:tcBorders>
                    <w:top w:val="single" w:color="auto" w:sz="12" w:space="0"/>
                    <w:left w:val="single" w:color="auto" w:sz="4" w:space="0"/>
                    <w:bottom w:val="single" w:color="auto" w:sz="4" w:space="0"/>
                    <w:right w:val="single" w:color="auto" w:sz="4" w:space="0"/>
                  </w:tcBorders>
                  <w:vAlign w:val="center"/>
                </w:tcPr>
                <w:p>
                  <w:pPr>
                    <w:jc w:val="center"/>
                  </w:pPr>
                  <w:r>
                    <w:t>污染物名称</w:t>
                  </w:r>
                </w:p>
              </w:tc>
              <w:tc>
                <w:tcPr>
                  <w:tcW w:w="3859" w:type="dxa"/>
                  <w:gridSpan w:val="3"/>
                  <w:tcBorders>
                    <w:top w:val="single" w:color="auto" w:sz="12" w:space="0"/>
                    <w:left w:val="single" w:color="auto" w:sz="4" w:space="0"/>
                    <w:bottom w:val="single" w:color="auto" w:sz="4" w:space="0"/>
                    <w:right w:val="single" w:color="auto" w:sz="4" w:space="0"/>
                  </w:tcBorders>
                  <w:vAlign w:val="center"/>
                </w:tcPr>
                <w:p>
                  <w:pPr>
                    <w:jc w:val="center"/>
                  </w:pPr>
                  <w:r>
                    <w:t>浓度限值（mg/Nm3）</w:t>
                  </w:r>
                </w:p>
              </w:tc>
              <w:tc>
                <w:tcPr>
                  <w:tcW w:w="1784" w:type="dxa"/>
                  <w:vMerge w:val="restart"/>
                  <w:tcBorders>
                    <w:top w:val="single" w:color="auto" w:sz="12" w:space="0"/>
                    <w:left w:val="single" w:color="auto" w:sz="4" w:space="0"/>
                    <w:bottom w:val="single" w:color="auto" w:sz="4" w:space="0"/>
                    <w:right w:val="single" w:color="auto" w:sz="12" w:space="0"/>
                  </w:tcBorders>
                  <w:vAlign w:val="center"/>
                </w:tcPr>
                <w:p>
                  <w:pPr>
                    <w:jc w:val="center"/>
                  </w:pPr>
                  <w: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0" w:hRule="atLeast"/>
              </w:trPr>
              <w:tc>
                <w:tcPr>
                  <w:tcW w:w="581"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1196" w:type="dxa"/>
                  <w:vMerge w:val="continue"/>
                  <w:tcBorders>
                    <w:top w:val="single" w:color="auto" w:sz="4" w:space="0"/>
                    <w:left w:val="single" w:color="auto" w:sz="4" w:space="0"/>
                    <w:bottom w:val="single" w:color="auto" w:sz="4" w:space="0"/>
                    <w:right w:val="single" w:color="auto" w:sz="4" w:space="0"/>
                  </w:tcBorders>
                  <w:vAlign w:val="center"/>
                </w:tcPr>
                <w:p>
                  <w:pPr>
                    <w:jc w:val="cente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t>1小时平均</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t>日平均</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t>年平均</w:t>
                  </w:r>
                </w:p>
              </w:tc>
              <w:tc>
                <w:tcPr>
                  <w:tcW w:w="1784" w:type="dxa"/>
                  <w:vMerge w:val="continue"/>
                  <w:tcBorders>
                    <w:top w:val="single" w:color="auto" w:sz="4" w:space="0"/>
                    <w:left w:val="single" w:color="auto" w:sz="4" w:space="0"/>
                    <w:bottom w:val="single" w:color="auto" w:sz="4" w:space="0"/>
                    <w:right w:val="single" w:color="auto" w:sz="12" w:space="0"/>
                  </w:tcBorders>
                  <w:vAlign w:val="center"/>
                </w:tcPr>
                <w:p>
                  <w:pPr>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0" w:hRule="atLeast"/>
              </w:trPr>
              <w:tc>
                <w:tcPr>
                  <w:tcW w:w="581" w:type="dxa"/>
                  <w:tcBorders>
                    <w:top w:val="single" w:color="auto" w:sz="4" w:space="0"/>
                    <w:left w:val="single" w:color="auto" w:sz="4" w:space="0"/>
                    <w:bottom w:val="single" w:color="auto" w:sz="4" w:space="0"/>
                    <w:right w:val="single" w:color="auto" w:sz="4" w:space="0"/>
                  </w:tcBorders>
                  <w:vAlign w:val="center"/>
                </w:tcPr>
                <w:p>
                  <w:pPr>
                    <w:jc w:val="center"/>
                  </w:pPr>
                  <w:r>
                    <w:t>1</w:t>
                  </w:r>
                </w:p>
              </w:tc>
              <w:tc>
                <w:tcPr>
                  <w:tcW w:w="1196" w:type="dxa"/>
                  <w:tcBorders>
                    <w:top w:val="single" w:color="auto" w:sz="4" w:space="0"/>
                    <w:left w:val="single" w:color="auto" w:sz="4" w:space="0"/>
                    <w:bottom w:val="single" w:color="auto" w:sz="4" w:space="0"/>
                    <w:right w:val="single" w:color="auto" w:sz="4" w:space="0"/>
                  </w:tcBorders>
                  <w:vAlign w:val="center"/>
                </w:tcPr>
                <w:p>
                  <w:pPr>
                    <w:jc w:val="center"/>
                  </w:pPr>
                  <w:r>
                    <w:t>SO2</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t>0.50</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t>0.15</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t>0.06</w:t>
                  </w:r>
                </w:p>
              </w:tc>
              <w:tc>
                <w:tcPr>
                  <w:tcW w:w="1784" w:type="dxa"/>
                  <w:vMerge w:val="restart"/>
                  <w:tcBorders>
                    <w:top w:val="single" w:color="auto" w:sz="4" w:space="0"/>
                    <w:left w:val="single" w:color="auto" w:sz="4" w:space="0"/>
                    <w:right w:val="single" w:color="auto" w:sz="12" w:space="0"/>
                  </w:tcBorders>
                  <w:vAlign w:val="center"/>
                </w:tcPr>
                <w:p>
                  <w:pPr>
                    <w:jc w:val="center"/>
                  </w:pPr>
                  <w:r>
                    <w:t>GB3095-2012中</w:t>
                  </w:r>
                </w:p>
                <w:p>
                  <w:pPr>
                    <w:jc w:val="center"/>
                  </w:pPr>
                  <w:r>
                    <w:t>二级标准</w:t>
                  </w:r>
                </w:p>
                <w:p>
                  <w:pPr>
                    <w:jc w:val="center"/>
                    <w:rPr>
                      <w:rFonts w:hint="eastAsia"/>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0" w:hRule="atLeast"/>
              </w:trPr>
              <w:tc>
                <w:tcPr>
                  <w:tcW w:w="581" w:type="dxa"/>
                  <w:tcBorders>
                    <w:top w:val="single" w:color="auto" w:sz="4" w:space="0"/>
                    <w:left w:val="single" w:color="auto" w:sz="4" w:space="0"/>
                    <w:bottom w:val="single" w:color="auto" w:sz="4" w:space="0"/>
                    <w:right w:val="single" w:color="auto" w:sz="4" w:space="0"/>
                  </w:tcBorders>
                  <w:vAlign w:val="center"/>
                </w:tcPr>
                <w:p>
                  <w:pPr>
                    <w:jc w:val="center"/>
                  </w:pPr>
                  <w:r>
                    <w:t>2</w:t>
                  </w:r>
                </w:p>
              </w:tc>
              <w:tc>
                <w:tcPr>
                  <w:tcW w:w="1196" w:type="dxa"/>
                  <w:tcBorders>
                    <w:top w:val="single" w:color="auto" w:sz="4" w:space="0"/>
                    <w:left w:val="single" w:color="auto" w:sz="4" w:space="0"/>
                    <w:bottom w:val="single" w:color="auto" w:sz="4" w:space="0"/>
                    <w:right w:val="single" w:color="auto" w:sz="4" w:space="0"/>
                  </w:tcBorders>
                  <w:vAlign w:val="center"/>
                </w:tcPr>
                <w:p>
                  <w:pPr>
                    <w:jc w:val="center"/>
                  </w:pPr>
                  <w:r>
                    <w:t>PM10</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t>0.15</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t>0.07</w:t>
                  </w:r>
                </w:p>
              </w:tc>
              <w:tc>
                <w:tcPr>
                  <w:tcW w:w="1784" w:type="dxa"/>
                  <w:vMerge w:val="continue"/>
                  <w:tcBorders>
                    <w:left w:val="single" w:color="auto" w:sz="4" w:space="0"/>
                    <w:right w:val="single" w:color="auto" w:sz="12" w:space="0"/>
                  </w:tcBorders>
                  <w:vAlign w:val="center"/>
                </w:tcPr>
                <w:p>
                  <w:pPr>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0" w:hRule="atLeast"/>
              </w:trPr>
              <w:tc>
                <w:tcPr>
                  <w:tcW w:w="581" w:type="dxa"/>
                  <w:tcBorders>
                    <w:top w:val="single" w:color="auto" w:sz="4" w:space="0"/>
                    <w:left w:val="single" w:color="auto" w:sz="4" w:space="0"/>
                    <w:bottom w:val="single" w:color="auto" w:sz="4" w:space="0"/>
                    <w:right w:val="single" w:color="auto" w:sz="4" w:space="0"/>
                  </w:tcBorders>
                  <w:vAlign w:val="center"/>
                </w:tcPr>
                <w:p>
                  <w:pPr>
                    <w:jc w:val="center"/>
                  </w:pPr>
                  <w:r>
                    <w:t>3</w:t>
                  </w:r>
                </w:p>
              </w:tc>
              <w:tc>
                <w:tcPr>
                  <w:tcW w:w="1196" w:type="dxa"/>
                  <w:tcBorders>
                    <w:top w:val="single" w:color="auto" w:sz="4" w:space="0"/>
                    <w:left w:val="single" w:color="auto" w:sz="4" w:space="0"/>
                    <w:bottom w:val="single" w:color="auto" w:sz="4" w:space="0"/>
                    <w:right w:val="single" w:color="auto" w:sz="4" w:space="0"/>
                  </w:tcBorders>
                  <w:vAlign w:val="center"/>
                </w:tcPr>
                <w:p>
                  <w:pPr>
                    <w:jc w:val="center"/>
                  </w:pPr>
                  <w:r>
                    <w:t>NO2</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t>0.20</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t>0.08</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t>0.04</w:t>
                  </w:r>
                </w:p>
              </w:tc>
              <w:tc>
                <w:tcPr>
                  <w:tcW w:w="1784" w:type="dxa"/>
                  <w:vMerge w:val="continue"/>
                  <w:tcBorders>
                    <w:left w:val="single" w:color="auto" w:sz="4" w:space="0"/>
                    <w:right w:val="single" w:color="auto" w:sz="12" w:space="0"/>
                  </w:tcBorders>
                  <w:vAlign w:val="center"/>
                </w:tcPr>
                <w:p>
                  <w:pPr>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0" w:hRule="atLeast"/>
              </w:trPr>
              <w:tc>
                <w:tcPr>
                  <w:tcW w:w="58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4</w:t>
                  </w:r>
                </w:p>
              </w:tc>
              <w:tc>
                <w:tcPr>
                  <w:tcW w:w="1196" w:type="dxa"/>
                  <w:tcBorders>
                    <w:top w:val="single" w:color="auto" w:sz="4" w:space="0"/>
                    <w:left w:val="single" w:color="auto" w:sz="4" w:space="0"/>
                    <w:bottom w:val="single" w:color="auto" w:sz="4" w:space="0"/>
                    <w:right w:val="single" w:color="auto" w:sz="4" w:space="0"/>
                  </w:tcBorders>
                  <w:vAlign w:val="center"/>
                </w:tcPr>
                <w:p>
                  <w:pPr>
                    <w:jc w:val="center"/>
                  </w:pPr>
                  <w:r>
                    <w:t>PM</w:t>
                  </w:r>
                  <w:r>
                    <w:rPr>
                      <w:rFonts w:hint="eastAsia"/>
                    </w:rPr>
                    <w:t>2.5</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0.075</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0.035</w:t>
                  </w:r>
                </w:p>
              </w:tc>
              <w:tc>
                <w:tcPr>
                  <w:tcW w:w="1784" w:type="dxa"/>
                  <w:vMerge w:val="continue"/>
                  <w:tcBorders>
                    <w:left w:val="single" w:color="auto" w:sz="4" w:space="0"/>
                    <w:right w:val="single" w:color="auto" w:sz="12" w:space="0"/>
                  </w:tcBorders>
                  <w:vAlign w:val="center"/>
                </w:tcPr>
                <w:p>
                  <w:pPr>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0" w:hRule="atLeast"/>
              </w:trPr>
              <w:tc>
                <w:tcPr>
                  <w:tcW w:w="58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w:t>
                  </w:r>
                </w:p>
              </w:tc>
              <w:tc>
                <w:tcPr>
                  <w:tcW w:w="119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CO</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10000</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4000</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w:t>
                  </w:r>
                </w:p>
              </w:tc>
              <w:tc>
                <w:tcPr>
                  <w:tcW w:w="1784" w:type="dxa"/>
                  <w:vMerge w:val="continue"/>
                  <w:tcBorders>
                    <w:left w:val="single" w:color="auto" w:sz="4" w:space="0"/>
                    <w:right w:val="single" w:color="auto" w:sz="12" w:space="0"/>
                  </w:tcBorders>
                  <w:vAlign w:val="center"/>
                </w:tcPr>
                <w:p>
                  <w:pPr>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trPr>
              <w:tc>
                <w:tcPr>
                  <w:tcW w:w="58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6</w:t>
                  </w:r>
                </w:p>
              </w:tc>
              <w:tc>
                <w:tcPr>
                  <w:tcW w:w="119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臭氧</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0.2</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日最大8小时0.16</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w:t>
                  </w:r>
                </w:p>
              </w:tc>
              <w:tc>
                <w:tcPr>
                  <w:tcW w:w="1784" w:type="dxa"/>
                  <w:vMerge w:val="continue"/>
                  <w:tcBorders>
                    <w:left w:val="single" w:color="auto" w:sz="4" w:space="0"/>
                    <w:right w:val="single" w:color="auto" w:sz="12" w:space="0"/>
                  </w:tcBorders>
                  <w:vAlign w:val="center"/>
                </w:tcPr>
                <w:p>
                  <w:pPr>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2" w:hRule="atLeast"/>
              </w:trPr>
              <w:tc>
                <w:tcPr>
                  <w:tcW w:w="581" w:type="dxa"/>
                  <w:tcBorders>
                    <w:top w:val="single" w:color="auto" w:sz="4" w:space="0"/>
                    <w:left w:val="single" w:color="auto" w:sz="4" w:space="0"/>
                    <w:bottom w:val="single" w:color="auto" w:sz="12" w:space="0"/>
                    <w:right w:val="single" w:color="auto" w:sz="4" w:space="0"/>
                  </w:tcBorders>
                  <w:vAlign w:val="center"/>
                </w:tcPr>
                <w:p>
                  <w:pPr>
                    <w:jc w:val="center"/>
                    <w:rPr>
                      <w:rFonts w:hint="eastAsia"/>
                      <w:lang w:val="en-US" w:eastAsia="zh-CN"/>
                    </w:rPr>
                  </w:pPr>
                  <w:r>
                    <w:rPr>
                      <w:rFonts w:hint="eastAsia"/>
                      <w:lang w:val="en-US" w:eastAsia="zh-CN"/>
                    </w:rPr>
                    <w:t>7</w:t>
                  </w:r>
                </w:p>
              </w:tc>
              <w:tc>
                <w:tcPr>
                  <w:tcW w:w="1196" w:type="dxa"/>
                  <w:tcBorders>
                    <w:top w:val="single" w:color="auto" w:sz="4" w:space="0"/>
                    <w:left w:val="single" w:color="auto" w:sz="4" w:space="0"/>
                    <w:bottom w:val="single" w:color="auto" w:sz="12" w:space="0"/>
                    <w:right w:val="single" w:color="auto" w:sz="4" w:space="0"/>
                  </w:tcBorders>
                  <w:vAlign w:val="center"/>
                </w:tcPr>
                <w:p>
                  <w:pPr>
                    <w:jc w:val="center"/>
                    <w:rPr>
                      <w:rFonts w:hint="default"/>
                      <w:lang w:val="en-US" w:eastAsia="zh-CN"/>
                    </w:rPr>
                  </w:pPr>
                  <w:r>
                    <w:rPr>
                      <w:rFonts w:hint="eastAsia"/>
                      <w:lang w:val="en-US" w:eastAsia="zh-CN"/>
                    </w:rPr>
                    <w:t>TSP</w:t>
                  </w: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hint="default"/>
                      <w:lang w:val="en-US" w:eastAsia="zh-CN"/>
                    </w:rPr>
                  </w:pPr>
                  <w:r>
                    <w:rPr>
                      <w:rFonts w:hint="eastAsia"/>
                    </w:rPr>
                    <w:t>/</w:t>
                  </w:r>
                </w:p>
              </w:tc>
              <w:tc>
                <w:tcPr>
                  <w:tcW w:w="1286" w:type="dxa"/>
                  <w:tcBorders>
                    <w:top w:val="single" w:color="auto" w:sz="4" w:space="0"/>
                    <w:left w:val="single" w:color="auto" w:sz="4" w:space="0"/>
                    <w:bottom w:val="single" w:color="auto" w:sz="12" w:space="0"/>
                    <w:right w:val="single" w:color="auto" w:sz="4" w:space="0"/>
                  </w:tcBorders>
                  <w:vAlign w:val="center"/>
                </w:tcPr>
                <w:p>
                  <w:pPr>
                    <w:jc w:val="center"/>
                    <w:rPr>
                      <w:rFonts w:hint="default"/>
                      <w:lang w:val="en-US" w:eastAsia="zh-CN"/>
                    </w:rPr>
                  </w:pPr>
                  <w:r>
                    <w:rPr>
                      <w:rFonts w:hint="eastAsia"/>
                      <w:lang w:val="en-US" w:eastAsia="zh-CN"/>
                    </w:rPr>
                    <w:t>0.3</w:t>
                  </w:r>
                </w:p>
              </w:tc>
              <w:tc>
                <w:tcPr>
                  <w:tcW w:w="1287" w:type="dxa"/>
                  <w:tcBorders>
                    <w:top w:val="single" w:color="auto" w:sz="4" w:space="0"/>
                    <w:left w:val="single" w:color="auto" w:sz="4" w:space="0"/>
                    <w:bottom w:val="single" w:color="auto" w:sz="12" w:space="0"/>
                    <w:right w:val="single" w:color="auto" w:sz="4" w:space="0"/>
                  </w:tcBorders>
                  <w:vAlign w:val="center"/>
                </w:tcPr>
                <w:p>
                  <w:pPr>
                    <w:jc w:val="center"/>
                    <w:rPr>
                      <w:rFonts w:hint="eastAsia"/>
                      <w:lang w:val="en-US" w:eastAsia="zh-CN"/>
                    </w:rPr>
                  </w:pPr>
                  <w:r>
                    <w:rPr>
                      <w:rFonts w:hint="eastAsia"/>
                    </w:rPr>
                    <w:t>/</w:t>
                  </w:r>
                </w:p>
              </w:tc>
              <w:tc>
                <w:tcPr>
                  <w:tcW w:w="1784" w:type="dxa"/>
                  <w:vMerge w:val="continue"/>
                  <w:tcBorders>
                    <w:left w:val="single" w:color="auto" w:sz="4" w:space="0"/>
                    <w:bottom w:val="single" w:color="auto" w:sz="12" w:space="0"/>
                    <w:right w:val="single" w:color="auto" w:sz="12" w:space="0"/>
                  </w:tcBorders>
                  <w:vAlign w:val="center"/>
                </w:tcPr>
                <w:p>
                  <w:pPr>
                    <w:jc w:val="center"/>
                    <w:rPr>
                      <w:rFonts w:hint="eastAsia"/>
                      <w:lang w:val="en-US" w:eastAsia="zh-CN"/>
                    </w:rPr>
                  </w:pPr>
                </w:p>
              </w:tc>
            </w:tr>
          </w:tbl>
          <w:p>
            <w:pPr>
              <w:spacing w:line="360" w:lineRule="auto"/>
            </w:pPr>
            <w:r>
              <w:rPr>
                <w:rFonts w:hint="eastAsia"/>
              </w:rPr>
              <w:t>2、地表水环境执行</w:t>
            </w:r>
            <w:r>
              <w:t>《地表水环境质量标准》（GB3838</w:t>
            </w:r>
            <w:r>
              <w:rPr>
                <w:rFonts w:hint="eastAsia"/>
              </w:rPr>
              <w:t>-</w:t>
            </w:r>
            <w:r>
              <w:t>2002）</w:t>
            </w:r>
            <w:r>
              <w:rPr>
                <w:rFonts w:hint="eastAsia"/>
              </w:rPr>
              <w:t>中Ⅲ</w:t>
            </w:r>
            <w:r>
              <w:t>类标准</w:t>
            </w:r>
            <w:r>
              <w:rPr>
                <w:rFonts w:hint="eastAsia"/>
              </w:rPr>
              <w:t>；</w:t>
            </w:r>
          </w:p>
          <w:p>
            <w:pPr>
              <w:jc w:val="center"/>
            </w:pPr>
            <w:r>
              <w:t>表4-</w:t>
            </w:r>
            <w:r>
              <w:rPr>
                <w:rFonts w:hint="eastAsia"/>
              </w:rPr>
              <w:t>2</w:t>
            </w:r>
            <w:r>
              <w:t xml:space="preserve">   地表水环境质量标准      单位：mg/L，pH值</w:t>
            </w:r>
          </w:p>
          <w:tbl>
            <w:tblPr>
              <w:tblStyle w:val="28"/>
              <w:tblW w:w="79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07"/>
              <w:gridCol w:w="768"/>
              <w:gridCol w:w="646"/>
              <w:gridCol w:w="802"/>
              <w:gridCol w:w="669"/>
              <w:gridCol w:w="670"/>
              <w:gridCol w:w="751"/>
              <w:gridCol w:w="1078"/>
              <w:gridCol w:w="10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9" w:hRule="atLeast"/>
                <w:jc w:val="center"/>
              </w:trPr>
              <w:tc>
                <w:tcPr>
                  <w:tcW w:w="1507" w:type="dxa"/>
                  <w:tcBorders>
                    <w:top w:val="single" w:color="auto" w:sz="12" w:space="0"/>
                  </w:tcBorders>
                  <w:vAlign w:val="center"/>
                </w:tcPr>
                <w:p>
                  <w:pPr>
                    <w:ind w:left="-113" w:right="-113"/>
                    <w:jc w:val="center"/>
                  </w:pPr>
                  <w:r>
                    <w:t>项  目</w:t>
                  </w:r>
                </w:p>
              </w:tc>
              <w:tc>
                <w:tcPr>
                  <w:tcW w:w="768" w:type="dxa"/>
                  <w:tcBorders>
                    <w:top w:val="single" w:color="auto" w:sz="12" w:space="0"/>
                  </w:tcBorders>
                  <w:vAlign w:val="center"/>
                </w:tcPr>
                <w:p>
                  <w:pPr>
                    <w:ind w:left="-113" w:right="-113"/>
                    <w:jc w:val="center"/>
                  </w:pPr>
                  <w:r>
                    <w:t>pH</w:t>
                  </w:r>
                </w:p>
              </w:tc>
              <w:tc>
                <w:tcPr>
                  <w:tcW w:w="646" w:type="dxa"/>
                  <w:tcBorders>
                    <w:top w:val="single" w:color="auto" w:sz="12" w:space="0"/>
                  </w:tcBorders>
                  <w:vAlign w:val="center"/>
                </w:tcPr>
                <w:p>
                  <w:pPr>
                    <w:ind w:left="-108" w:right="-113"/>
                    <w:jc w:val="center"/>
                  </w:pPr>
                  <w:r>
                    <w:rPr>
                      <w:rFonts w:hint="eastAsia"/>
                    </w:rPr>
                    <w:t>C</w:t>
                  </w:r>
                  <w:r>
                    <w:t>OD</w:t>
                  </w:r>
                </w:p>
              </w:tc>
              <w:tc>
                <w:tcPr>
                  <w:tcW w:w="802" w:type="dxa"/>
                  <w:tcBorders>
                    <w:top w:val="single" w:color="auto" w:sz="12" w:space="0"/>
                  </w:tcBorders>
                  <w:vAlign w:val="center"/>
                </w:tcPr>
                <w:p>
                  <w:pPr>
                    <w:ind w:left="-113" w:right="-113"/>
                    <w:jc w:val="center"/>
                  </w:pPr>
                  <w:r>
                    <w:rPr>
                      <w:rFonts w:hint="eastAsia"/>
                    </w:rPr>
                    <w:t>B</w:t>
                  </w:r>
                  <w:r>
                    <w:t>OD</w:t>
                  </w:r>
                  <w:r>
                    <w:rPr>
                      <w:rFonts w:hint="eastAsia"/>
                    </w:rPr>
                    <w:t>5</w:t>
                  </w:r>
                </w:p>
              </w:tc>
              <w:tc>
                <w:tcPr>
                  <w:tcW w:w="669" w:type="dxa"/>
                  <w:tcBorders>
                    <w:top w:val="single" w:color="auto" w:sz="12" w:space="0"/>
                  </w:tcBorders>
                  <w:vAlign w:val="center"/>
                </w:tcPr>
                <w:p>
                  <w:pPr>
                    <w:ind w:left="-105" w:leftChars="-50" w:right="-113"/>
                    <w:jc w:val="center"/>
                  </w:pPr>
                  <w:r>
                    <w:t>氨氮</w:t>
                  </w:r>
                </w:p>
              </w:tc>
              <w:tc>
                <w:tcPr>
                  <w:tcW w:w="670" w:type="dxa"/>
                  <w:tcBorders>
                    <w:top w:val="single" w:color="auto" w:sz="12" w:space="0"/>
                  </w:tcBorders>
                  <w:vAlign w:val="center"/>
                </w:tcPr>
                <w:p>
                  <w:pPr>
                    <w:ind w:left="-105" w:leftChars="-50" w:right="-113"/>
                    <w:jc w:val="center"/>
                  </w:pPr>
                  <w:r>
                    <w:rPr>
                      <w:rFonts w:hint="eastAsia"/>
                    </w:rPr>
                    <w:t>总磷</w:t>
                  </w:r>
                </w:p>
              </w:tc>
              <w:tc>
                <w:tcPr>
                  <w:tcW w:w="751" w:type="dxa"/>
                  <w:tcBorders>
                    <w:top w:val="single" w:color="auto" w:sz="12" w:space="0"/>
                  </w:tcBorders>
                  <w:vAlign w:val="center"/>
                </w:tcPr>
                <w:p>
                  <w:pPr>
                    <w:ind w:left="-105" w:leftChars="-50" w:right="-113"/>
                    <w:jc w:val="center"/>
                  </w:pPr>
                  <w:r>
                    <w:rPr>
                      <w:rFonts w:hint="eastAsia"/>
                    </w:rPr>
                    <w:t>SS</w:t>
                  </w:r>
                </w:p>
              </w:tc>
              <w:tc>
                <w:tcPr>
                  <w:tcW w:w="1078" w:type="dxa"/>
                  <w:tcBorders>
                    <w:top w:val="single" w:color="auto" w:sz="12" w:space="0"/>
                  </w:tcBorders>
                  <w:vAlign w:val="center"/>
                </w:tcPr>
                <w:p>
                  <w:pPr>
                    <w:ind w:left="-105" w:leftChars="-50" w:right="-113"/>
                    <w:jc w:val="center"/>
                  </w:pPr>
                  <w:r>
                    <w:rPr>
                      <w:rFonts w:hint="eastAsia"/>
                    </w:rPr>
                    <w:t>石油类</w:t>
                  </w:r>
                </w:p>
              </w:tc>
              <w:tc>
                <w:tcPr>
                  <w:tcW w:w="1069" w:type="dxa"/>
                  <w:tcBorders>
                    <w:top w:val="single" w:color="auto" w:sz="12" w:space="0"/>
                    <w:right w:val="single" w:color="auto" w:sz="12" w:space="0"/>
                  </w:tcBorders>
                  <w:vAlign w:val="center"/>
                </w:tcPr>
                <w:p>
                  <w:pPr>
                    <w:ind w:left="-105" w:leftChars="-50" w:right="-113"/>
                    <w:jc w:val="center"/>
                  </w:pPr>
                  <w:r>
                    <w:rPr>
                      <w:rFonts w:hint="eastAsia"/>
                    </w:rPr>
                    <w:t>总氮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9" w:hRule="atLeast"/>
                <w:jc w:val="center"/>
              </w:trPr>
              <w:tc>
                <w:tcPr>
                  <w:tcW w:w="1507" w:type="dxa"/>
                  <w:tcBorders>
                    <w:left w:val="single" w:color="auto" w:sz="4" w:space="0"/>
                  </w:tcBorders>
                  <w:vAlign w:val="center"/>
                </w:tcPr>
                <w:p>
                  <w:pPr>
                    <w:ind w:left="-105" w:leftChars="-50" w:right="-105" w:rightChars="-50"/>
                    <w:jc w:val="center"/>
                  </w:pPr>
                  <w:r>
                    <w:t>Ⅲ类标准限值</w:t>
                  </w:r>
                </w:p>
              </w:tc>
              <w:tc>
                <w:tcPr>
                  <w:tcW w:w="768" w:type="dxa"/>
                  <w:vAlign w:val="center"/>
                </w:tcPr>
                <w:p>
                  <w:pPr>
                    <w:ind w:left="-113" w:right="-113"/>
                    <w:jc w:val="center"/>
                  </w:pPr>
                  <w:r>
                    <w:t>6～9</w:t>
                  </w:r>
                </w:p>
              </w:tc>
              <w:tc>
                <w:tcPr>
                  <w:tcW w:w="646" w:type="dxa"/>
                  <w:vAlign w:val="center"/>
                </w:tcPr>
                <w:p>
                  <w:pPr>
                    <w:ind w:left="-108" w:right="-113"/>
                    <w:jc w:val="center"/>
                  </w:pPr>
                  <w:r>
                    <w:rPr>
                      <w:rFonts w:hint="eastAsia"/>
                    </w:rPr>
                    <w:t>20</w:t>
                  </w:r>
                </w:p>
              </w:tc>
              <w:tc>
                <w:tcPr>
                  <w:tcW w:w="802" w:type="dxa"/>
                  <w:vAlign w:val="center"/>
                </w:tcPr>
                <w:p>
                  <w:pPr>
                    <w:ind w:left="-113" w:right="-113"/>
                    <w:jc w:val="center"/>
                  </w:pPr>
                  <w:r>
                    <w:rPr>
                      <w:rFonts w:hint="eastAsia"/>
                    </w:rPr>
                    <w:t>4</w:t>
                  </w:r>
                </w:p>
              </w:tc>
              <w:tc>
                <w:tcPr>
                  <w:tcW w:w="669" w:type="dxa"/>
                  <w:vAlign w:val="center"/>
                </w:tcPr>
                <w:p>
                  <w:pPr>
                    <w:pStyle w:val="20"/>
                    <w:pBdr>
                      <w:bottom w:val="none" w:color="auto" w:sz="0" w:space="0"/>
                    </w:pBdr>
                    <w:tabs>
                      <w:tab w:val="clear" w:pos="4153"/>
                      <w:tab w:val="clear" w:pos="8306"/>
                    </w:tabs>
                    <w:snapToGrid/>
                    <w:ind w:left="-113" w:right="-113"/>
                  </w:pPr>
                  <w:r>
                    <w:t>1.0</w:t>
                  </w:r>
                </w:p>
              </w:tc>
              <w:tc>
                <w:tcPr>
                  <w:tcW w:w="670" w:type="dxa"/>
                  <w:vAlign w:val="center"/>
                </w:tcPr>
                <w:p>
                  <w:pPr>
                    <w:pStyle w:val="20"/>
                    <w:pBdr>
                      <w:bottom w:val="none" w:color="auto" w:sz="0" w:space="0"/>
                    </w:pBdr>
                    <w:tabs>
                      <w:tab w:val="clear" w:pos="4153"/>
                      <w:tab w:val="clear" w:pos="8306"/>
                    </w:tabs>
                    <w:snapToGrid/>
                    <w:ind w:left="-113" w:right="-113"/>
                  </w:pPr>
                  <w:r>
                    <w:rPr>
                      <w:rFonts w:hint="eastAsia"/>
                    </w:rPr>
                    <w:t>0.05</w:t>
                  </w:r>
                </w:p>
              </w:tc>
              <w:tc>
                <w:tcPr>
                  <w:tcW w:w="751" w:type="dxa"/>
                  <w:vAlign w:val="center"/>
                </w:tcPr>
                <w:p>
                  <w:pPr>
                    <w:pStyle w:val="20"/>
                    <w:pBdr>
                      <w:bottom w:val="none" w:color="auto" w:sz="0" w:space="0"/>
                    </w:pBdr>
                    <w:tabs>
                      <w:tab w:val="clear" w:pos="4153"/>
                      <w:tab w:val="clear" w:pos="8306"/>
                    </w:tabs>
                    <w:snapToGrid/>
                    <w:ind w:left="-113" w:right="-113"/>
                  </w:pPr>
                  <w:r>
                    <w:rPr>
                      <w:rFonts w:hint="eastAsia"/>
                    </w:rPr>
                    <w:t>30</w:t>
                  </w:r>
                </w:p>
              </w:tc>
              <w:tc>
                <w:tcPr>
                  <w:tcW w:w="1078" w:type="dxa"/>
                  <w:vAlign w:val="center"/>
                </w:tcPr>
                <w:p>
                  <w:pPr>
                    <w:pStyle w:val="20"/>
                    <w:pBdr>
                      <w:bottom w:val="none" w:color="auto" w:sz="0" w:space="0"/>
                    </w:pBdr>
                    <w:tabs>
                      <w:tab w:val="clear" w:pos="4153"/>
                      <w:tab w:val="clear" w:pos="8306"/>
                    </w:tabs>
                    <w:snapToGrid/>
                    <w:ind w:left="-113" w:right="-113"/>
                  </w:pPr>
                  <w:r>
                    <w:rPr>
                      <w:rFonts w:hint="eastAsia"/>
                    </w:rPr>
                    <w:t>0.05</w:t>
                  </w:r>
                </w:p>
              </w:tc>
              <w:tc>
                <w:tcPr>
                  <w:tcW w:w="1069" w:type="dxa"/>
                  <w:tcBorders>
                    <w:right w:val="single" w:color="auto" w:sz="12" w:space="0"/>
                  </w:tcBorders>
                  <w:vAlign w:val="center"/>
                </w:tcPr>
                <w:p>
                  <w:pPr>
                    <w:pStyle w:val="20"/>
                    <w:pBdr>
                      <w:bottom w:val="none" w:color="auto" w:sz="0" w:space="0"/>
                    </w:pBdr>
                    <w:tabs>
                      <w:tab w:val="clear" w:pos="4153"/>
                      <w:tab w:val="clear" w:pos="8306"/>
                    </w:tabs>
                    <w:snapToGrid/>
                    <w:ind w:left="-113" w:right="-113"/>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8" w:hRule="atLeast"/>
                <w:jc w:val="center"/>
              </w:trPr>
              <w:tc>
                <w:tcPr>
                  <w:tcW w:w="7960" w:type="dxa"/>
                  <w:gridSpan w:val="9"/>
                  <w:tcBorders>
                    <w:left w:val="single" w:color="auto" w:sz="4" w:space="0"/>
                    <w:bottom w:val="single" w:color="auto" w:sz="12" w:space="0"/>
                    <w:right w:val="single" w:color="auto" w:sz="12" w:space="0"/>
                  </w:tcBorders>
                  <w:vAlign w:val="center"/>
                </w:tcPr>
                <w:p>
                  <w:pPr>
                    <w:pStyle w:val="12"/>
                    <w:ind w:left="-113" w:right="-113"/>
                  </w:pPr>
                  <w:r>
                    <w:rPr>
                      <w:rFonts w:hint="eastAsia"/>
                    </w:rPr>
                    <w:t>备注：SS执行《</w:t>
                  </w:r>
                  <w:r>
                    <w:t>地表水资源质量标准</w:t>
                  </w:r>
                  <w:r>
                    <w:rPr>
                      <w:rFonts w:hint="eastAsia"/>
                    </w:rPr>
                    <w:t>》第三级指标进行评价</w:t>
                  </w:r>
                </w:p>
              </w:tc>
            </w:tr>
          </w:tbl>
          <w:p>
            <w:pPr>
              <w:spacing w:line="360" w:lineRule="auto"/>
            </w:pPr>
            <w:r>
              <w:rPr>
                <w:rFonts w:hint="eastAsia"/>
              </w:rPr>
              <w:t>3、声环境执行</w:t>
            </w:r>
            <w:r>
              <w:t>《</w:t>
            </w:r>
            <w:r>
              <w:rPr>
                <w:rFonts w:hint="eastAsia"/>
              </w:rPr>
              <w:t>声</w:t>
            </w:r>
            <w:r>
              <w:t>环境</w:t>
            </w:r>
            <w:r>
              <w:rPr>
                <w:rFonts w:hint="eastAsia"/>
              </w:rPr>
              <w:t>质量</w:t>
            </w:r>
            <w:r>
              <w:t>标准》（GB3096</w:t>
            </w:r>
            <w:r>
              <w:rPr>
                <w:rFonts w:hint="eastAsia"/>
              </w:rPr>
              <w:t>-2008</w:t>
            </w:r>
            <w:r>
              <w:t>）中</w:t>
            </w:r>
            <w:r>
              <w:rPr>
                <w:rFonts w:hint="eastAsia"/>
              </w:rPr>
              <w:t>2</w:t>
            </w:r>
            <w:r>
              <w:t>类</w:t>
            </w:r>
            <w:r>
              <w:rPr>
                <w:rFonts w:hint="eastAsia"/>
              </w:rPr>
              <w:t>标准。</w:t>
            </w:r>
          </w:p>
          <w:p>
            <w:pPr>
              <w:jc w:val="center"/>
            </w:pPr>
            <w:r>
              <w:rPr>
                <w:rFonts w:hint="eastAsia"/>
              </w:rPr>
              <w:t>表4-3  声环境质量执行标准</w:t>
            </w:r>
          </w:p>
          <w:tbl>
            <w:tblPr>
              <w:tblStyle w:val="28"/>
              <w:tblW w:w="785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03"/>
              <w:gridCol w:w="2828"/>
              <w:gridCol w:w="282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28" w:hRule="atLeast"/>
                <w:jc w:val="center"/>
              </w:trPr>
              <w:tc>
                <w:tcPr>
                  <w:tcW w:w="2203" w:type="dxa"/>
                  <w:tcBorders>
                    <w:top w:val="single" w:color="auto" w:sz="12" w:space="0"/>
                  </w:tcBorders>
                  <w:vAlign w:val="center"/>
                </w:tcPr>
                <w:p>
                  <w:pPr>
                    <w:ind w:left="-105" w:leftChars="-50" w:right="-105" w:rightChars="-50"/>
                    <w:jc w:val="center"/>
                    <w:rPr>
                      <w:szCs w:val="22"/>
                    </w:rPr>
                  </w:pPr>
                  <w:r>
                    <w:rPr>
                      <w:szCs w:val="22"/>
                    </w:rPr>
                    <w:t>因子</w:t>
                  </w:r>
                </w:p>
              </w:tc>
              <w:tc>
                <w:tcPr>
                  <w:tcW w:w="2828" w:type="dxa"/>
                  <w:tcBorders>
                    <w:top w:val="single" w:color="auto" w:sz="12" w:space="0"/>
                  </w:tcBorders>
                  <w:vAlign w:val="center"/>
                </w:tcPr>
                <w:p>
                  <w:pPr>
                    <w:ind w:left="-105" w:leftChars="-50" w:right="-105" w:rightChars="-50"/>
                    <w:jc w:val="center"/>
                    <w:rPr>
                      <w:szCs w:val="22"/>
                    </w:rPr>
                  </w:pPr>
                  <w:r>
                    <w:rPr>
                      <w:szCs w:val="22"/>
                    </w:rPr>
                    <w:t>昼间</w:t>
                  </w:r>
                </w:p>
              </w:tc>
              <w:tc>
                <w:tcPr>
                  <w:tcW w:w="2828" w:type="dxa"/>
                  <w:tcBorders>
                    <w:top w:val="single" w:color="auto" w:sz="12" w:space="0"/>
                    <w:right w:val="single" w:color="auto" w:sz="12" w:space="0"/>
                  </w:tcBorders>
                  <w:vAlign w:val="center"/>
                </w:tcPr>
                <w:p>
                  <w:pPr>
                    <w:ind w:left="-105" w:leftChars="-50" w:right="-105" w:rightChars="-50"/>
                    <w:jc w:val="center"/>
                    <w:rPr>
                      <w:szCs w:val="22"/>
                    </w:rPr>
                  </w:pPr>
                  <w:r>
                    <w:rPr>
                      <w:szCs w:val="22"/>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3" w:hRule="atLeast"/>
                <w:jc w:val="center"/>
              </w:trPr>
              <w:tc>
                <w:tcPr>
                  <w:tcW w:w="2203" w:type="dxa"/>
                  <w:tcBorders>
                    <w:left w:val="single" w:color="auto" w:sz="4" w:space="0"/>
                    <w:bottom w:val="single" w:color="auto" w:sz="12" w:space="0"/>
                  </w:tcBorders>
                  <w:vAlign w:val="center"/>
                </w:tcPr>
                <w:p>
                  <w:pPr>
                    <w:ind w:left="-105" w:leftChars="-50" w:right="-105" w:rightChars="-50"/>
                    <w:jc w:val="center"/>
                    <w:rPr>
                      <w:szCs w:val="22"/>
                    </w:rPr>
                  </w:pPr>
                  <w:r>
                    <w:rPr>
                      <w:szCs w:val="22"/>
                    </w:rPr>
                    <w:t>标准值（d</w:t>
                  </w:r>
                  <w:r>
                    <w:rPr>
                      <w:rFonts w:hint="eastAsia"/>
                      <w:szCs w:val="22"/>
                    </w:rPr>
                    <w:t>B(A)</w:t>
                  </w:r>
                  <w:r>
                    <w:rPr>
                      <w:szCs w:val="22"/>
                    </w:rPr>
                    <w:t>）</w:t>
                  </w:r>
                </w:p>
              </w:tc>
              <w:tc>
                <w:tcPr>
                  <w:tcW w:w="2828" w:type="dxa"/>
                  <w:tcBorders>
                    <w:bottom w:val="single" w:color="auto" w:sz="12" w:space="0"/>
                  </w:tcBorders>
                  <w:vAlign w:val="center"/>
                </w:tcPr>
                <w:p>
                  <w:pPr>
                    <w:ind w:left="-105" w:leftChars="-50" w:right="-105" w:rightChars="-50"/>
                    <w:jc w:val="center"/>
                    <w:rPr>
                      <w:szCs w:val="22"/>
                    </w:rPr>
                  </w:pPr>
                  <w:r>
                    <w:rPr>
                      <w:rFonts w:hint="eastAsia"/>
                      <w:szCs w:val="22"/>
                    </w:rPr>
                    <w:t>60</w:t>
                  </w:r>
                </w:p>
              </w:tc>
              <w:tc>
                <w:tcPr>
                  <w:tcW w:w="2828" w:type="dxa"/>
                  <w:tcBorders>
                    <w:bottom w:val="single" w:color="auto" w:sz="12" w:space="0"/>
                    <w:right w:val="single" w:color="auto" w:sz="12" w:space="0"/>
                  </w:tcBorders>
                  <w:vAlign w:val="center"/>
                </w:tcPr>
                <w:p>
                  <w:pPr>
                    <w:ind w:left="-105" w:leftChars="-50" w:right="-105" w:rightChars="-50"/>
                    <w:jc w:val="center"/>
                    <w:rPr>
                      <w:szCs w:val="22"/>
                    </w:rPr>
                  </w:pPr>
                  <w:r>
                    <w:rPr>
                      <w:rFonts w:hint="eastAsia"/>
                      <w:szCs w:val="22"/>
                    </w:rPr>
                    <w:t>50</w:t>
                  </w:r>
                </w:p>
              </w:tc>
            </w:tr>
          </w:tbl>
          <w:p>
            <w:pPr>
              <w:spacing w:line="360" w:lineRule="auto"/>
              <w:rPr>
                <w:rFonts w:hint="eastAsia"/>
                <w:szCs w:val="22"/>
              </w:rPr>
            </w:pPr>
            <w:r>
              <w:rPr>
                <w:rFonts w:hint="eastAsia"/>
                <w:szCs w:val="22"/>
                <w:lang w:val="en-US" w:eastAsia="zh-CN"/>
              </w:rPr>
              <w:t>4、</w:t>
            </w:r>
            <w:r>
              <w:rPr>
                <w:rFonts w:hint="eastAsia"/>
                <w:szCs w:val="22"/>
              </w:rPr>
              <w:t>土壤执行《土壤环境质量 建设用地土壤污染风险管控标准（试行）》（GB36600-2018）标准中表1标准。</w:t>
            </w:r>
          </w:p>
          <w:p>
            <w:pPr>
              <w:ind w:firstLine="422"/>
              <w:jc w:val="center"/>
              <w:rPr>
                <w:b w:val="0"/>
                <w:bCs/>
                <w:color w:val="auto"/>
              </w:rPr>
            </w:pPr>
            <w:r>
              <w:rPr>
                <w:rFonts w:hAnsi="宋体"/>
                <w:b w:val="0"/>
                <w:bCs/>
                <w:color w:val="auto"/>
                <w:szCs w:val="21"/>
              </w:rPr>
              <w:t>表</w:t>
            </w:r>
            <w:r>
              <w:rPr>
                <w:rFonts w:hint="eastAsia"/>
                <w:b w:val="0"/>
                <w:bCs/>
                <w:color w:val="auto"/>
                <w:szCs w:val="21"/>
                <w:lang w:val="en-US" w:eastAsia="zh-CN"/>
              </w:rPr>
              <w:t>4-4</w:t>
            </w:r>
            <w:r>
              <w:rPr>
                <w:rFonts w:hAnsi="宋体"/>
                <w:b w:val="0"/>
                <w:bCs/>
                <w:color w:val="auto"/>
                <w:szCs w:val="21"/>
              </w:rPr>
              <w:t>土壤环境质量标准</w:t>
            </w:r>
            <w:r>
              <w:rPr>
                <w:b w:val="0"/>
                <w:bCs/>
                <w:color w:val="auto"/>
                <w:szCs w:val="21"/>
              </w:rPr>
              <w:t xml:space="preserve">     </w:t>
            </w:r>
            <w:r>
              <w:rPr>
                <w:rFonts w:hint="eastAsia"/>
                <w:b w:val="0"/>
                <w:bCs/>
                <w:color w:val="auto"/>
                <w:szCs w:val="21"/>
              </w:rPr>
              <w:t xml:space="preserve"> </w:t>
            </w:r>
            <w:r>
              <w:rPr>
                <w:rFonts w:ascii="宋体" w:hAnsi="宋体"/>
                <w:b w:val="0"/>
                <w:bCs/>
                <w:color w:val="auto"/>
                <w:szCs w:val="21"/>
              </w:rPr>
              <w:t>（单位：</w:t>
            </w:r>
            <w:r>
              <w:rPr>
                <w:b w:val="0"/>
                <w:bCs/>
                <w:color w:val="auto"/>
                <w:szCs w:val="21"/>
              </w:rPr>
              <w:t>mg/kg</w:t>
            </w:r>
            <w:r>
              <w:rPr>
                <w:rFonts w:ascii="宋体" w:hAnsi="宋体"/>
                <w:b w:val="0"/>
                <w:bCs/>
                <w:color w:val="auto"/>
                <w:szCs w:val="21"/>
              </w:rPr>
              <w:t>，</w:t>
            </w:r>
            <w:r>
              <w:rPr>
                <w:b w:val="0"/>
                <w:bCs/>
                <w:color w:val="auto"/>
                <w:szCs w:val="21"/>
              </w:rPr>
              <w:t>pH</w:t>
            </w:r>
            <w:r>
              <w:rPr>
                <w:rFonts w:ascii="宋体" w:hAnsi="宋体"/>
                <w:b w:val="0"/>
                <w:bCs/>
                <w:color w:val="auto"/>
                <w:szCs w:val="21"/>
              </w:rPr>
              <w:t>除外）</w:t>
            </w:r>
          </w:p>
          <w:tbl>
            <w:tblPr>
              <w:tblStyle w:val="28"/>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537"/>
              <w:gridCol w:w="1295"/>
              <w:gridCol w:w="1497"/>
              <w:gridCol w:w="18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78" w:type="dxa"/>
                  <w:vMerge w:val="restart"/>
                  <w:tcBorders>
                    <w:top w:val="single" w:color="auto" w:sz="12"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序号</w:t>
                  </w:r>
                </w:p>
              </w:tc>
              <w:tc>
                <w:tcPr>
                  <w:tcW w:w="2537" w:type="dxa"/>
                  <w:vMerge w:val="restart"/>
                  <w:tcBorders>
                    <w:top w:val="single" w:color="auto" w:sz="12"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污染物项目</w:t>
                  </w:r>
                </w:p>
              </w:tc>
              <w:tc>
                <w:tcPr>
                  <w:tcW w:w="1295" w:type="dxa"/>
                  <w:tcBorders>
                    <w:top w:val="single" w:color="auto" w:sz="12"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筛选值</w:t>
                  </w:r>
                </w:p>
              </w:tc>
              <w:tc>
                <w:tcPr>
                  <w:tcW w:w="1497" w:type="dxa"/>
                  <w:tcBorders>
                    <w:top w:val="single" w:color="auto" w:sz="12"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管制值</w:t>
                  </w:r>
                </w:p>
              </w:tc>
              <w:tc>
                <w:tcPr>
                  <w:tcW w:w="1830" w:type="dxa"/>
                  <w:tcBorders>
                    <w:top w:val="single" w:color="auto" w:sz="12" w:space="0"/>
                    <w:left w:val="single" w:color="auto" w:sz="4" w:space="0"/>
                    <w:bottom w:val="single" w:color="auto" w:sz="4" w:space="0"/>
                    <w:right w:val="single" w:color="auto" w:sz="12" w:space="0"/>
                  </w:tcBorders>
                  <w:noWrap w:val="0"/>
                  <w:vAlign w:val="center"/>
                </w:tcPr>
                <w:p>
                  <w:pPr>
                    <w:ind w:left="-105" w:leftChars="-50" w:right="-105" w:rightChars="-50"/>
                    <w:jc w:val="center"/>
                    <w:rPr>
                      <w:szCs w:val="22"/>
                    </w:rPr>
                  </w:pPr>
                  <w:r>
                    <w:rPr>
                      <w:szCs w:val="22"/>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78" w:type="dxa"/>
                  <w:vMerge w:val="continue"/>
                  <w:tcBorders>
                    <w:top w:val="single" w:color="auto" w:sz="12"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p>
              </w:tc>
              <w:tc>
                <w:tcPr>
                  <w:tcW w:w="2537" w:type="dxa"/>
                  <w:vMerge w:val="continue"/>
                  <w:tcBorders>
                    <w:top w:val="single" w:color="auto" w:sz="12"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第二类用地</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第二类用地</w:t>
                  </w:r>
                </w:p>
              </w:tc>
              <w:tc>
                <w:tcPr>
                  <w:tcW w:w="1830" w:type="dxa"/>
                  <w:vMerge w:val="restart"/>
                  <w:tcBorders>
                    <w:top w:val="single" w:color="auto" w:sz="4" w:space="0"/>
                    <w:left w:val="single" w:color="auto" w:sz="4" w:space="0"/>
                    <w:bottom w:val="single" w:color="auto" w:sz="4" w:space="0"/>
                    <w:right w:val="single" w:color="auto" w:sz="12" w:space="0"/>
                  </w:tcBorders>
                  <w:noWrap w:val="0"/>
                  <w:vAlign w:val="center"/>
                </w:tcPr>
                <w:p>
                  <w:pPr>
                    <w:ind w:left="-105" w:leftChars="-50" w:right="-105" w:rightChars="-50"/>
                    <w:jc w:val="center"/>
                    <w:rPr>
                      <w:szCs w:val="22"/>
                    </w:rPr>
                  </w:pPr>
                  <w:r>
                    <w:rPr>
                      <w:rFonts w:hint="eastAsia"/>
                      <w:szCs w:val="22"/>
                    </w:rPr>
                    <w:t>《土壤环境质量建设用地土壤污染风险管控标准》（GB36600-2018）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60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140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镉</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65</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172</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铬（六价）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5.7</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78</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4</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铜</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18000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36000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5</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铅</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800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2500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6</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汞</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38</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82</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7</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镍</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900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2000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8</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四氯化碳</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2.8</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36</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9</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氯仿</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0.9</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10</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氯甲烷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37</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11</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1,1-二氯乙烷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9</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12</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1,2-二氯乙烷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21</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13</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1,1-二氯乙烯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66</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14</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顺-1,2-二氯乙烯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596</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2000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15</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反-1,2-二氯乙烯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54</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163</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16</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二氯甲烷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616</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2000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17</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1，2-二氯丙烷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47</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18</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1,1,1,2-四氯乙烷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19</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1,1,2,2-四氯乙烷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6.8</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20</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四氯乙烯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53</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183</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21</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1，1，1-三氯乙烷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840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840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22</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1，1，2三氯乙烷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2.8</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23</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三氯乙烯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2.8</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24</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1，2，3-三氯乙烷</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0.5</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25</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氯乙烯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0.43</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4.3</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26</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4</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40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27</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氯苯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270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1000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28</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1，2-二氯苯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560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560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29</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1，4-二氯苯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30</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乙苯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28</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280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31</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苯乙烯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1290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1290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32</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甲苯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1200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33</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间二甲苯+对二甲苯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570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570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34</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邻二甲苯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640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640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35</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硝基苯</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76</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760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36</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苯胺</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260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263</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37</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2-氯酚</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2256</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4500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38</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苯并[a]蒽</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151</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39</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苯并[a]芘</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40</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二苯并[a,h]蒽</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41</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萘</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70</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700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42</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苯并[b]荧蒽</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151</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43</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苯并[k]荧蒽</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151</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44</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茚并[1,2,3-cd]芘</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151</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8" w:type="dxa"/>
                  <w:tcBorders>
                    <w:top w:val="single" w:color="auto" w:sz="4" w:space="0"/>
                    <w:left w:val="single" w:color="auto" w:sz="12" w:space="0"/>
                    <w:bottom w:val="single" w:color="auto" w:sz="4" w:space="0"/>
                    <w:right w:val="single" w:color="auto" w:sz="4" w:space="0"/>
                  </w:tcBorders>
                  <w:noWrap w:val="0"/>
                  <w:vAlign w:val="center"/>
                </w:tcPr>
                <w:p>
                  <w:pPr>
                    <w:ind w:left="-105" w:leftChars="-50" w:right="-105" w:rightChars="-50"/>
                    <w:jc w:val="center"/>
                    <w:rPr>
                      <w:szCs w:val="22"/>
                    </w:rPr>
                  </w:pPr>
                  <w:r>
                    <w:rPr>
                      <w:szCs w:val="22"/>
                    </w:rPr>
                    <w:t>45</w:t>
                  </w:r>
                </w:p>
              </w:tc>
              <w:tc>
                <w:tcPr>
                  <w:tcW w:w="253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䓛</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1293</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ind w:left="-105" w:leftChars="-50" w:right="-105" w:rightChars="-50"/>
                    <w:jc w:val="center"/>
                    <w:rPr>
                      <w:szCs w:val="22"/>
                    </w:rPr>
                  </w:pPr>
                  <w:r>
                    <w:rPr>
                      <w:szCs w:val="22"/>
                    </w:rPr>
                    <w:t>12900</w:t>
                  </w:r>
                </w:p>
              </w:tc>
              <w:tc>
                <w:tcPr>
                  <w:tcW w:w="1830" w:type="dxa"/>
                  <w:vMerge w:val="continue"/>
                  <w:tcBorders>
                    <w:top w:val="single" w:color="auto" w:sz="4" w:space="0"/>
                    <w:left w:val="single" w:color="auto" w:sz="4" w:space="0"/>
                    <w:bottom w:val="single" w:color="auto" w:sz="4" w:space="0"/>
                    <w:right w:val="single" w:color="auto" w:sz="12" w:space="0"/>
                  </w:tcBorders>
                  <w:noWrap w:val="0"/>
                  <w:vAlign w:val="center"/>
                </w:tcPr>
                <w:p>
                  <w:pPr>
                    <w:widowControl/>
                    <w:jc w:val="left"/>
                    <w:rPr>
                      <w:color w:val="FF0000"/>
                      <w:kern w:val="0"/>
                      <w:szCs w:val="21"/>
                    </w:rPr>
                  </w:pPr>
                </w:p>
              </w:tc>
            </w:tr>
          </w:tbl>
          <w:p>
            <w:pPr>
              <w:pStyle w:val="2"/>
              <w:numPr>
                <w:ilvl w:val="0"/>
                <w:numId w:val="0"/>
              </w:numPr>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436" w:hRule="atLeast"/>
          <w:jc w:val="center"/>
        </w:trPr>
        <w:tc>
          <w:tcPr>
            <w:tcW w:w="416" w:type="dxa"/>
            <w:tcBorders>
              <w:top w:val="single" w:color="auto" w:sz="4" w:space="0"/>
              <w:bottom w:val="single" w:color="auto" w:sz="4" w:space="0"/>
              <w:right w:val="single" w:color="auto" w:sz="4" w:space="0"/>
            </w:tcBorders>
            <w:vAlign w:val="center"/>
          </w:tcPr>
          <w:p>
            <w:pPr>
              <w:spacing w:line="360" w:lineRule="auto"/>
              <w:ind w:right="105" w:rightChars="50"/>
              <w:rPr>
                <w:sz w:val="24"/>
              </w:rPr>
            </w:pPr>
            <w:r>
              <w:rPr>
                <w:sz w:val="24"/>
              </w:rPr>
              <w:t>污</w:t>
            </w:r>
          </w:p>
          <w:p>
            <w:pPr>
              <w:spacing w:line="360" w:lineRule="auto"/>
              <w:ind w:right="105" w:rightChars="50"/>
              <w:rPr>
                <w:sz w:val="24"/>
              </w:rPr>
            </w:pPr>
            <w:r>
              <w:rPr>
                <w:sz w:val="24"/>
              </w:rPr>
              <w:t>染</w:t>
            </w:r>
          </w:p>
          <w:p>
            <w:pPr>
              <w:spacing w:line="360" w:lineRule="auto"/>
              <w:ind w:right="105" w:rightChars="50"/>
              <w:rPr>
                <w:sz w:val="24"/>
              </w:rPr>
            </w:pPr>
            <w:r>
              <w:rPr>
                <w:sz w:val="24"/>
              </w:rPr>
              <w:t>物</w:t>
            </w:r>
          </w:p>
          <w:p>
            <w:pPr>
              <w:spacing w:line="360" w:lineRule="auto"/>
              <w:ind w:right="105" w:rightChars="50"/>
              <w:rPr>
                <w:sz w:val="24"/>
              </w:rPr>
            </w:pPr>
            <w:r>
              <w:rPr>
                <w:sz w:val="24"/>
              </w:rPr>
              <w:t>排</w:t>
            </w:r>
          </w:p>
          <w:p>
            <w:pPr>
              <w:spacing w:line="360" w:lineRule="auto"/>
              <w:ind w:right="105" w:rightChars="50"/>
              <w:rPr>
                <w:sz w:val="24"/>
              </w:rPr>
            </w:pPr>
            <w:r>
              <w:rPr>
                <w:sz w:val="24"/>
              </w:rPr>
              <w:t>放</w:t>
            </w:r>
          </w:p>
          <w:p>
            <w:pPr>
              <w:spacing w:line="360" w:lineRule="auto"/>
              <w:ind w:right="105" w:rightChars="50"/>
              <w:rPr>
                <w:sz w:val="24"/>
              </w:rPr>
            </w:pPr>
            <w:r>
              <w:rPr>
                <w:sz w:val="24"/>
              </w:rPr>
              <w:t>标</w:t>
            </w:r>
          </w:p>
          <w:p>
            <w:pPr>
              <w:spacing w:line="360" w:lineRule="auto"/>
              <w:ind w:right="105" w:rightChars="50"/>
              <w:rPr>
                <w:sz w:val="24"/>
              </w:rPr>
            </w:pPr>
            <w:r>
              <w:rPr>
                <w:sz w:val="24"/>
              </w:rPr>
              <w:t>准</w:t>
            </w:r>
          </w:p>
        </w:tc>
        <w:tc>
          <w:tcPr>
            <w:tcW w:w="8106" w:type="dxa"/>
            <w:tcBorders>
              <w:top w:val="single" w:color="auto" w:sz="4" w:space="0"/>
              <w:left w:val="single" w:color="auto" w:sz="4" w:space="0"/>
              <w:bottom w:val="single" w:color="auto" w:sz="4" w:space="0"/>
            </w:tcBorders>
            <w:vAlign w:val="center"/>
          </w:tcPr>
          <w:p>
            <w:pPr>
              <w:spacing w:line="360" w:lineRule="auto"/>
              <w:rPr>
                <w:sz w:val="24"/>
              </w:rPr>
            </w:pPr>
            <w:r>
              <w:rPr>
                <w:rFonts w:hint="eastAsia"/>
                <w:sz w:val="24"/>
              </w:rPr>
              <w:t>1、项目作业场所废气执行</w:t>
            </w:r>
            <w:r>
              <w:rPr>
                <w:sz w:val="24"/>
              </w:rPr>
              <w:t>《</w:t>
            </w:r>
            <w:r>
              <w:rPr>
                <w:rFonts w:hint="eastAsia"/>
                <w:sz w:val="24"/>
              </w:rPr>
              <w:t>大气污染物综合排放标准</w:t>
            </w:r>
            <w:r>
              <w:rPr>
                <w:sz w:val="24"/>
              </w:rPr>
              <w:t>》（GB</w:t>
            </w:r>
            <w:r>
              <w:rPr>
                <w:rFonts w:hint="eastAsia"/>
                <w:sz w:val="24"/>
              </w:rPr>
              <w:t>16297</w:t>
            </w:r>
            <w:r>
              <w:rPr>
                <w:sz w:val="24"/>
              </w:rPr>
              <w:t>-</w:t>
            </w:r>
            <w:r>
              <w:rPr>
                <w:rFonts w:hint="eastAsia"/>
                <w:sz w:val="24"/>
              </w:rPr>
              <w:t>1996</w:t>
            </w:r>
            <w:r>
              <w:rPr>
                <w:sz w:val="24"/>
              </w:rPr>
              <w:t>）</w:t>
            </w:r>
            <w:r>
              <w:rPr>
                <w:rFonts w:hint="eastAsia"/>
                <w:sz w:val="24"/>
              </w:rPr>
              <w:t>表2中排放限值；食堂油烟执行</w:t>
            </w:r>
            <w:r>
              <w:rPr>
                <w:sz w:val="24"/>
              </w:rPr>
              <w:t>《饮食业油烟排放标准》（GB18489-2001）</w:t>
            </w:r>
            <w:r>
              <w:rPr>
                <w:rFonts w:hint="eastAsia"/>
                <w:sz w:val="24"/>
              </w:rPr>
              <w:t>中排放标准。</w:t>
            </w:r>
          </w:p>
          <w:p>
            <w:pPr>
              <w:jc w:val="center"/>
              <w:rPr>
                <w:sz w:val="24"/>
              </w:rPr>
            </w:pPr>
            <w:r>
              <w:rPr>
                <w:rFonts w:hint="eastAsia"/>
                <w:b/>
                <w:sz w:val="24"/>
              </w:rPr>
              <w:t>表4-</w:t>
            </w:r>
            <w:r>
              <w:rPr>
                <w:rFonts w:hint="eastAsia"/>
                <w:b/>
                <w:sz w:val="24"/>
                <w:lang w:val="en-US" w:eastAsia="zh-CN"/>
              </w:rPr>
              <w:t>4</w:t>
            </w:r>
            <w:r>
              <w:rPr>
                <w:rFonts w:hint="eastAsia"/>
                <w:b/>
                <w:sz w:val="24"/>
              </w:rPr>
              <w:t xml:space="preserve">  项目大气污染物排放执行标准</w:t>
            </w:r>
          </w:p>
          <w:tbl>
            <w:tblPr>
              <w:tblStyle w:val="28"/>
              <w:tblW w:w="764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74"/>
              <w:gridCol w:w="2775"/>
              <w:gridCol w:w="2004"/>
              <w:gridCol w:w="14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4" w:hRule="atLeast"/>
                <w:jc w:val="center"/>
              </w:trPr>
              <w:tc>
                <w:tcPr>
                  <w:tcW w:w="1374" w:type="dxa"/>
                  <w:vMerge w:val="restart"/>
                  <w:tcBorders>
                    <w:top w:val="single" w:color="auto" w:sz="12" w:space="0"/>
                    <w:bottom w:val="single" w:color="auto" w:sz="4" w:space="0"/>
                    <w:right w:val="single" w:color="auto" w:sz="4" w:space="0"/>
                  </w:tcBorders>
                  <w:vAlign w:val="center"/>
                </w:tcPr>
                <w:p>
                  <w:pPr>
                    <w:pStyle w:val="101"/>
                    <w:adjustRightInd/>
                    <w:spacing w:line="240" w:lineRule="auto"/>
                    <w:rPr>
                      <w:sz w:val="21"/>
                      <w:szCs w:val="21"/>
                    </w:rPr>
                  </w:pPr>
                  <w:r>
                    <w:rPr>
                      <w:rFonts w:hint="eastAsia"/>
                      <w:sz w:val="21"/>
                      <w:szCs w:val="21"/>
                    </w:rPr>
                    <w:t>污染物</w:t>
                  </w:r>
                </w:p>
              </w:tc>
              <w:tc>
                <w:tcPr>
                  <w:tcW w:w="2775" w:type="dxa"/>
                  <w:vMerge w:val="restart"/>
                  <w:tcBorders>
                    <w:top w:val="single" w:color="auto" w:sz="12" w:space="0"/>
                    <w:left w:val="single" w:color="auto" w:sz="4" w:space="0"/>
                    <w:bottom w:val="single" w:color="auto" w:sz="4" w:space="0"/>
                    <w:right w:val="single" w:color="auto" w:sz="4" w:space="0"/>
                  </w:tcBorders>
                  <w:vAlign w:val="center"/>
                </w:tcPr>
                <w:p>
                  <w:pPr>
                    <w:pStyle w:val="101"/>
                    <w:rPr>
                      <w:sz w:val="21"/>
                      <w:szCs w:val="21"/>
                    </w:rPr>
                  </w:pPr>
                  <w:r>
                    <w:rPr>
                      <w:rFonts w:hint="eastAsia"/>
                      <w:sz w:val="21"/>
                      <w:szCs w:val="21"/>
                    </w:rPr>
                    <w:t>最高允许排放浓度（mg/m</w:t>
                  </w:r>
                  <w:r>
                    <w:rPr>
                      <w:rFonts w:hint="eastAsia"/>
                      <w:sz w:val="21"/>
                      <w:szCs w:val="21"/>
                      <w:vertAlign w:val="superscript"/>
                    </w:rPr>
                    <w:t>3</w:t>
                  </w:r>
                  <w:r>
                    <w:rPr>
                      <w:rFonts w:hint="eastAsia"/>
                      <w:sz w:val="21"/>
                      <w:szCs w:val="21"/>
                    </w:rPr>
                    <w:t>）</w:t>
                  </w:r>
                </w:p>
              </w:tc>
              <w:tc>
                <w:tcPr>
                  <w:tcW w:w="3491" w:type="dxa"/>
                  <w:gridSpan w:val="2"/>
                  <w:tcBorders>
                    <w:top w:val="single" w:color="auto" w:sz="12" w:space="0"/>
                    <w:left w:val="single" w:color="auto" w:sz="4" w:space="0"/>
                    <w:bottom w:val="single" w:color="auto" w:sz="4" w:space="0"/>
                    <w:right w:val="single" w:color="auto" w:sz="12" w:space="0"/>
                  </w:tcBorders>
                  <w:vAlign w:val="center"/>
                </w:tcPr>
                <w:p>
                  <w:pPr>
                    <w:pStyle w:val="101"/>
                    <w:rPr>
                      <w:sz w:val="21"/>
                      <w:szCs w:val="21"/>
                    </w:rPr>
                  </w:pPr>
                  <w:r>
                    <w:rPr>
                      <w:rFonts w:hint="eastAsia"/>
                      <w:sz w:val="21"/>
                      <w:szCs w:val="21"/>
                    </w:rPr>
                    <w:t>无组织排放监控浓度限制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02" w:hRule="atLeast"/>
                <w:jc w:val="center"/>
              </w:trPr>
              <w:tc>
                <w:tcPr>
                  <w:tcW w:w="1374" w:type="dxa"/>
                  <w:vMerge w:val="continue"/>
                  <w:tcBorders>
                    <w:top w:val="single" w:color="auto" w:sz="4" w:space="0"/>
                    <w:left w:val="single" w:color="auto" w:sz="4" w:space="0"/>
                    <w:bottom w:val="single" w:color="auto" w:sz="4" w:space="0"/>
                    <w:right w:val="single" w:color="auto" w:sz="4" w:space="0"/>
                  </w:tcBorders>
                  <w:vAlign w:val="center"/>
                </w:tcPr>
                <w:p>
                  <w:pPr>
                    <w:pStyle w:val="101"/>
                    <w:adjustRightInd/>
                    <w:spacing w:line="240" w:lineRule="auto"/>
                    <w:rPr>
                      <w:sz w:val="21"/>
                      <w:szCs w:val="21"/>
                    </w:rPr>
                  </w:pPr>
                </w:p>
              </w:tc>
              <w:tc>
                <w:tcPr>
                  <w:tcW w:w="2775" w:type="dxa"/>
                  <w:vMerge w:val="continue"/>
                  <w:tcBorders>
                    <w:top w:val="single" w:color="auto" w:sz="4" w:space="0"/>
                    <w:left w:val="single" w:color="auto" w:sz="4" w:space="0"/>
                    <w:bottom w:val="single" w:color="auto" w:sz="4" w:space="0"/>
                    <w:right w:val="single" w:color="auto" w:sz="4" w:space="0"/>
                  </w:tcBorders>
                  <w:vAlign w:val="center"/>
                </w:tcPr>
                <w:p>
                  <w:pPr>
                    <w:pStyle w:val="101"/>
                    <w:rPr>
                      <w:sz w:val="21"/>
                      <w:szCs w:val="21"/>
                    </w:rPr>
                  </w:pPr>
                </w:p>
              </w:tc>
              <w:tc>
                <w:tcPr>
                  <w:tcW w:w="2004" w:type="dxa"/>
                  <w:tcBorders>
                    <w:top w:val="single" w:color="auto" w:sz="4" w:space="0"/>
                    <w:left w:val="single" w:color="auto" w:sz="4" w:space="0"/>
                    <w:bottom w:val="single" w:color="auto" w:sz="4" w:space="0"/>
                    <w:right w:val="single" w:color="auto" w:sz="4" w:space="0"/>
                  </w:tcBorders>
                  <w:vAlign w:val="center"/>
                </w:tcPr>
                <w:p>
                  <w:pPr>
                    <w:pStyle w:val="101"/>
                    <w:rPr>
                      <w:sz w:val="21"/>
                      <w:szCs w:val="21"/>
                    </w:rPr>
                  </w:pPr>
                  <w:r>
                    <w:rPr>
                      <w:rFonts w:hint="eastAsia"/>
                      <w:sz w:val="21"/>
                      <w:szCs w:val="21"/>
                    </w:rPr>
                    <w:t>监控点</w:t>
                  </w:r>
                </w:p>
              </w:tc>
              <w:tc>
                <w:tcPr>
                  <w:tcW w:w="1487" w:type="dxa"/>
                  <w:tcBorders>
                    <w:top w:val="single" w:color="auto" w:sz="4" w:space="0"/>
                    <w:left w:val="single" w:color="auto" w:sz="4" w:space="0"/>
                    <w:bottom w:val="single" w:color="auto" w:sz="4" w:space="0"/>
                    <w:right w:val="single" w:color="auto" w:sz="12" w:space="0"/>
                  </w:tcBorders>
                  <w:vAlign w:val="center"/>
                </w:tcPr>
                <w:p>
                  <w:pPr>
                    <w:pStyle w:val="101"/>
                    <w:rPr>
                      <w:sz w:val="21"/>
                      <w:szCs w:val="21"/>
                    </w:rPr>
                  </w:pPr>
                  <w:r>
                    <w:rPr>
                      <w:rFonts w:hint="eastAsia"/>
                      <w:sz w:val="21"/>
                      <w:szCs w:val="21"/>
                    </w:rPr>
                    <w:t>浓度（mg/m</w:t>
                  </w:r>
                  <w:r>
                    <w:rPr>
                      <w:rFonts w:hint="eastAsia"/>
                      <w:sz w:val="21"/>
                      <w:szCs w:val="21"/>
                      <w:vertAlign w:val="superscript"/>
                    </w:rPr>
                    <w:t>3</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jc w:val="center"/>
              </w:trPr>
              <w:tc>
                <w:tcPr>
                  <w:tcW w:w="1374" w:type="dxa"/>
                  <w:tcBorders>
                    <w:top w:val="single" w:color="auto" w:sz="4" w:space="0"/>
                    <w:left w:val="single" w:color="auto" w:sz="4" w:space="0"/>
                    <w:bottom w:val="single" w:color="auto" w:sz="4" w:space="0"/>
                    <w:right w:val="single" w:color="auto" w:sz="4" w:space="0"/>
                  </w:tcBorders>
                  <w:vAlign w:val="center"/>
                </w:tcPr>
                <w:p>
                  <w:pPr>
                    <w:pStyle w:val="101"/>
                    <w:rPr>
                      <w:sz w:val="21"/>
                      <w:szCs w:val="21"/>
                    </w:rPr>
                  </w:pPr>
                  <w:r>
                    <w:rPr>
                      <w:rFonts w:hint="eastAsia"/>
                      <w:sz w:val="21"/>
                      <w:szCs w:val="21"/>
                    </w:rPr>
                    <w:t>颗粒物</w:t>
                  </w:r>
                </w:p>
              </w:tc>
              <w:tc>
                <w:tcPr>
                  <w:tcW w:w="2775" w:type="dxa"/>
                  <w:tcBorders>
                    <w:top w:val="single" w:color="auto" w:sz="4" w:space="0"/>
                    <w:left w:val="single" w:color="auto" w:sz="4" w:space="0"/>
                    <w:bottom w:val="single" w:color="auto" w:sz="4" w:space="0"/>
                    <w:right w:val="single" w:color="auto" w:sz="4" w:space="0"/>
                  </w:tcBorders>
                  <w:vAlign w:val="center"/>
                </w:tcPr>
                <w:p>
                  <w:pPr>
                    <w:pStyle w:val="101"/>
                    <w:rPr>
                      <w:sz w:val="21"/>
                      <w:szCs w:val="21"/>
                    </w:rPr>
                  </w:pPr>
                  <w:r>
                    <w:rPr>
                      <w:rFonts w:hint="eastAsia"/>
                      <w:sz w:val="21"/>
                      <w:szCs w:val="21"/>
                    </w:rPr>
                    <w:t>/</w:t>
                  </w:r>
                </w:p>
              </w:tc>
              <w:tc>
                <w:tcPr>
                  <w:tcW w:w="2004" w:type="dxa"/>
                  <w:tcBorders>
                    <w:top w:val="single" w:color="auto" w:sz="4" w:space="0"/>
                    <w:left w:val="single" w:color="auto" w:sz="4" w:space="0"/>
                    <w:bottom w:val="single" w:color="auto" w:sz="4" w:space="0"/>
                    <w:right w:val="single" w:color="auto" w:sz="4" w:space="0"/>
                  </w:tcBorders>
                  <w:vAlign w:val="center"/>
                </w:tcPr>
                <w:p>
                  <w:pPr>
                    <w:pStyle w:val="101"/>
                    <w:rPr>
                      <w:sz w:val="21"/>
                      <w:szCs w:val="21"/>
                    </w:rPr>
                  </w:pPr>
                  <w:r>
                    <w:rPr>
                      <w:rFonts w:hint="eastAsia"/>
                      <w:sz w:val="21"/>
                      <w:szCs w:val="21"/>
                    </w:rPr>
                    <w:t>周界外浓度最高点</w:t>
                  </w:r>
                </w:p>
              </w:tc>
              <w:tc>
                <w:tcPr>
                  <w:tcW w:w="1487" w:type="dxa"/>
                  <w:tcBorders>
                    <w:top w:val="single" w:color="auto" w:sz="4" w:space="0"/>
                    <w:left w:val="single" w:color="auto" w:sz="4" w:space="0"/>
                    <w:bottom w:val="single" w:color="auto" w:sz="4" w:space="0"/>
                    <w:right w:val="single" w:color="auto" w:sz="12" w:space="0"/>
                  </w:tcBorders>
                  <w:vAlign w:val="center"/>
                </w:tcPr>
                <w:p>
                  <w:pPr>
                    <w:pStyle w:val="101"/>
                    <w:rPr>
                      <w:sz w:val="21"/>
                      <w:szCs w:val="21"/>
                    </w:rPr>
                  </w:pPr>
                  <w:r>
                    <w:rPr>
                      <w:rFonts w:hint="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jc w:val="center"/>
              </w:trPr>
              <w:tc>
                <w:tcPr>
                  <w:tcW w:w="7640" w:type="dxa"/>
                  <w:gridSpan w:val="4"/>
                  <w:tcBorders>
                    <w:top w:val="single" w:color="auto" w:sz="4" w:space="0"/>
                    <w:left w:val="single" w:color="auto" w:sz="4" w:space="0"/>
                    <w:bottom w:val="single" w:color="auto" w:sz="4" w:space="0"/>
                    <w:right w:val="single" w:color="auto" w:sz="12" w:space="0"/>
                  </w:tcBorders>
                  <w:vAlign w:val="center"/>
                </w:tcPr>
                <w:p>
                  <w:pPr>
                    <w:pStyle w:val="101"/>
                    <w:rPr>
                      <w:sz w:val="21"/>
                      <w:szCs w:val="21"/>
                    </w:rPr>
                  </w:pPr>
                  <w:r>
                    <w:rPr>
                      <w:rFonts w:hint="eastAsia"/>
                      <w:kern w:val="2"/>
                      <w:sz w:val="21"/>
                      <w:szCs w:val="21"/>
                    </w:rPr>
                    <w:t>依据</w:t>
                  </w:r>
                  <w:r>
                    <w:rPr>
                      <w:kern w:val="2"/>
                      <w:sz w:val="21"/>
                      <w:szCs w:val="21"/>
                    </w:rPr>
                    <w:t>《</w:t>
                  </w:r>
                  <w:r>
                    <w:rPr>
                      <w:rFonts w:hint="eastAsia"/>
                      <w:kern w:val="2"/>
                      <w:sz w:val="21"/>
                      <w:szCs w:val="21"/>
                    </w:rPr>
                    <w:t>大气污染物综合排放标准</w:t>
                  </w:r>
                  <w:r>
                    <w:rPr>
                      <w:kern w:val="2"/>
                      <w:sz w:val="21"/>
                      <w:szCs w:val="21"/>
                    </w:rPr>
                    <w:t>》（GB</w:t>
                  </w:r>
                  <w:r>
                    <w:rPr>
                      <w:rFonts w:hint="eastAsia"/>
                      <w:kern w:val="2"/>
                      <w:sz w:val="21"/>
                      <w:szCs w:val="21"/>
                    </w:rPr>
                    <w:t>16297</w:t>
                  </w:r>
                  <w:r>
                    <w:rPr>
                      <w:kern w:val="2"/>
                      <w:sz w:val="21"/>
                      <w:szCs w:val="21"/>
                    </w:rPr>
                    <w:t>-</w:t>
                  </w:r>
                  <w:r>
                    <w:rPr>
                      <w:rFonts w:hint="eastAsia"/>
                      <w:kern w:val="2"/>
                      <w:sz w:val="21"/>
                      <w:szCs w:val="21"/>
                    </w:rPr>
                    <w:t>1996</w:t>
                  </w:r>
                  <w:r>
                    <w:rPr>
                      <w:kern w:val="2"/>
                      <w:sz w:val="21"/>
                      <w:szCs w:val="21"/>
                    </w:rPr>
                    <w:t>）</w:t>
                  </w:r>
                  <w:r>
                    <w:rPr>
                      <w:rFonts w:hint="eastAsia"/>
                      <w:kern w:val="2"/>
                      <w:sz w:val="21"/>
                      <w:szCs w:val="21"/>
                    </w:rPr>
                    <w:t>中排放标准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jc w:val="center"/>
              </w:trPr>
              <w:tc>
                <w:tcPr>
                  <w:tcW w:w="137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油烟</w:t>
                  </w:r>
                </w:p>
              </w:tc>
              <w:tc>
                <w:tcPr>
                  <w:tcW w:w="6266" w:type="dxa"/>
                  <w:gridSpan w:val="3"/>
                  <w:tcBorders>
                    <w:top w:val="single" w:color="auto" w:sz="4" w:space="0"/>
                    <w:left w:val="single" w:color="auto" w:sz="4" w:space="0"/>
                    <w:bottom w:val="single" w:color="auto" w:sz="4" w:space="0"/>
                    <w:right w:val="single" w:color="auto" w:sz="12" w:space="0"/>
                  </w:tcBorders>
                  <w:vAlign w:val="center"/>
                </w:tcPr>
                <w:p>
                  <w:pPr>
                    <w:jc w:val="center"/>
                    <w:rPr>
                      <w:szCs w:val="21"/>
                    </w:rPr>
                  </w:pPr>
                  <w:r>
                    <w:rPr>
                      <w:rFonts w:hint="eastAsia"/>
                      <w:szCs w:val="21"/>
                    </w:rPr>
                    <w:t>2.0mg/m</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jc w:val="center"/>
              </w:trPr>
              <w:tc>
                <w:tcPr>
                  <w:tcW w:w="7640" w:type="dxa"/>
                  <w:gridSpan w:val="4"/>
                  <w:tcBorders>
                    <w:top w:val="single" w:color="auto" w:sz="4" w:space="0"/>
                    <w:left w:val="single" w:color="auto" w:sz="4" w:space="0"/>
                    <w:bottom w:val="single" w:color="auto" w:sz="12" w:space="0"/>
                    <w:right w:val="single" w:color="auto" w:sz="12" w:space="0"/>
                  </w:tcBorders>
                  <w:vAlign w:val="center"/>
                </w:tcPr>
                <w:p>
                  <w:pPr>
                    <w:jc w:val="center"/>
                    <w:rPr>
                      <w:szCs w:val="21"/>
                    </w:rPr>
                  </w:pPr>
                  <w:r>
                    <w:rPr>
                      <w:rFonts w:hint="eastAsia"/>
                      <w:szCs w:val="21"/>
                    </w:rPr>
                    <w:t>依据</w:t>
                  </w:r>
                  <w:r>
                    <w:rPr>
                      <w:szCs w:val="21"/>
                    </w:rPr>
                    <w:t>《饮食业油烟排放标准》（GB18489-2001）</w:t>
                  </w:r>
                  <w:r>
                    <w:rPr>
                      <w:rFonts w:hint="eastAsia"/>
                      <w:szCs w:val="21"/>
                    </w:rPr>
                    <w:t>中排放标准</w:t>
                  </w:r>
                </w:p>
              </w:tc>
            </w:tr>
          </w:tbl>
          <w:p>
            <w:pPr>
              <w:spacing w:line="360" w:lineRule="auto"/>
              <w:rPr>
                <w:sz w:val="24"/>
              </w:rPr>
            </w:pPr>
            <w:r>
              <w:rPr>
                <w:rFonts w:hint="eastAsia"/>
                <w:sz w:val="24"/>
              </w:rPr>
              <w:t>2、噪声执行</w:t>
            </w:r>
            <w:r>
              <w:rPr>
                <w:sz w:val="24"/>
              </w:rPr>
              <w:t>《工业企业厂界环境噪声排放标准（GB12348-2008）》中</w:t>
            </w:r>
            <w:r>
              <w:rPr>
                <w:rFonts w:hint="eastAsia"/>
                <w:sz w:val="24"/>
              </w:rPr>
              <w:t>2</w:t>
            </w:r>
            <w:r>
              <w:rPr>
                <w:sz w:val="24"/>
              </w:rPr>
              <w:t>类</w:t>
            </w:r>
            <w:r>
              <w:rPr>
                <w:rFonts w:hint="eastAsia"/>
                <w:sz w:val="24"/>
              </w:rPr>
              <w:t>标准；</w:t>
            </w:r>
          </w:p>
          <w:p>
            <w:pPr>
              <w:jc w:val="center"/>
              <w:rPr>
                <w:sz w:val="24"/>
              </w:rPr>
            </w:pPr>
            <w:r>
              <w:rPr>
                <w:rFonts w:hint="eastAsia"/>
                <w:b/>
                <w:sz w:val="24"/>
              </w:rPr>
              <w:t>表4-</w:t>
            </w:r>
            <w:r>
              <w:rPr>
                <w:rFonts w:hint="eastAsia"/>
                <w:b/>
                <w:sz w:val="24"/>
                <w:lang w:val="en-US" w:eastAsia="zh-CN"/>
              </w:rPr>
              <w:t>5</w:t>
            </w:r>
            <w:r>
              <w:rPr>
                <w:rFonts w:hint="eastAsia"/>
                <w:b/>
                <w:sz w:val="24"/>
              </w:rPr>
              <w:t xml:space="preserve">  项目噪声排放执行标准</w:t>
            </w:r>
          </w:p>
          <w:tbl>
            <w:tblPr>
              <w:tblStyle w:val="28"/>
              <w:tblW w:w="790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15"/>
              <w:gridCol w:w="2842"/>
              <w:gridCol w:w="28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4" w:hRule="atLeast"/>
                <w:jc w:val="center"/>
              </w:trPr>
              <w:tc>
                <w:tcPr>
                  <w:tcW w:w="2215" w:type="dxa"/>
                  <w:tcBorders>
                    <w:top w:val="single" w:color="auto" w:sz="12" w:space="0"/>
                  </w:tcBorders>
                  <w:vAlign w:val="center"/>
                </w:tcPr>
                <w:p>
                  <w:pPr>
                    <w:pStyle w:val="101"/>
                    <w:adjustRightInd/>
                    <w:spacing w:line="240" w:lineRule="auto"/>
                    <w:rPr>
                      <w:sz w:val="21"/>
                      <w:szCs w:val="21"/>
                    </w:rPr>
                  </w:pPr>
                  <w:r>
                    <w:rPr>
                      <w:sz w:val="21"/>
                      <w:szCs w:val="21"/>
                    </w:rPr>
                    <w:t>因子</w:t>
                  </w:r>
                </w:p>
              </w:tc>
              <w:tc>
                <w:tcPr>
                  <w:tcW w:w="2842" w:type="dxa"/>
                  <w:tcBorders>
                    <w:top w:val="single" w:color="auto" w:sz="12" w:space="0"/>
                  </w:tcBorders>
                  <w:vAlign w:val="center"/>
                </w:tcPr>
                <w:p>
                  <w:pPr>
                    <w:pStyle w:val="101"/>
                    <w:rPr>
                      <w:sz w:val="21"/>
                      <w:szCs w:val="21"/>
                    </w:rPr>
                  </w:pPr>
                  <w:r>
                    <w:rPr>
                      <w:sz w:val="21"/>
                      <w:szCs w:val="21"/>
                    </w:rPr>
                    <w:t>昼间</w:t>
                  </w:r>
                </w:p>
              </w:tc>
              <w:tc>
                <w:tcPr>
                  <w:tcW w:w="2843" w:type="dxa"/>
                  <w:tcBorders>
                    <w:top w:val="single" w:color="auto" w:sz="12" w:space="0"/>
                    <w:right w:val="single" w:color="auto" w:sz="12" w:space="0"/>
                  </w:tcBorders>
                  <w:vAlign w:val="center"/>
                </w:tcPr>
                <w:p>
                  <w:pPr>
                    <w:pStyle w:val="101"/>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2215" w:type="dxa"/>
                  <w:tcBorders>
                    <w:left w:val="single" w:color="auto" w:sz="4" w:space="0"/>
                    <w:bottom w:val="single" w:color="auto" w:sz="12" w:space="0"/>
                  </w:tcBorders>
                  <w:vAlign w:val="center"/>
                </w:tcPr>
                <w:p>
                  <w:pPr>
                    <w:pStyle w:val="101"/>
                    <w:rPr>
                      <w:sz w:val="21"/>
                      <w:szCs w:val="21"/>
                    </w:rPr>
                  </w:pPr>
                  <w:r>
                    <w:rPr>
                      <w:sz w:val="21"/>
                      <w:szCs w:val="21"/>
                    </w:rPr>
                    <w:t>标准值（d</w:t>
                  </w:r>
                  <w:r>
                    <w:rPr>
                      <w:rFonts w:hint="eastAsia"/>
                      <w:sz w:val="21"/>
                      <w:szCs w:val="21"/>
                    </w:rPr>
                    <w:t>B(A)</w:t>
                  </w:r>
                  <w:r>
                    <w:rPr>
                      <w:sz w:val="21"/>
                      <w:szCs w:val="21"/>
                    </w:rPr>
                    <w:t>）</w:t>
                  </w:r>
                </w:p>
              </w:tc>
              <w:tc>
                <w:tcPr>
                  <w:tcW w:w="2842" w:type="dxa"/>
                  <w:tcBorders>
                    <w:bottom w:val="single" w:color="auto" w:sz="12" w:space="0"/>
                  </w:tcBorders>
                  <w:vAlign w:val="center"/>
                </w:tcPr>
                <w:p>
                  <w:pPr>
                    <w:pStyle w:val="101"/>
                    <w:rPr>
                      <w:sz w:val="21"/>
                      <w:szCs w:val="21"/>
                    </w:rPr>
                  </w:pPr>
                  <w:r>
                    <w:rPr>
                      <w:rFonts w:hint="eastAsia"/>
                      <w:sz w:val="21"/>
                      <w:szCs w:val="21"/>
                    </w:rPr>
                    <w:t>60</w:t>
                  </w:r>
                </w:p>
              </w:tc>
              <w:tc>
                <w:tcPr>
                  <w:tcW w:w="2843" w:type="dxa"/>
                  <w:tcBorders>
                    <w:bottom w:val="single" w:color="auto" w:sz="12" w:space="0"/>
                    <w:right w:val="single" w:color="auto" w:sz="12" w:space="0"/>
                  </w:tcBorders>
                  <w:vAlign w:val="center"/>
                </w:tcPr>
                <w:p>
                  <w:pPr>
                    <w:pStyle w:val="101"/>
                    <w:rPr>
                      <w:sz w:val="21"/>
                      <w:szCs w:val="21"/>
                    </w:rPr>
                  </w:pPr>
                  <w:r>
                    <w:rPr>
                      <w:rFonts w:hint="eastAsia"/>
                      <w:sz w:val="21"/>
                      <w:szCs w:val="21"/>
                    </w:rPr>
                    <w:t>50</w:t>
                  </w:r>
                </w:p>
              </w:tc>
            </w:tr>
          </w:tbl>
          <w:p>
            <w:pPr>
              <w:spacing w:line="360" w:lineRule="auto"/>
              <w:rPr>
                <w:sz w:val="24"/>
              </w:rPr>
            </w:pPr>
            <w:r>
              <w:rPr>
                <w:rFonts w:hint="eastAsia"/>
                <w:sz w:val="24"/>
              </w:rPr>
              <w:t>3、固废执行</w:t>
            </w:r>
            <w:r>
              <w:rPr>
                <w:sz w:val="24"/>
              </w:rPr>
              <w:t>《一般工业固体废物贮存、处置场污染控制标准》（GB18599-2001）及修改单。</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959" w:hRule="atLeast"/>
          <w:jc w:val="center"/>
        </w:trPr>
        <w:tc>
          <w:tcPr>
            <w:tcW w:w="416" w:type="dxa"/>
            <w:tcBorders>
              <w:top w:val="single" w:color="auto" w:sz="4" w:space="0"/>
              <w:right w:val="single" w:color="auto" w:sz="4" w:space="0"/>
            </w:tcBorders>
            <w:vAlign w:val="center"/>
          </w:tcPr>
          <w:p>
            <w:pPr>
              <w:ind w:left="105" w:right="105" w:rightChars="50"/>
              <w:jc w:val="center"/>
              <w:rPr>
                <w:sz w:val="24"/>
              </w:rPr>
            </w:pPr>
          </w:p>
          <w:p>
            <w:pPr>
              <w:ind w:right="105" w:rightChars="50"/>
              <w:rPr>
                <w:sz w:val="24"/>
              </w:rPr>
            </w:pPr>
            <w:r>
              <w:rPr>
                <w:sz w:val="24"/>
              </w:rPr>
              <w:t>总</w:t>
            </w:r>
          </w:p>
          <w:p>
            <w:pPr>
              <w:ind w:right="105" w:rightChars="50"/>
              <w:rPr>
                <w:sz w:val="24"/>
              </w:rPr>
            </w:pPr>
            <w:r>
              <w:rPr>
                <w:sz w:val="24"/>
              </w:rPr>
              <w:t>量</w:t>
            </w:r>
          </w:p>
          <w:p>
            <w:pPr>
              <w:ind w:right="105" w:rightChars="50"/>
              <w:rPr>
                <w:sz w:val="24"/>
              </w:rPr>
            </w:pPr>
            <w:r>
              <w:rPr>
                <w:sz w:val="24"/>
              </w:rPr>
              <w:t>控</w:t>
            </w:r>
          </w:p>
          <w:p>
            <w:pPr>
              <w:ind w:right="105" w:rightChars="50"/>
              <w:rPr>
                <w:sz w:val="24"/>
              </w:rPr>
            </w:pPr>
            <w:r>
              <w:rPr>
                <w:sz w:val="24"/>
              </w:rPr>
              <w:t>制</w:t>
            </w:r>
          </w:p>
          <w:p>
            <w:pPr>
              <w:ind w:right="105" w:rightChars="50"/>
              <w:rPr>
                <w:sz w:val="24"/>
              </w:rPr>
            </w:pPr>
            <w:r>
              <w:rPr>
                <w:sz w:val="24"/>
              </w:rPr>
              <w:t>指</w:t>
            </w:r>
          </w:p>
          <w:p>
            <w:pPr>
              <w:ind w:right="105" w:rightChars="50"/>
              <w:rPr>
                <w:sz w:val="24"/>
              </w:rPr>
            </w:pPr>
            <w:r>
              <w:rPr>
                <w:sz w:val="24"/>
              </w:rPr>
              <w:t>标</w:t>
            </w:r>
          </w:p>
          <w:p>
            <w:pPr>
              <w:ind w:left="105" w:right="105" w:rightChars="50"/>
              <w:jc w:val="center"/>
              <w:rPr>
                <w:sz w:val="24"/>
              </w:rPr>
            </w:pPr>
          </w:p>
        </w:tc>
        <w:tc>
          <w:tcPr>
            <w:tcW w:w="8106" w:type="dxa"/>
            <w:tcBorders>
              <w:top w:val="single" w:color="auto" w:sz="4" w:space="0"/>
              <w:left w:val="single" w:color="auto" w:sz="4" w:space="0"/>
            </w:tcBorders>
          </w:tcPr>
          <w:p>
            <w:pPr>
              <w:spacing w:line="360" w:lineRule="auto"/>
              <w:ind w:firstLine="480" w:firstLineChars="200"/>
              <w:rPr>
                <w:sz w:val="24"/>
              </w:rPr>
            </w:pPr>
            <w:r>
              <w:rPr>
                <w:rFonts w:hint="eastAsia"/>
                <w:sz w:val="24"/>
              </w:rPr>
              <w:t>本项目无外排废水，无总量控制指标</w:t>
            </w:r>
          </w:p>
          <w:p>
            <w:pPr>
              <w:spacing w:line="360" w:lineRule="auto"/>
              <w:ind w:firstLine="480" w:firstLineChars="200"/>
              <w:rPr>
                <w:sz w:val="24"/>
              </w:rPr>
            </w:pPr>
          </w:p>
        </w:tc>
      </w:tr>
    </w:tbl>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color w:val="FF0000"/>
          <w:sz w:val="28"/>
          <w:szCs w:val="28"/>
        </w:rPr>
      </w:pPr>
      <w:r>
        <w:rPr>
          <w:rFonts w:hint="eastAsia" w:ascii="宋体" w:hAnsi="宋体" w:cs="宋体"/>
          <w:b/>
          <w:bCs/>
          <w:sz w:val="28"/>
          <w:szCs w:val="28"/>
        </w:rPr>
        <w:t>表五、建设项目工程分析</w:t>
      </w:r>
    </w:p>
    <w:tbl>
      <w:tblPr>
        <w:tblStyle w:val="28"/>
        <w:tblW w:w="852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715" w:hRule="atLeast"/>
          <w:jc w:val="center"/>
        </w:trPr>
        <w:tc>
          <w:tcPr>
            <w:tcW w:w="8522" w:type="dxa"/>
          </w:tcPr>
          <w:p>
            <w:pPr>
              <w:spacing w:line="360" w:lineRule="auto"/>
              <w:rPr>
                <w:b/>
                <w:sz w:val="24"/>
              </w:rPr>
            </w:pPr>
            <w:r>
              <w:rPr>
                <w:b/>
                <w:sz w:val="24"/>
              </w:rPr>
              <w:t>工艺流程简介：</w:t>
            </w:r>
          </w:p>
          <w:p>
            <w:pPr>
              <w:spacing w:line="360" w:lineRule="auto"/>
              <w:ind w:firstLine="480" w:firstLineChars="200"/>
              <w:rPr>
                <w:sz w:val="24"/>
              </w:rPr>
            </w:pPr>
            <w:r>
              <w:rPr>
                <w:rFonts w:hint="eastAsia"/>
                <w:bCs/>
                <w:sz w:val="24"/>
              </w:rPr>
              <w:t>本项目为60万吨/年机制砂建设项目</w:t>
            </w:r>
            <w:r>
              <w:rPr>
                <w:rFonts w:hint="eastAsia"/>
                <w:sz w:val="24"/>
              </w:rPr>
              <w:t>，项目使用的原材料为鹅卵石，项目破碎制砂工艺流程及产污节点如下：</w:t>
            </w:r>
          </w:p>
          <w:p>
            <w:pPr>
              <w:spacing w:line="360" w:lineRule="auto"/>
              <w:ind w:right="105" w:rightChars="50"/>
              <w:rPr>
                <w:sz w:val="24"/>
                <w:u w:val="single"/>
              </w:rPr>
            </w:pPr>
            <w:r>
              <w:drawing>
                <wp:inline distT="0" distB="0" distL="114300" distR="114300">
                  <wp:extent cx="5271770" cy="3492500"/>
                  <wp:effectExtent l="0" t="0" r="5080" b="1270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0"/>
                          <a:stretch>
                            <a:fillRect/>
                          </a:stretch>
                        </pic:blipFill>
                        <pic:spPr>
                          <a:xfrm>
                            <a:off x="0" y="0"/>
                            <a:ext cx="5271770" cy="3492500"/>
                          </a:xfrm>
                          <a:prstGeom prst="rect">
                            <a:avLst/>
                          </a:prstGeom>
                          <a:noFill/>
                          <a:ln>
                            <a:noFill/>
                          </a:ln>
                        </pic:spPr>
                      </pic:pic>
                    </a:graphicData>
                  </a:graphic>
                </wp:inline>
              </w:drawing>
            </w:r>
          </w:p>
          <w:p>
            <w:pPr>
              <w:jc w:val="center"/>
              <w:rPr>
                <w:b/>
                <w:sz w:val="24"/>
              </w:rPr>
            </w:pPr>
            <w:r>
              <w:rPr>
                <w:rFonts w:hint="eastAsia"/>
                <w:b/>
                <w:sz w:val="24"/>
              </w:rPr>
              <w:t>图5-1    项目生产工序及产污节点图</w:t>
            </w:r>
          </w:p>
          <w:p>
            <w:pPr>
              <w:pStyle w:val="2"/>
              <w:rPr>
                <w:szCs w:val="20"/>
              </w:rPr>
            </w:pPr>
            <w:r>
              <w:rPr>
                <w:rFonts w:hint="eastAsia"/>
                <w:b/>
                <w:sz w:val="24"/>
                <w:szCs w:val="20"/>
              </w:rPr>
              <w:t>工艺说明：</w:t>
            </w:r>
          </w:p>
          <w:p>
            <w:pPr>
              <w:spacing w:line="360" w:lineRule="auto"/>
              <w:ind w:firstLine="480" w:firstLineChars="200"/>
              <w:rPr>
                <w:bCs/>
                <w:sz w:val="24"/>
                <w:szCs w:val="22"/>
              </w:rPr>
            </w:pPr>
            <w:r>
              <w:rPr>
                <w:rFonts w:hint="eastAsia"/>
                <w:bCs/>
                <w:sz w:val="24"/>
                <w:szCs w:val="22"/>
              </w:rPr>
              <w:t>本项目不采砂，主要原料为鹅卵石，由</w:t>
            </w:r>
            <w:r>
              <w:rPr>
                <w:rFonts w:hint="eastAsia"/>
                <w:bCs/>
                <w:sz w:val="24"/>
                <w:szCs w:val="22"/>
                <w:lang w:eastAsia="zh-CN"/>
              </w:rPr>
              <w:t>宜昌楚航商贸有限公司</w:t>
            </w:r>
            <w:r>
              <w:rPr>
                <w:rFonts w:hint="eastAsia"/>
                <w:bCs/>
                <w:sz w:val="24"/>
                <w:szCs w:val="22"/>
              </w:rPr>
              <w:t>提供，原料购销合同详见附件</w:t>
            </w:r>
            <w:r>
              <w:rPr>
                <w:rFonts w:hint="eastAsia"/>
                <w:bCs/>
                <w:sz w:val="24"/>
                <w:szCs w:val="22"/>
                <w:lang w:val="en-US" w:eastAsia="zh-CN"/>
              </w:rPr>
              <w:t>3</w:t>
            </w:r>
            <w:r>
              <w:rPr>
                <w:rFonts w:hint="eastAsia"/>
                <w:bCs/>
                <w:sz w:val="24"/>
                <w:szCs w:val="22"/>
              </w:rPr>
              <w:t>。</w:t>
            </w:r>
          </w:p>
          <w:p>
            <w:pPr>
              <w:spacing w:line="360" w:lineRule="auto"/>
              <w:ind w:firstLine="480" w:firstLineChars="200"/>
              <w:rPr>
                <w:bCs/>
                <w:sz w:val="24"/>
                <w:szCs w:val="22"/>
              </w:rPr>
            </w:pPr>
            <w:r>
              <w:rPr>
                <w:rFonts w:hint="eastAsia"/>
                <w:bCs/>
                <w:sz w:val="24"/>
                <w:szCs w:val="22"/>
              </w:rPr>
              <w:t>原料通过货车运输至厂内原料暂存，项目运输采用皮带运输，为封闭式，先经</w:t>
            </w:r>
            <w:r>
              <w:rPr>
                <w:rFonts w:hint="eastAsia"/>
                <w:bCs/>
                <w:sz w:val="24"/>
                <w:szCs w:val="22"/>
                <w:lang w:eastAsia="zh-CN"/>
              </w:rPr>
              <w:t>圆振动筛筛分出成品（项目原材料有大约</w:t>
            </w:r>
            <w:r>
              <w:rPr>
                <w:rFonts w:hint="eastAsia"/>
                <w:bCs/>
                <w:sz w:val="24"/>
                <w:szCs w:val="22"/>
                <w:lang w:val="en-US" w:eastAsia="zh-CN"/>
              </w:rPr>
              <w:t>20</w:t>
            </w:r>
            <w:r>
              <w:rPr>
                <w:rFonts w:hint="eastAsia"/>
                <w:bCs/>
                <w:sz w:val="24"/>
                <w:szCs w:val="22"/>
                <w:lang w:eastAsia="zh-CN"/>
              </w:rPr>
              <w:t>％符合成品要求，不需破碎和筛分，经圆振动筛筛分出即可），再经</w:t>
            </w:r>
            <w:r>
              <w:rPr>
                <w:rFonts w:hint="eastAsia"/>
                <w:bCs/>
                <w:sz w:val="24"/>
                <w:szCs w:val="22"/>
              </w:rPr>
              <w:t>制砂机将砂石制成粗砂，</w:t>
            </w:r>
            <w:r>
              <w:rPr>
                <w:rFonts w:hint="eastAsia"/>
                <w:bCs/>
                <w:sz w:val="24"/>
                <w:szCs w:val="22"/>
                <w:lang w:eastAsia="zh-CN"/>
              </w:rPr>
              <w:t>再</w:t>
            </w:r>
            <w:r>
              <w:rPr>
                <w:rFonts w:hint="eastAsia"/>
                <w:bCs/>
                <w:sz w:val="24"/>
                <w:szCs w:val="22"/>
              </w:rPr>
              <w:t>经振动筛初筛将鹅卵石筛分，再经颚式破破碎机、圆维破碎机将筛选掉较大砂石的石子进行破碎、筛分等工序，制成符合粒径要求的卵石子和建筑用砂，破碎筛分采用湿法工艺，洗砂废水经沉淀池处理后回用于生产，沉淀池污泥主要成分为泥土，</w:t>
            </w:r>
            <w:r>
              <w:rPr>
                <w:rFonts w:hint="eastAsia"/>
                <w:bCs/>
                <w:sz w:val="24"/>
                <w:szCs w:val="22"/>
                <w:lang w:eastAsia="zh-CN"/>
              </w:rPr>
              <w:t>经压滤机脱水后</w:t>
            </w:r>
            <w:r>
              <w:rPr>
                <w:rFonts w:hint="eastAsia"/>
                <w:bCs/>
                <w:sz w:val="24"/>
                <w:szCs w:val="22"/>
              </w:rPr>
              <w:t>定期清理，外运至建材企业综合利用。</w:t>
            </w:r>
          </w:p>
          <w:p>
            <w:pPr>
              <w:spacing w:line="360" w:lineRule="auto"/>
              <w:ind w:firstLine="480" w:firstLineChars="200"/>
              <w:rPr>
                <w:bCs/>
                <w:sz w:val="24"/>
                <w:szCs w:val="22"/>
              </w:rPr>
            </w:pPr>
            <w:r>
              <w:rPr>
                <w:rFonts w:hint="eastAsia"/>
                <w:bCs/>
                <w:sz w:val="24"/>
                <w:szCs w:val="22"/>
              </w:rPr>
              <w:t>各产品分区堆放在产品堆场，最后由汽车装载外运。</w:t>
            </w:r>
          </w:p>
          <w:p>
            <w:pPr>
              <w:spacing w:line="400" w:lineRule="atLeast"/>
              <w:rPr>
                <w:rFonts w:hint="eastAsia"/>
                <w:b/>
                <w:bCs/>
                <w:sz w:val="24"/>
              </w:rPr>
            </w:pPr>
          </w:p>
          <w:p>
            <w:pPr>
              <w:spacing w:line="400" w:lineRule="atLeast"/>
              <w:rPr>
                <w:rFonts w:hint="eastAsia"/>
                <w:b/>
                <w:bCs/>
                <w:sz w:val="24"/>
              </w:rPr>
            </w:pPr>
          </w:p>
          <w:p>
            <w:pPr>
              <w:spacing w:line="400" w:lineRule="atLeast"/>
              <w:rPr>
                <w:b/>
                <w:bCs/>
                <w:sz w:val="24"/>
              </w:rPr>
            </w:pPr>
            <w:r>
              <w:rPr>
                <w:rFonts w:hint="eastAsia"/>
                <w:b/>
                <w:bCs/>
                <w:sz w:val="24"/>
              </w:rPr>
              <w:t>物料平衡</w:t>
            </w:r>
            <w:r>
              <w:rPr>
                <w:b/>
                <w:bCs/>
                <w:sz w:val="24"/>
              </w:rPr>
              <w:t>：</w:t>
            </w:r>
          </w:p>
          <w:p>
            <w:pPr>
              <w:widowControl/>
              <w:adjustRightInd w:val="0"/>
              <w:spacing w:line="360" w:lineRule="auto"/>
              <w:jc w:val="center"/>
              <w:rPr>
                <w:b/>
                <w:bCs w:val="0"/>
                <w:kern w:val="0"/>
                <w:sz w:val="24"/>
                <w:u w:val="single"/>
              </w:rPr>
            </w:pPr>
            <w:r>
              <w:rPr>
                <w:rFonts w:hAnsi="宋体"/>
                <w:b/>
                <w:bCs w:val="0"/>
                <w:kern w:val="0"/>
                <w:sz w:val="24"/>
                <w:u w:val="single"/>
              </w:rPr>
              <w:t>表</w:t>
            </w:r>
            <w:r>
              <w:rPr>
                <w:b/>
                <w:bCs w:val="0"/>
                <w:kern w:val="0"/>
                <w:sz w:val="24"/>
                <w:u w:val="single"/>
              </w:rPr>
              <w:t>5-</w:t>
            </w:r>
            <w:r>
              <w:rPr>
                <w:rFonts w:hint="eastAsia"/>
                <w:b/>
                <w:bCs w:val="0"/>
                <w:kern w:val="0"/>
                <w:sz w:val="24"/>
                <w:u w:val="single"/>
              </w:rPr>
              <w:t>1</w:t>
            </w:r>
            <w:r>
              <w:rPr>
                <w:rFonts w:hint="eastAsia" w:hAnsi="宋体"/>
                <w:b/>
                <w:bCs w:val="0"/>
                <w:kern w:val="0"/>
                <w:sz w:val="24"/>
                <w:u w:val="single"/>
              </w:rPr>
              <w:t xml:space="preserve">   项目物料</w:t>
            </w:r>
            <w:r>
              <w:rPr>
                <w:rFonts w:hAnsi="宋体"/>
                <w:b/>
                <w:bCs w:val="0"/>
                <w:kern w:val="0"/>
                <w:sz w:val="24"/>
                <w:u w:val="single"/>
              </w:rPr>
              <w:t>平衡</w:t>
            </w:r>
            <w:r>
              <w:rPr>
                <w:rFonts w:hint="eastAsia" w:hAnsi="宋体"/>
                <w:b/>
                <w:bCs w:val="0"/>
                <w:kern w:val="0"/>
                <w:sz w:val="24"/>
                <w:u w:val="single"/>
              </w:rPr>
              <w:t>一览</w:t>
            </w:r>
            <w:r>
              <w:rPr>
                <w:rFonts w:hAnsi="宋体"/>
                <w:b/>
                <w:bCs w:val="0"/>
                <w:kern w:val="0"/>
                <w:sz w:val="24"/>
                <w:u w:val="single"/>
              </w:rPr>
              <w:t>表</w:t>
            </w:r>
          </w:p>
          <w:tbl>
            <w:tblPr>
              <w:tblStyle w:val="28"/>
              <w:tblW w:w="82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15"/>
              <w:gridCol w:w="1319"/>
              <w:gridCol w:w="1409"/>
              <w:gridCol w:w="834"/>
              <w:gridCol w:w="26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690" w:type="dxa"/>
                  <w:tcBorders>
                    <w:bottom w:val="double" w:color="auto" w:sz="12" w:space="0"/>
                  </w:tcBorders>
                  <w:vAlign w:val="center"/>
                </w:tcPr>
                <w:p>
                  <w:pPr>
                    <w:jc w:val="center"/>
                    <w:rPr>
                      <w:bCs/>
                      <w:szCs w:val="21"/>
                      <w:u w:val="single"/>
                    </w:rPr>
                  </w:pPr>
                  <w:r>
                    <w:rPr>
                      <w:bCs/>
                      <w:szCs w:val="21"/>
                      <w:u w:val="single"/>
                    </w:rPr>
                    <w:t>项目</w:t>
                  </w:r>
                </w:p>
              </w:tc>
              <w:tc>
                <w:tcPr>
                  <w:tcW w:w="1415" w:type="dxa"/>
                  <w:tcBorders>
                    <w:bottom w:val="double" w:color="auto" w:sz="12" w:space="0"/>
                  </w:tcBorders>
                  <w:vAlign w:val="center"/>
                </w:tcPr>
                <w:p>
                  <w:pPr>
                    <w:jc w:val="center"/>
                    <w:rPr>
                      <w:bCs/>
                      <w:szCs w:val="21"/>
                      <w:u w:val="single"/>
                    </w:rPr>
                  </w:pPr>
                  <w:r>
                    <w:rPr>
                      <w:bCs/>
                      <w:szCs w:val="21"/>
                      <w:u w:val="single"/>
                    </w:rPr>
                    <w:t>分类</w:t>
                  </w:r>
                </w:p>
              </w:tc>
              <w:tc>
                <w:tcPr>
                  <w:tcW w:w="1319" w:type="dxa"/>
                  <w:tcBorders>
                    <w:bottom w:val="double" w:color="auto" w:sz="12" w:space="0"/>
                  </w:tcBorders>
                  <w:vAlign w:val="center"/>
                </w:tcPr>
                <w:p>
                  <w:pPr>
                    <w:jc w:val="center"/>
                    <w:rPr>
                      <w:bCs/>
                      <w:szCs w:val="21"/>
                      <w:u w:val="single"/>
                    </w:rPr>
                  </w:pPr>
                  <w:r>
                    <w:rPr>
                      <w:bCs/>
                      <w:szCs w:val="21"/>
                      <w:u w:val="single"/>
                    </w:rPr>
                    <w:t>名称</w:t>
                  </w:r>
                </w:p>
              </w:tc>
              <w:tc>
                <w:tcPr>
                  <w:tcW w:w="1409" w:type="dxa"/>
                  <w:tcBorders>
                    <w:bottom w:val="double" w:color="auto" w:sz="12" w:space="0"/>
                  </w:tcBorders>
                  <w:vAlign w:val="center"/>
                </w:tcPr>
                <w:p>
                  <w:pPr>
                    <w:jc w:val="center"/>
                    <w:rPr>
                      <w:bCs/>
                      <w:szCs w:val="21"/>
                      <w:u w:val="single"/>
                    </w:rPr>
                  </w:pPr>
                  <w:r>
                    <w:rPr>
                      <w:bCs/>
                      <w:szCs w:val="21"/>
                      <w:u w:val="single"/>
                    </w:rPr>
                    <w:t>数量</w:t>
                  </w:r>
                </w:p>
              </w:tc>
              <w:tc>
                <w:tcPr>
                  <w:tcW w:w="834" w:type="dxa"/>
                  <w:tcBorders>
                    <w:bottom w:val="double" w:color="auto" w:sz="12" w:space="0"/>
                  </w:tcBorders>
                  <w:vAlign w:val="center"/>
                </w:tcPr>
                <w:p>
                  <w:pPr>
                    <w:jc w:val="center"/>
                    <w:rPr>
                      <w:bCs/>
                      <w:szCs w:val="21"/>
                      <w:u w:val="single"/>
                    </w:rPr>
                  </w:pPr>
                  <w:r>
                    <w:rPr>
                      <w:bCs/>
                      <w:szCs w:val="21"/>
                      <w:u w:val="single"/>
                    </w:rPr>
                    <w:t>单位</w:t>
                  </w:r>
                </w:p>
              </w:tc>
              <w:tc>
                <w:tcPr>
                  <w:tcW w:w="2609" w:type="dxa"/>
                  <w:tcBorders>
                    <w:bottom w:val="double" w:color="auto" w:sz="12" w:space="0"/>
                  </w:tcBorders>
                  <w:vAlign w:val="center"/>
                </w:tcPr>
                <w:p>
                  <w:pPr>
                    <w:jc w:val="center"/>
                    <w:rPr>
                      <w:bCs/>
                      <w:szCs w:val="21"/>
                      <w:u w:val="single"/>
                    </w:rPr>
                  </w:pPr>
                  <w:r>
                    <w:rPr>
                      <w:rFonts w:hAnsi="宋体"/>
                      <w:bCs/>
                      <w:szCs w:val="21"/>
                      <w:u w:val="singl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276" w:type="dxa"/>
                  <w:gridSpan w:val="6"/>
                  <w:tcBorders>
                    <w:top w:val="double" w:color="auto" w:sz="12" w:space="0"/>
                    <w:bottom w:val="single" w:color="auto" w:sz="4" w:space="0"/>
                  </w:tcBorders>
                  <w:vAlign w:val="center"/>
                </w:tcPr>
                <w:p>
                  <w:pPr>
                    <w:jc w:val="center"/>
                    <w:rPr>
                      <w:bCs/>
                      <w:szCs w:val="21"/>
                      <w:u w:val="single"/>
                    </w:rPr>
                  </w:pPr>
                  <w:r>
                    <w:rPr>
                      <w:bCs/>
                      <w:szCs w:val="21"/>
                      <w:u w:val="single"/>
                    </w:rPr>
                    <w:t>入方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90" w:type="dxa"/>
                  <w:tcBorders>
                    <w:top w:val="single" w:color="auto" w:sz="4" w:space="0"/>
                  </w:tcBorders>
                  <w:vAlign w:val="center"/>
                </w:tcPr>
                <w:p>
                  <w:pPr>
                    <w:jc w:val="center"/>
                    <w:rPr>
                      <w:bCs/>
                      <w:szCs w:val="21"/>
                      <w:u w:val="single"/>
                    </w:rPr>
                  </w:pPr>
                  <w:r>
                    <w:rPr>
                      <w:rFonts w:hint="eastAsia"/>
                      <w:bCs/>
                      <w:szCs w:val="21"/>
                      <w:u w:val="single"/>
                    </w:rPr>
                    <w:t>1</w:t>
                  </w:r>
                </w:p>
              </w:tc>
              <w:tc>
                <w:tcPr>
                  <w:tcW w:w="1415" w:type="dxa"/>
                  <w:vAlign w:val="center"/>
                </w:tcPr>
                <w:p>
                  <w:pPr>
                    <w:jc w:val="center"/>
                    <w:rPr>
                      <w:bCs/>
                      <w:szCs w:val="21"/>
                      <w:u w:val="single"/>
                    </w:rPr>
                  </w:pPr>
                  <w:r>
                    <w:rPr>
                      <w:bCs/>
                      <w:szCs w:val="21"/>
                      <w:u w:val="single"/>
                    </w:rPr>
                    <w:t>主要原料</w:t>
                  </w:r>
                </w:p>
              </w:tc>
              <w:tc>
                <w:tcPr>
                  <w:tcW w:w="1319" w:type="dxa"/>
                  <w:tcBorders>
                    <w:top w:val="single" w:color="auto" w:sz="4" w:space="0"/>
                  </w:tcBorders>
                  <w:vAlign w:val="center"/>
                </w:tcPr>
                <w:p>
                  <w:pPr>
                    <w:jc w:val="center"/>
                    <w:rPr>
                      <w:bCs/>
                      <w:szCs w:val="21"/>
                      <w:u w:val="single"/>
                    </w:rPr>
                  </w:pPr>
                  <w:r>
                    <w:rPr>
                      <w:rFonts w:hint="eastAsia" w:ascii="宋体" w:hAnsi="宋体"/>
                      <w:bCs/>
                      <w:szCs w:val="21"/>
                      <w:u w:val="single"/>
                    </w:rPr>
                    <w:t>鹅卵石</w:t>
                  </w:r>
                </w:p>
              </w:tc>
              <w:tc>
                <w:tcPr>
                  <w:tcW w:w="1409" w:type="dxa"/>
                  <w:tcBorders>
                    <w:top w:val="single" w:color="auto" w:sz="4" w:space="0"/>
                  </w:tcBorders>
                  <w:vAlign w:val="center"/>
                </w:tcPr>
                <w:p>
                  <w:pPr>
                    <w:spacing w:line="360" w:lineRule="auto"/>
                    <w:jc w:val="center"/>
                    <w:rPr>
                      <w:bCs/>
                      <w:szCs w:val="21"/>
                      <w:u w:val="single"/>
                    </w:rPr>
                  </w:pPr>
                  <w:r>
                    <w:rPr>
                      <w:rFonts w:hint="eastAsia"/>
                      <w:bCs/>
                      <w:szCs w:val="21"/>
                      <w:u w:val="single"/>
                    </w:rPr>
                    <w:t>600000</w:t>
                  </w:r>
                </w:p>
              </w:tc>
              <w:tc>
                <w:tcPr>
                  <w:tcW w:w="834" w:type="dxa"/>
                  <w:tcBorders>
                    <w:top w:val="single" w:color="auto" w:sz="4" w:space="0"/>
                  </w:tcBorders>
                  <w:vAlign w:val="center"/>
                </w:tcPr>
                <w:p>
                  <w:pPr>
                    <w:jc w:val="center"/>
                    <w:rPr>
                      <w:bCs/>
                      <w:szCs w:val="21"/>
                      <w:u w:val="single"/>
                    </w:rPr>
                  </w:pPr>
                  <w:r>
                    <w:rPr>
                      <w:bCs/>
                      <w:szCs w:val="21"/>
                      <w:u w:val="single"/>
                    </w:rPr>
                    <w:t>t/a</w:t>
                  </w:r>
                </w:p>
              </w:tc>
              <w:tc>
                <w:tcPr>
                  <w:tcW w:w="2609" w:type="dxa"/>
                  <w:tcBorders>
                    <w:top w:val="single" w:color="auto" w:sz="4" w:space="0"/>
                  </w:tcBorders>
                  <w:vAlign w:val="center"/>
                </w:tcPr>
                <w:p>
                  <w:pPr>
                    <w:jc w:val="center"/>
                    <w:rPr>
                      <w:bCs/>
                      <w:szCs w:val="21"/>
                      <w:u w:val="single"/>
                    </w:rPr>
                  </w:pPr>
                  <w:r>
                    <w:rPr>
                      <w:rFonts w:hint="eastAsia" w:ascii="宋体" w:hAnsi="宋体"/>
                      <w:bCs/>
                      <w:szCs w:val="21"/>
                      <w:u w:val="single"/>
                      <w:lang w:eastAsia="zh-CN"/>
                    </w:rPr>
                    <w:t>宜昌楚航商贸有限公司</w:t>
                  </w:r>
                  <w:r>
                    <w:rPr>
                      <w:rFonts w:hint="eastAsia" w:ascii="宋体" w:hAnsi="宋体"/>
                      <w:bCs/>
                      <w:szCs w:val="21"/>
                      <w:u w:val="single"/>
                    </w:rPr>
                    <w:t>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90" w:type="dxa"/>
                  <w:vAlign w:val="center"/>
                </w:tcPr>
                <w:p>
                  <w:pPr>
                    <w:jc w:val="center"/>
                    <w:rPr>
                      <w:bCs/>
                      <w:szCs w:val="21"/>
                      <w:u w:val="single"/>
                    </w:rPr>
                  </w:pPr>
                  <w:r>
                    <w:rPr>
                      <w:bCs/>
                      <w:szCs w:val="21"/>
                      <w:u w:val="single"/>
                    </w:rPr>
                    <w:t>合计</w:t>
                  </w:r>
                </w:p>
              </w:tc>
              <w:tc>
                <w:tcPr>
                  <w:tcW w:w="1415" w:type="dxa"/>
                  <w:vAlign w:val="center"/>
                </w:tcPr>
                <w:p>
                  <w:pPr>
                    <w:jc w:val="center"/>
                    <w:rPr>
                      <w:bCs/>
                      <w:szCs w:val="21"/>
                      <w:u w:val="single"/>
                    </w:rPr>
                  </w:pPr>
                  <w:r>
                    <w:rPr>
                      <w:rFonts w:hint="eastAsia"/>
                      <w:bCs/>
                      <w:szCs w:val="21"/>
                      <w:u w:val="single"/>
                    </w:rPr>
                    <w:t>/</w:t>
                  </w:r>
                </w:p>
              </w:tc>
              <w:tc>
                <w:tcPr>
                  <w:tcW w:w="1319" w:type="dxa"/>
                  <w:vAlign w:val="center"/>
                </w:tcPr>
                <w:p>
                  <w:pPr>
                    <w:jc w:val="center"/>
                    <w:rPr>
                      <w:bCs/>
                      <w:szCs w:val="21"/>
                      <w:u w:val="single"/>
                    </w:rPr>
                  </w:pPr>
                  <w:r>
                    <w:rPr>
                      <w:rFonts w:hint="eastAsia"/>
                      <w:bCs/>
                      <w:szCs w:val="21"/>
                      <w:u w:val="single"/>
                    </w:rPr>
                    <w:t>/</w:t>
                  </w:r>
                </w:p>
              </w:tc>
              <w:tc>
                <w:tcPr>
                  <w:tcW w:w="1409" w:type="dxa"/>
                  <w:vAlign w:val="center"/>
                </w:tcPr>
                <w:p>
                  <w:pPr>
                    <w:jc w:val="center"/>
                    <w:rPr>
                      <w:bCs/>
                      <w:szCs w:val="21"/>
                      <w:u w:val="single"/>
                    </w:rPr>
                  </w:pPr>
                  <w:r>
                    <w:rPr>
                      <w:rFonts w:hint="eastAsia"/>
                      <w:bCs/>
                      <w:szCs w:val="21"/>
                      <w:u w:val="single"/>
                    </w:rPr>
                    <w:t>600000</w:t>
                  </w:r>
                </w:p>
              </w:tc>
              <w:tc>
                <w:tcPr>
                  <w:tcW w:w="834" w:type="dxa"/>
                  <w:vAlign w:val="center"/>
                </w:tcPr>
                <w:p>
                  <w:pPr>
                    <w:jc w:val="center"/>
                    <w:rPr>
                      <w:bCs/>
                      <w:szCs w:val="21"/>
                      <w:u w:val="single"/>
                    </w:rPr>
                  </w:pPr>
                  <w:r>
                    <w:rPr>
                      <w:bCs/>
                      <w:szCs w:val="21"/>
                      <w:u w:val="single"/>
                    </w:rPr>
                    <w:t>t/a</w:t>
                  </w:r>
                </w:p>
              </w:tc>
              <w:tc>
                <w:tcPr>
                  <w:tcW w:w="2609" w:type="dxa"/>
                  <w:vAlign w:val="center"/>
                </w:tcPr>
                <w:p>
                  <w:pPr>
                    <w:jc w:val="center"/>
                    <w:rPr>
                      <w:bCs/>
                      <w:szCs w:val="21"/>
                      <w:u w:val="single"/>
                    </w:rPr>
                  </w:pPr>
                  <w:r>
                    <w:rPr>
                      <w:rFonts w:hint="eastAsia"/>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276" w:type="dxa"/>
                  <w:gridSpan w:val="6"/>
                  <w:tcBorders>
                    <w:top w:val="double" w:color="auto" w:sz="12" w:space="0"/>
                  </w:tcBorders>
                  <w:vAlign w:val="center"/>
                </w:tcPr>
                <w:p>
                  <w:pPr>
                    <w:jc w:val="center"/>
                    <w:rPr>
                      <w:szCs w:val="21"/>
                      <w:u w:val="single"/>
                    </w:rPr>
                  </w:pPr>
                  <w:r>
                    <w:rPr>
                      <w:szCs w:val="21"/>
                      <w:u w:val="single"/>
                    </w:rPr>
                    <w:t>出方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90" w:type="dxa"/>
                  <w:vAlign w:val="center"/>
                </w:tcPr>
                <w:p>
                  <w:pPr>
                    <w:jc w:val="center"/>
                    <w:rPr>
                      <w:rFonts w:hint="eastAsia" w:eastAsia="宋体"/>
                      <w:szCs w:val="21"/>
                      <w:u w:val="single"/>
                      <w:lang w:eastAsia="zh-CN"/>
                    </w:rPr>
                  </w:pPr>
                  <w:r>
                    <w:rPr>
                      <w:rFonts w:hint="eastAsia"/>
                      <w:szCs w:val="21"/>
                      <w:u w:val="single"/>
                      <w:lang w:val="en-US" w:eastAsia="zh-CN"/>
                    </w:rPr>
                    <w:t>2</w:t>
                  </w:r>
                </w:p>
              </w:tc>
              <w:tc>
                <w:tcPr>
                  <w:tcW w:w="1415" w:type="dxa"/>
                  <w:vAlign w:val="center"/>
                </w:tcPr>
                <w:p>
                  <w:pPr>
                    <w:jc w:val="center"/>
                    <w:rPr>
                      <w:szCs w:val="21"/>
                      <w:u w:val="single"/>
                    </w:rPr>
                  </w:pPr>
                  <w:r>
                    <w:rPr>
                      <w:rFonts w:hint="eastAsia"/>
                      <w:szCs w:val="21"/>
                      <w:u w:val="single"/>
                    </w:rPr>
                    <w:t>主产品</w:t>
                  </w:r>
                </w:p>
              </w:tc>
              <w:tc>
                <w:tcPr>
                  <w:tcW w:w="1319" w:type="dxa"/>
                  <w:vAlign w:val="center"/>
                </w:tcPr>
                <w:p>
                  <w:pPr>
                    <w:spacing w:line="360" w:lineRule="auto"/>
                    <w:jc w:val="center"/>
                    <w:rPr>
                      <w:kern w:val="0"/>
                      <w:szCs w:val="21"/>
                      <w:u w:val="single"/>
                    </w:rPr>
                  </w:pPr>
                  <w:r>
                    <w:rPr>
                      <w:rFonts w:hint="eastAsia"/>
                      <w:szCs w:val="21"/>
                      <w:u w:val="single"/>
                    </w:rPr>
                    <w:t>产品</w:t>
                  </w:r>
                </w:p>
              </w:tc>
              <w:tc>
                <w:tcPr>
                  <w:tcW w:w="1409" w:type="dxa"/>
                  <w:vAlign w:val="center"/>
                </w:tcPr>
                <w:p>
                  <w:pPr>
                    <w:spacing w:line="360" w:lineRule="auto"/>
                    <w:jc w:val="center"/>
                    <w:rPr>
                      <w:rFonts w:hint="default" w:eastAsia="宋体"/>
                      <w:szCs w:val="21"/>
                      <w:u w:val="single"/>
                      <w:lang w:val="en-US" w:eastAsia="zh-CN"/>
                    </w:rPr>
                  </w:pPr>
                  <w:r>
                    <w:rPr>
                      <w:rFonts w:hint="eastAsia"/>
                      <w:szCs w:val="21"/>
                      <w:u w:val="single"/>
                    </w:rPr>
                    <w:t>5</w:t>
                  </w:r>
                  <w:r>
                    <w:rPr>
                      <w:rFonts w:hint="eastAsia"/>
                      <w:szCs w:val="21"/>
                      <w:u w:val="single"/>
                      <w:lang w:val="en-US" w:eastAsia="zh-CN"/>
                    </w:rPr>
                    <w:t>87997.82</w:t>
                  </w:r>
                </w:p>
              </w:tc>
              <w:tc>
                <w:tcPr>
                  <w:tcW w:w="834" w:type="dxa"/>
                  <w:vAlign w:val="center"/>
                </w:tcPr>
                <w:p>
                  <w:pPr>
                    <w:jc w:val="center"/>
                    <w:rPr>
                      <w:szCs w:val="21"/>
                      <w:u w:val="single"/>
                    </w:rPr>
                  </w:pPr>
                  <w:r>
                    <w:rPr>
                      <w:szCs w:val="21"/>
                      <w:u w:val="single"/>
                    </w:rPr>
                    <w:t>t/a</w:t>
                  </w:r>
                </w:p>
              </w:tc>
              <w:tc>
                <w:tcPr>
                  <w:tcW w:w="2609" w:type="dxa"/>
                  <w:vAlign w:val="center"/>
                </w:tcPr>
                <w:p>
                  <w:pPr>
                    <w:jc w:val="center"/>
                    <w:rPr>
                      <w:szCs w:val="21"/>
                      <w:u w:val="single"/>
                    </w:rPr>
                  </w:pPr>
                  <w:r>
                    <w:rPr>
                      <w:rFonts w:hint="eastAsia"/>
                      <w:szCs w:val="21"/>
                      <w:u w:val="single"/>
                    </w:rPr>
                    <w:t>外售华容县城及周边地区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90" w:type="dxa"/>
                  <w:vAlign w:val="center"/>
                </w:tcPr>
                <w:p>
                  <w:pPr>
                    <w:jc w:val="center"/>
                    <w:rPr>
                      <w:szCs w:val="21"/>
                      <w:u w:val="single"/>
                    </w:rPr>
                  </w:pPr>
                  <w:r>
                    <w:rPr>
                      <w:rFonts w:hint="eastAsia"/>
                      <w:szCs w:val="21"/>
                      <w:u w:val="single"/>
                    </w:rPr>
                    <w:t>3</w:t>
                  </w:r>
                </w:p>
              </w:tc>
              <w:tc>
                <w:tcPr>
                  <w:tcW w:w="1415" w:type="dxa"/>
                  <w:vAlign w:val="center"/>
                </w:tcPr>
                <w:p>
                  <w:pPr>
                    <w:adjustRightInd w:val="0"/>
                    <w:snapToGrid w:val="0"/>
                    <w:jc w:val="center"/>
                    <w:rPr>
                      <w:szCs w:val="21"/>
                      <w:u w:val="single"/>
                    </w:rPr>
                  </w:pPr>
                  <w:r>
                    <w:rPr>
                      <w:rFonts w:hint="eastAsia"/>
                      <w:szCs w:val="21"/>
                      <w:u w:val="single"/>
                    </w:rPr>
                    <w:t>装卸、堆存、运输、筛分及破碎</w:t>
                  </w:r>
                </w:p>
              </w:tc>
              <w:tc>
                <w:tcPr>
                  <w:tcW w:w="1319" w:type="dxa"/>
                  <w:vAlign w:val="center"/>
                </w:tcPr>
                <w:p>
                  <w:pPr>
                    <w:spacing w:line="360" w:lineRule="auto"/>
                    <w:jc w:val="center"/>
                    <w:rPr>
                      <w:u w:val="single"/>
                    </w:rPr>
                  </w:pPr>
                  <w:r>
                    <w:rPr>
                      <w:rFonts w:hint="eastAsia"/>
                      <w:u w:val="single"/>
                    </w:rPr>
                    <w:t>粉尘</w:t>
                  </w:r>
                </w:p>
              </w:tc>
              <w:tc>
                <w:tcPr>
                  <w:tcW w:w="1409" w:type="dxa"/>
                  <w:vAlign w:val="center"/>
                </w:tcPr>
                <w:p>
                  <w:pPr>
                    <w:spacing w:line="360" w:lineRule="auto"/>
                    <w:jc w:val="center"/>
                    <w:rPr>
                      <w:u w:val="single"/>
                    </w:rPr>
                  </w:pPr>
                  <w:r>
                    <w:rPr>
                      <w:rFonts w:hint="eastAsia"/>
                      <w:u w:val="single"/>
                    </w:rPr>
                    <w:t>0.78</w:t>
                  </w:r>
                </w:p>
              </w:tc>
              <w:tc>
                <w:tcPr>
                  <w:tcW w:w="834" w:type="dxa"/>
                  <w:vAlign w:val="center"/>
                </w:tcPr>
                <w:p>
                  <w:pPr>
                    <w:jc w:val="center"/>
                    <w:rPr>
                      <w:szCs w:val="21"/>
                      <w:u w:val="single"/>
                    </w:rPr>
                  </w:pPr>
                  <w:r>
                    <w:rPr>
                      <w:szCs w:val="21"/>
                      <w:u w:val="single"/>
                    </w:rPr>
                    <w:t>t/a</w:t>
                  </w:r>
                </w:p>
              </w:tc>
              <w:tc>
                <w:tcPr>
                  <w:tcW w:w="2609" w:type="dxa"/>
                  <w:vAlign w:val="center"/>
                </w:tcPr>
                <w:p>
                  <w:pPr>
                    <w:jc w:val="center"/>
                    <w:rPr>
                      <w:szCs w:val="21"/>
                      <w:u w:val="single"/>
                    </w:rPr>
                  </w:pPr>
                  <w:r>
                    <w:rPr>
                      <w:rFonts w:hint="eastAsia"/>
                      <w:szCs w:val="21"/>
                      <w:u w:val="single"/>
                    </w:rPr>
                    <w:t>无组织外排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90" w:type="dxa"/>
                  <w:vMerge w:val="restart"/>
                  <w:vAlign w:val="center"/>
                </w:tcPr>
                <w:p>
                  <w:pPr>
                    <w:jc w:val="center"/>
                    <w:rPr>
                      <w:szCs w:val="21"/>
                      <w:u w:val="single"/>
                    </w:rPr>
                  </w:pPr>
                  <w:r>
                    <w:rPr>
                      <w:rFonts w:hint="eastAsia"/>
                      <w:szCs w:val="21"/>
                      <w:u w:val="single"/>
                    </w:rPr>
                    <w:t>4</w:t>
                  </w:r>
                </w:p>
              </w:tc>
              <w:tc>
                <w:tcPr>
                  <w:tcW w:w="1415" w:type="dxa"/>
                  <w:vMerge w:val="restart"/>
                  <w:vAlign w:val="center"/>
                </w:tcPr>
                <w:p>
                  <w:pPr>
                    <w:adjustRightInd w:val="0"/>
                    <w:snapToGrid w:val="0"/>
                    <w:jc w:val="center"/>
                    <w:rPr>
                      <w:szCs w:val="21"/>
                      <w:u w:val="single"/>
                    </w:rPr>
                  </w:pPr>
                  <w:r>
                    <w:rPr>
                      <w:rFonts w:hint="eastAsia"/>
                      <w:szCs w:val="21"/>
                      <w:u w:val="single"/>
                    </w:rPr>
                    <w:t>沉砂池污泥</w:t>
                  </w:r>
                </w:p>
              </w:tc>
              <w:tc>
                <w:tcPr>
                  <w:tcW w:w="1319" w:type="dxa"/>
                  <w:vAlign w:val="center"/>
                </w:tcPr>
                <w:p>
                  <w:pPr>
                    <w:jc w:val="center"/>
                    <w:rPr>
                      <w:u w:val="single"/>
                    </w:rPr>
                  </w:pPr>
                  <w:r>
                    <w:rPr>
                      <w:rFonts w:hint="eastAsia"/>
                      <w:szCs w:val="21"/>
                      <w:u w:val="single"/>
                    </w:rPr>
                    <w:t>洗砂泥沙</w:t>
                  </w:r>
                </w:p>
              </w:tc>
              <w:tc>
                <w:tcPr>
                  <w:tcW w:w="1409" w:type="dxa"/>
                  <w:vAlign w:val="center"/>
                </w:tcPr>
                <w:p>
                  <w:pPr>
                    <w:spacing w:line="360" w:lineRule="auto"/>
                    <w:jc w:val="center"/>
                    <w:rPr>
                      <w:rFonts w:hint="default" w:eastAsia="宋体"/>
                      <w:u w:val="single"/>
                      <w:lang w:val="en-US" w:eastAsia="zh-CN"/>
                    </w:rPr>
                  </w:pPr>
                  <w:r>
                    <w:rPr>
                      <w:rFonts w:hint="eastAsia"/>
                      <w:u w:val="single"/>
                      <w:lang w:val="en-US" w:eastAsia="zh-CN"/>
                    </w:rPr>
                    <w:t>12000</w:t>
                  </w:r>
                </w:p>
              </w:tc>
              <w:tc>
                <w:tcPr>
                  <w:tcW w:w="834" w:type="dxa"/>
                  <w:vMerge w:val="restart"/>
                  <w:vAlign w:val="center"/>
                </w:tcPr>
                <w:p>
                  <w:pPr>
                    <w:jc w:val="center"/>
                    <w:rPr>
                      <w:szCs w:val="21"/>
                      <w:u w:val="single"/>
                    </w:rPr>
                  </w:pPr>
                  <w:r>
                    <w:rPr>
                      <w:szCs w:val="21"/>
                      <w:u w:val="single"/>
                    </w:rPr>
                    <w:t>t/a</w:t>
                  </w:r>
                </w:p>
              </w:tc>
              <w:tc>
                <w:tcPr>
                  <w:tcW w:w="2609" w:type="dxa"/>
                  <w:vMerge w:val="restart"/>
                  <w:vAlign w:val="center"/>
                </w:tcPr>
                <w:p>
                  <w:pPr>
                    <w:jc w:val="center"/>
                    <w:rPr>
                      <w:szCs w:val="21"/>
                      <w:u w:val="single"/>
                    </w:rPr>
                  </w:pPr>
                  <w:r>
                    <w:rPr>
                      <w:rFonts w:hint="eastAsia"/>
                      <w:szCs w:val="21"/>
                      <w:u w:val="single"/>
                    </w:rPr>
                    <w:t>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90" w:type="dxa"/>
                  <w:vMerge w:val="continue"/>
                  <w:vAlign w:val="center"/>
                </w:tcPr>
                <w:p>
                  <w:pPr>
                    <w:jc w:val="center"/>
                    <w:rPr>
                      <w:szCs w:val="21"/>
                      <w:u w:val="single"/>
                    </w:rPr>
                  </w:pPr>
                </w:p>
              </w:tc>
              <w:tc>
                <w:tcPr>
                  <w:tcW w:w="1415" w:type="dxa"/>
                  <w:vMerge w:val="continue"/>
                  <w:vAlign w:val="center"/>
                </w:tcPr>
                <w:p>
                  <w:pPr>
                    <w:adjustRightInd w:val="0"/>
                    <w:snapToGrid w:val="0"/>
                    <w:jc w:val="center"/>
                    <w:rPr>
                      <w:szCs w:val="21"/>
                      <w:u w:val="single"/>
                    </w:rPr>
                  </w:pPr>
                </w:p>
              </w:tc>
              <w:tc>
                <w:tcPr>
                  <w:tcW w:w="1319" w:type="dxa"/>
                  <w:vAlign w:val="center"/>
                </w:tcPr>
                <w:p>
                  <w:pPr>
                    <w:jc w:val="center"/>
                    <w:rPr>
                      <w:u w:val="single"/>
                    </w:rPr>
                  </w:pPr>
                  <w:r>
                    <w:rPr>
                      <w:rFonts w:hint="eastAsia"/>
                      <w:szCs w:val="21"/>
                      <w:u w:val="single"/>
                    </w:rPr>
                    <w:t>破碎筛分粉尘</w:t>
                  </w:r>
                </w:p>
              </w:tc>
              <w:tc>
                <w:tcPr>
                  <w:tcW w:w="1409" w:type="dxa"/>
                  <w:vAlign w:val="center"/>
                </w:tcPr>
                <w:p>
                  <w:pPr>
                    <w:spacing w:line="360" w:lineRule="auto"/>
                    <w:jc w:val="center"/>
                    <w:rPr>
                      <w:u w:val="single"/>
                    </w:rPr>
                  </w:pPr>
                  <w:r>
                    <w:rPr>
                      <w:rFonts w:hint="eastAsia"/>
                      <w:u w:val="single"/>
                    </w:rPr>
                    <w:t>1.4</w:t>
                  </w:r>
                </w:p>
              </w:tc>
              <w:tc>
                <w:tcPr>
                  <w:tcW w:w="834" w:type="dxa"/>
                  <w:vMerge w:val="continue"/>
                  <w:vAlign w:val="center"/>
                </w:tcPr>
                <w:p>
                  <w:pPr>
                    <w:jc w:val="center"/>
                    <w:rPr>
                      <w:szCs w:val="21"/>
                      <w:u w:val="single"/>
                    </w:rPr>
                  </w:pPr>
                </w:p>
              </w:tc>
              <w:tc>
                <w:tcPr>
                  <w:tcW w:w="2609" w:type="dxa"/>
                  <w:vMerge w:val="continue"/>
                  <w:vAlign w:val="center"/>
                </w:tcPr>
                <w:p>
                  <w:pPr>
                    <w:jc w:val="center"/>
                    <w:rPr>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90" w:type="dxa"/>
                  <w:vAlign w:val="center"/>
                </w:tcPr>
                <w:p>
                  <w:pPr>
                    <w:jc w:val="center"/>
                    <w:rPr>
                      <w:szCs w:val="21"/>
                      <w:u w:val="single"/>
                    </w:rPr>
                  </w:pPr>
                  <w:r>
                    <w:rPr>
                      <w:szCs w:val="21"/>
                      <w:u w:val="single"/>
                    </w:rPr>
                    <w:t>合计</w:t>
                  </w:r>
                </w:p>
              </w:tc>
              <w:tc>
                <w:tcPr>
                  <w:tcW w:w="1415" w:type="dxa"/>
                  <w:vAlign w:val="center"/>
                </w:tcPr>
                <w:p>
                  <w:pPr>
                    <w:jc w:val="center"/>
                    <w:rPr>
                      <w:szCs w:val="21"/>
                      <w:u w:val="single"/>
                    </w:rPr>
                  </w:pPr>
                  <w:r>
                    <w:rPr>
                      <w:rFonts w:hint="eastAsia"/>
                      <w:szCs w:val="21"/>
                      <w:u w:val="single"/>
                    </w:rPr>
                    <w:t>/</w:t>
                  </w:r>
                </w:p>
              </w:tc>
              <w:tc>
                <w:tcPr>
                  <w:tcW w:w="1319" w:type="dxa"/>
                  <w:vAlign w:val="center"/>
                </w:tcPr>
                <w:p>
                  <w:pPr>
                    <w:jc w:val="center"/>
                    <w:rPr>
                      <w:szCs w:val="21"/>
                      <w:u w:val="single"/>
                    </w:rPr>
                  </w:pPr>
                  <w:r>
                    <w:rPr>
                      <w:rFonts w:hint="eastAsia"/>
                      <w:szCs w:val="21"/>
                      <w:u w:val="single"/>
                    </w:rPr>
                    <w:t>/</w:t>
                  </w:r>
                </w:p>
              </w:tc>
              <w:tc>
                <w:tcPr>
                  <w:tcW w:w="1409" w:type="dxa"/>
                  <w:vAlign w:val="center"/>
                </w:tcPr>
                <w:p>
                  <w:pPr>
                    <w:jc w:val="center"/>
                    <w:rPr>
                      <w:szCs w:val="21"/>
                      <w:u w:val="single"/>
                    </w:rPr>
                  </w:pPr>
                  <w:r>
                    <w:rPr>
                      <w:rFonts w:hint="eastAsia"/>
                      <w:szCs w:val="21"/>
                      <w:u w:val="single"/>
                    </w:rPr>
                    <w:t>600000</w:t>
                  </w:r>
                </w:p>
              </w:tc>
              <w:tc>
                <w:tcPr>
                  <w:tcW w:w="834" w:type="dxa"/>
                  <w:vAlign w:val="center"/>
                </w:tcPr>
                <w:p>
                  <w:pPr>
                    <w:jc w:val="center"/>
                    <w:rPr>
                      <w:szCs w:val="21"/>
                      <w:u w:val="single"/>
                    </w:rPr>
                  </w:pPr>
                  <w:r>
                    <w:rPr>
                      <w:szCs w:val="21"/>
                      <w:u w:val="single"/>
                    </w:rPr>
                    <w:t>t/a</w:t>
                  </w:r>
                </w:p>
              </w:tc>
              <w:tc>
                <w:tcPr>
                  <w:tcW w:w="2609" w:type="dxa"/>
                  <w:vAlign w:val="center"/>
                </w:tcPr>
                <w:p>
                  <w:pPr>
                    <w:jc w:val="center"/>
                    <w:rPr>
                      <w:szCs w:val="21"/>
                      <w:u w:val="single"/>
                    </w:rPr>
                  </w:pPr>
                  <w:r>
                    <w:rPr>
                      <w:rFonts w:hint="eastAsia"/>
                      <w:szCs w:val="21"/>
                      <w:u w:val="single"/>
                    </w:rPr>
                    <w:t>/</w:t>
                  </w:r>
                </w:p>
              </w:tc>
            </w:tr>
          </w:tbl>
          <w:p>
            <w:pPr>
              <w:spacing w:line="360" w:lineRule="auto"/>
              <w:rPr>
                <w:b/>
                <w:sz w:val="24"/>
              </w:rPr>
            </w:pPr>
            <w:r>
              <w:rPr>
                <w:rFonts w:hint="eastAsia"/>
                <w:b/>
                <w:sz w:val="24"/>
              </w:rPr>
              <w:t>水平衡图如下：</w:t>
            </w:r>
          </w:p>
          <w:p>
            <w:pPr>
              <w:pStyle w:val="2"/>
              <w:rPr>
                <w:color w:val="FF0000"/>
                <w:szCs w:val="20"/>
              </w:rPr>
            </w:pPr>
            <w:r>
              <w:drawing>
                <wp:inline distT="0" distB="0" distL="114300" distR="114300">
                  <wp:extent cx="5269230" cy="3270885"/>
                  <wp:effectExtent l="0" t="0" r="7620" b="571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1"/>
                          <a:stretch>
                            <a:fillRect/>
                          </a:stretch>
                        </pic:blipFill>
                        <pic:spPr>
                          <a:xfrm>
                            <a:off x="0" y="0"/>
                            <a:ext cx="5269230" cy="3270885"/>
                          </a:xfrm>
                          <a:prstGeom prst="rect">
                            <a:avLst/>
                          </a:prstGeom>
                          <a:noFill/>
                          <a:ln>
                            <a:noFill/>
                          </a:ln>
                        </pic:spPr>
                      </pic:pic>
                    </a:graphicData>
                  </a:graphic>
                </wp:inline>
              </w:drawing>
            </w:r>
          </w:p>
          <w:p>
            <w:pPr>
              <w:spacing w:line="360" w:lineRule="auto"/>
              <w:jc w:val="center"/>
              <w:rPr>
                <w:b/>
                <w:sz w:val="24"/>
              </w:rPr>
            </w:pPr>
            <w:r>
              <w:rPr>
                <w:rFonts w:hint="eastAsia"/>
                <w:b/>
                <w:sz w:val="24"/>
              </w:rPr>
              <w:t>图5-2   项目水平衡图（t/a）</w:t>
            </w:r>
          </w:p>
          <w:p>
            <w:pPr>
              <w:spacing w:line="360" w:lineRule="auto"/>
              <w:rPr>
                <w:b/>
                <w:sz w:val="24"/>
              </w:rPr>
            </w:pPr>
            <w:r>
              <w:rPr>
                <w:rFonts w:hint="eastAsia"/>
                <w:b/>
                <w:sz w:val="24"/>
              </w:rPr>
              <w:t>施工期主</w:t>
            </w:r>
            <w:r>
              <w:rPr>
                <w:b/>
                <w:sz w:val="24"/>
              </w:rPr>
              <w:t>要污染工序：</w:t>
            </w:r>
          </w:p>
          <w:p>
            <w:pPr>
              <w:widowControl/>
              <w:spacing w:line="360" w:lineRule="auto"/>
              <w:ind w:firstLine="482" w:firstLineChars="200"/>
              <w:rPr>
                <w:b/>
                <w:bCs/>
                <w:sz w:val="24"/>
              </w:rPr>
            </w:pPr>
            <w:r>
              <w:rPr>
                <w:b/>
                <w:bCs/>
                <w:sz w:val="24"/>
              </w:rPr>
              <w:t>施工期污染工序：</w:t>
            </w:r>
          </w:p>
          <w:p>
            <w:pPr>
              <w:widowControl/>
              <w:spacing w:line="360" w:lineRule="auto"/>
              <w:ind w:firstLine="480" w:firstLineChars="200"/>
              <w:rPr>
                <w:bCs/>
                <w:sz w:val="24"/>
              </w:rPr>
            </w:pPr>
            <w:r>
              <w:rPr>
                <w:sz w:val="24"/>
              </w:rPr>
              <w:t>本项目为</w:t>
            </w:r>
            <w:r>
              <w:rPr>
                <w:rFonts w:hint="eastAsia"/>
                <w:sz w:val="24"/>
              </w:rPr>
              <w:t>新建</w:t>
            </w:r>
            <w:r>
              <w:rPr>
                <w:sz w:val="24"/>
              </w:rPr>
              <w:t>项目，</w:t>
            </w:r>
            <w:r>
              <w:rPr>
                <w:rFonts w:hint="eastAsia" w:ascii="宋体" w:hAnsi="宋体"/>
                <w:sz w:val="24"/>
              </w:rPr>
              <w:t>项目施工主要为生产区设备安装及成品堆场建设以及循环清水池开挖，</w:t>
            </w:r>
            <w:r>
              <w:rPr>
                <w:rFonts w:hint="eastAsia"/>
                <w:sz w:val="24"/>
              </w:rPr>
              <w:t>施工过程中排放的污染物较少，本项目施工过程中建筑材料运输及混凝土拌和等过程可能产生扬尘和粉尘等，造成环境空气污染；各类施工机具噪声将影响附近居民的正常生活环境；运输车辆的进出等将打破区域内外道路原来的交通秩序，增加交通负荷，造成道路交通不畅等现象，整个施工期主要影响因子为：</w:t>
            </w:r>
          </w:p>
          <w:p>
            <w:pPr>
              <w:widowControl/>
              <w:spacing w:line="360" w:lineRule="auto"/>
              <w:ind w:firstLine="352" w:firstLineChars="147"/>
              <w:jc w:val="left"/>
              <w:rPr>
                <w:sz w:val="24"/>
              </w:rPr>
            </w:pPr>
            <w:r>
              <w:rPr>
                <w:rFonts w:hint="eastAsia"/>
                <w:sz w:val="24"/>
              </w:rPr>
              <w:t>（</w:t>
            </w:r>
            <w:r>
              <w:rPr>
                <w:sz w:val="24"/>
              </w:rPr>
              <w:t>1</w:t>
            </w:r>
            <w:r>
              <w:rPr>
                <w:rFonts w:hint="eastAsia"/>
                <w:sz w:val="24"/>
              </w:rPr>
              <w:t>）施工期扬尘</w:t>
            </w:r>
          </w:p>
          <w:p>
            <w:pPr>
              <w:widowControl/>
              <w:spacing w:line="360" w:lineRule="auto"/>
              <w:ind w:firstLine="480" w:firstLineChars="200"/>
              <w:jc w:val="left"/>
              <w:rPr>
                <w:sz w:val="24"/>
              </w:rPr>
            </w:pPr>
            <w:r>
              <w:rPr>
                <w:rFonts w:hint="eastAsia"/>
                <w:sz w:val="24"/>
              </w:rPr>
              <w:t>根据国内外有关资料，施工扬尘起尘量与许多因素有关。起尘量主要包括两类：挖土机开挖起尘量和施工渣土堆场起尘量，属无组织面源排放，源强不易确定。本项目扬尘主要来源于：建筑材料运输进场装、卸及堆放过程产生的扬尘，各种施工车辆在运输过程中也会增加路面的起尘量。</w:t>
            </w:r>
          </w:p>
          <w:p>
            <w:pPr>
              <w:widowControl/>
              <w:spacing w:line="360" w:lineRule="auto"/>
              <w:ind w:firstLine="240" w:firstLineChars="100"/>
              <w:jc w:val="left"/>
              <w:rPr>
                <w:sz w:val="24"/>
              </w:rPr>
            </w:pPr>
            <w:r>
              <w:rPr>
                <w:rFonts w:hint="eastAsia"/>
                <w:sz w:val="24"/>
              </w:rPr>
              <w:t>（</w:t>
            </w:r>
            <w:r>
              <w:rPr>
                <w:sz w:val="24"/>
              </w:rPr>
              <w:t>2</w:t>
            </w:r>
            <w:r>
              <w:rPr>
                <w:rFonts w:hint="eastAsia"/>
                <w:sz w:val="24"/>
              </w:rPr>
              <w:t>）施工期废气</w:t>
            </w:r>
          </w:p>
          <w:p>
            <w:pPr>
              <w:widowControl/>
              <w:spacing w:line="360" w:lineRule="auto"/>
              <w:ind w:firstLine="480" w:firstLineChars="200"/>
              <w:jc w:val="left"/>
            </w:pPr>
            <w:r>
              <w:rPr>
                <w:rFonts w:hint="eastAsia"/>
                <w:sz w:val="24"/>
              </w:rPr>
              <w:t>项目施工期废气</w:t>
            </w:r>
            <w:r>
              <w:rPr>
                <w:rFonts w:hint="eastAsia" w:hAnsi="宋体"/>
                <w:sz w:val="24"/>
              </w:rPr>
              <w:t>主要为施工车辆、机械运行过程中产生的尾气。</w:t>
            </w:r>
          </w:p>
          <w:p>
            <w:pPr>
              <w:widowControl/>
              <w:spacing w:line="360" w:lineRule="auto"/>
              <w:jc w:val="left"/>
              <w:rPr>
                <w:sz w:val="24"/>
              </w:rPr>
            </w:pPr>
            <w:r>
              <w:rPr>
                <w:rFonts w:hint="eastAsia"/>
                <w:sz w:val="24"/>
              </w:rPr>
              <w:t>（</w:t>
            </w:r>
            <w:r>
              <w:rPr>
                <w:sz w:val="24"/>
              </w:rPr>
              <w:t>3</w:t>
            </w:r>
            <w:r>
              <w:rPr>
                <w:rFonts w:hint="eastAsia"/>
                <w:sz w:val="24"/>
              </w:rPr>
              <w:t>）施工噪声</w:t>
            </w:r>
          </w:p>
          <w:p>
            <w:pPr>
              <w:pStyle w:val="27"/>
              <w:widowControl/>
              <w:spacing w:after="0"/>
              <w:ind w:firstLine="470" w:firstLineChars="196"/>
              <w:jc w:val="left"/>
              <w:rPr>
                <w:b/>
                <w:sz w:val="24"/>
                <w:szCs w:val="20"/>
              </w:rPr>
            </w:pPr>
            <w:r>
              <w:rPr>
                <w:rFonts w:hint="eastAsia"/>
                <w:sz w:val="24"/>
                <w:szCs w:val="20"/>
              </w:rPr>
              <w:t>施工期噪声主要为场地平整使用挖土机、推土机产生的噪声，场土平整阶段噪声级一般为</w:t>
            </w:r>
            <w:r>
              <w:rPr>
                <w:sz w:val="24"/>
                <w:szCs w:val="20"/>
              </w:rPr>
              <w:t>75</w:t>
            </w:r>
            <w:r>
              <w:rPr>
                <w:rFonts w:hint="eastAsia"/>
                <w:sz w:val="24"/>
                <w:szCs w:val="20"/>
              </w:rPr>
              <w:t>～</w:t>
            </w:r>
            <w:r>
              <w:rPr>
                <w:sz w:val="24"/>
                <w:szCs w:val="20"/>
              </w:rPr>
              <w:t>90dB</w:t>
            </w:r>
            <w:r>
              <w:rPr>
                <w:rFonts w:hint="eastAsia"/>
                <w:sz w:val="24"/>
                <w:szCs w:val="20"/>
              </w:rPr>
              <w:t>（</w:t>
            </w:r>
            <w:r>
              <w:rPr>
                <w:sz w:val="24"/>
                <w:szCs w:val="20"/>
              </w:rPr>
              <w:t>A</w:t>
            </w:r>
            <w:r>
              <w:rPr>
                <w:rFonts w:hint="eastAsia"/>
                <w:sz w:val="24"/>
                <w:szCs w:val="20"/>
              </w:rPr>
              <w:t>）。</w:t>
            </w:r>
          </w:p>
          <w:p>
            <w:pPr>
              <w:pStyle w:val="27"/>
              <w:widowControl/>
              <w:spacing w:after="0"/>
              <w:ind w:firstLine="240"/>
              <w:jc w:val="left"/>
              <w:rPr>
                <w:sz w:val="24"/>
                <w:szCs w:val="20"/>
              </w:rPr>
            </w:pPr>
            <w:r>
              <w:rPr>
                <w:rFonts w:hint="eastAsia"/>
                <w:sz w:val="24"/>
                <w:szCs w:val="20"/>
              </w:rPr>
              <w:t>（</w:t>
            </w:r>
            <w:r>
              <w:rPr>
                <w:sz w:val="24"/>
                <w:szCs w:val="20"/>
              </w:rPr>
              <w:t>4</w:t>
            </w:r>
            <w:r>
              <w:rPr>
                <w:rFonts w:hint="eastAsia"/>
                <w:sz w:val="24"/>
                <w:szCs w:val="20"/>
              </w:rPr>
              <w:t>）施工期废水</w:t>
            </w:r>
          </w:p>
          <w:p>
            <w:pPr>
              <w:widowControl/>
              <w:spacing w:line="360" w:lineRule="auto"/>
              <w:ind w:firstLine="480" w:firstLineChars="200"/>
              <w:jc w:val="left"/>
              <w:rPr>
                <w:sz w:val="24"/>
              </w:rPr>
            </w:pPr>
            <w:r>
              <w:rPr>
                <w:rFonts w:hint="eastAsia"/>
                <w:sz w:val="24"/>
              </w:rPr>
              <w:t>施工期废水主</w:t>
            </w:r>
            <w:r>
              <w:rPr>
                <w:rFonts w:hint="eastAsia" w:hAnsi="宋体"/>
                <w:sz w:val="24"/>
              </w:rPr>
              <w:t>要为工地生活污水和工地施工废水。</w:t>
            </w:r>
          </w:p>
          <w:p>
            <w:pPr>
              <w:widowControl/>
              <w:spacing w:line="360" w:lineRule="auto"/>
              <w:ind w:firstLine="480" w:firstLineChars="200"/>
              <w:jc w:val="left"/>
              <w:rPr>
                <w:sz w:val="24"/>
              </w:rPr>
            </w:pPr>
            <w:r>
              <w:rPr>
                <w:rFonts w:hint="eastAsia" w:ascii="宋体" w:hAnsi="宋体" w:cs="宋体"/>
                <w:sz w:val="24"/>
              </w:rPr>
              <w:t>①</w:t>
            </w:r>
            <w:r>
              <w:rPr>
                <w:rFonts w:hint="eastAsia"/>
                <w:sz w:val="24"/>
              </w:rPr>
              <w:t>生活污水</w:t>
            </w:r>
          </w:p>
          <w:p>
            <w:pPr>
              <w:widowControl/>
              <w:spacing w:line="360" w:lineRule="auto"/>
              <w:ind w:firstLine="480" w:firstLineChars="200"/>
              <w:jc w:val="left"/>
              <w:rPr>
                <w:sz w:val="24"/>
              </w:rPr>
            </w:pPr>
            <w:r>
              <w:rPr>
                <w:rFonts w:hint="eastAsia"/>
                <w:sz w:val="24"/>
              </w:rPr>
              <w:t>施工高峰期间人员及工地管理人员共约25人，按45</w:t>
            </w:r>
            <w:r>
              <w:rPr>
                <w:sz w:val="24"/>
              </w:rPr>
              <w:t>L/</w:t>
            </w:r>
            <w:r>
              <w:rPr>
                <w:rFonts w:hint="eastAsia"/>
                <w:sz w:val="24"/>
              </w:rPr>
              <w:t>人</w:t>
            </w:r>
            <w:r>
              <w:rPr>
                <w:sz w:val="24"/>
              </w:rPr>
              <w:t>.d</w:t>
            </w:r>
            <w:r>
              <w:rPr>
                <w:rFonts w:hint="eastAsia"/>
                <w:sz w:val="24"/>
              </w:rPr>
              <w:t>计算，用水量为1.13</w:t>
            </w:r>
            <w:r>
              <w:rPr>
                <w:sz w:val="24"/>
              </w:rPr>
              <w:t>m</w:t>
            </w:r>
            <w:r>
              <w:rPr>
                <w:sz w:val="24"/>
                <w:vertAlign w:val="superscript"/>
              </w:rPr>
              <w:t>3</w:t>
            </w:r>
            <w:r>
              <w:rPr>
                <w:sz w:val="24"/>
              </w:rPr>
              <w:t>/d</w:t>
            </w:r>
            <w:r>
              <w:rPr>
                <w:rFonts w:hint="eastAsia"/>
                <w:sz w:val="24"/>
              </w:rPr>
              <w:t>，生活污水排放系数按</w:t>
            </w:r>
            <w:r>
              <w:rPr>
                <w:sz w:val="24"/>
              </w:rPr>
              <w:t>0.8</w:t>
            </w:r>
            <w:r>
              <w:rPr>
                <w:rFonts w:hint="eastAsia"/>
                <w:sz w:val="24"/>
              </w:rPr>
              <w:t>计，项目施工期生活污水产生量为0.9</w:t>
            </w:r>
            <w:r>
              <w:rPr>
                <w:sz w:val="24"/>
              </w:rPr>
              <w:t>m</w:t>
            </w:r>
            <w:r>
              <w:rPr>
                <w:sz w:val="24"/>
                <w:vertAlign w:val="superscript"/>
              </w:rPr>
              <w:t>3</w:t>
            </w:r>
            <w:r>
              <w:rPr>
                <w:sz w:val="24"/>
              </w:rPr>
              <w:t>/d</w:t>
            </w:r>
            <w:r>
              <w:rPr>
                <w:rFonts w:hint="eastAsia"/>
                <w:sz w:val="24"/>
              </w:rPr>
              <w:t>。</w:t>
            </w:r>
          </w:p>
          <w:p>
            <w:pPr>
              <w:widowControl/>
              <w:spacing w:line="360" w:lineRule="auto"/>
              <w:ind w:firstLine="480" w:firstLineChars="200"/>
              <w:jc w:val="left"/>
              <w:rPr>
                <w:rFonts w:hint="eastAsia"/>
                <w:sz w:val="24"/>
                <w:szCs w:val="22"/>
              </w:rPr>
            </w:pPr>
            <w:r>
              <w:rPr>
                <w:rFonts w:hint="eastAsia"/>
                <w:sz w:val="24"/>
                <w:szCs w:val="22"/>
              </w:rPr>
              <w:t>②工地施工废水</w:t>
            </w:r>
          </w:p>
          <w:p>
            <w:pPr>
              <w:widowControl/>
              <w:spacing w:line="360" w:lineRule="auto"/>
              <w:ind w:firstLine="480" w:firstLineChars="200"/>
              <w:jc w:val="left"/>
              <w:rPr>
                <w:sz w:val="24"/>
              </w:rPr>
            </w:pPr>
            <w:r>
              <w:rPr>
                <w:rFonts w:hint="eastAsia" w:hAnsi="宋体"/>
                <w:sz w:val="24"/>
              </w:rPr>
              <w:t>工地施工废水主要为混凝土搅拌废水及施工机械</w:t>
            </w:r>
            <w:r>
              <w:rPr>
                <w:rFonts w:hint="eastAsia"/>
                <w:sz w:val="24"/>
              </w:rPr>
              <w:t>冲洗废水。废水主要含泥砂，</w:t>
            </w:r>
            <w:r>
              <w:rPr>
                <w:sz w:val="24"/>
              </w:rPr>
              <w:t>pH</w:t>
            </w:r>
            <w:r>
              <w:rPr>
                <w:rFonts w:hint="eastAsia"/>
                <w:sz w:val="24"/>
              </w:rPr>
              <w:t>值呈弱碱性，并带有少量油污。</w:t>
            </w:r>
          </w:p>
          <w:p>
            <w:pPr>
              <w:widowControl/>
              <w:spacing w:line="360" w:lineRule="auto"/>
              <w:ind w:firstLine="240" w:firstLineChars="100"/>
              <w:jc w:val="left"/>
              <w:rPr>
                <w:sz w:val="24"/>
              </w:rPr>
            </w:pPr>
            <w:r>
              <w:rPr>
                <w:rFonts w:hint="eastAsia"/>
                <w:sz w:val="24"/>
              </w:rPr>
              <w:t>（</w:t>
            </w:r>
            <w:r>
              <w:rPr>
                <w:sz w:val="24"/>
              </w:rPr>
              <w:t>5</w:t>
            </w:r>
            <w:r>
              <w:rPr>
                <w:rFonts w:hint="eastAsia"/>
                <w:sz w:val="24"/>
              </w:rPr>
              <w:t>）施工期生活垃圾</w:t>
            </w:r>
          </w:p>
          <w:p>
            <w:pPr>
              <w:widowControl/>
              <w:spacing w:line="360" w:lineRule="auto"/>
              <w:ind w:firstLine="480" w:firstLineChars="200"/>
              <w:jc w:val="left"/>
              <w:rPr>
                <w:sz w:val="24"/>
              </w:rPr>
            </w:pPr>
            <w:r>
              <w:rPr>
                <w:rFonts w:hint="eastAsia"/>
                <w:sz w:val="24"/>
              </w:rPr>
              <w:t>项目施工期高峰时施工人员约25人，生活垃圾按</w:t>
            </w:r>
            <w:r>
              <w:rPr>
                <w:sz w:val="24"/>
              </w:rPr>
              <w:t>0.5kg/</w:t>
            </w:r>
            <w:r>
              <w:rPr>
                <w:rFonts w:hint="eastAsia"/>
                <w:sz w:val="24"/>
              </w:rPr>
              <w:t>人</w:t>
            </w:r>
            <w:r>
              <w:rPr>
                <w:sz w:val="24"/>
              </w:rPr>
              <w:t>·d</w:t>
            </w:r>
            <w:r>
              <w:rPr>
                <w:rFonts w:hint="eastAsia"/>
                <w:sz w:val="24"/>
              </w:rPr>
              <w:t>计，生活垃圾产生量约12.5</w:t>
            </w:r>
            <w:r>
              <w:rPr>
                <w:sz w:val="24"/>
              </w:rPr>
              <w:t>kg/d</w:t>
            </w:r>
            <w:r>
              <w:rPr>
                <w:rFonts w:hint="eastAsia"/>
                <w:sz w:val="24"/>
              </w:rPr>
              <w:t>。</w:t>
            </w:r>
          </w:p>
          <w:p>
            <w:pPr>
              <w:pStyle w:val="2"/>
              <w:rPr>
                <w:szCs w:val="20"/>
              </w:rPr>
            </w:pPr>
            <w:r>
              <w:rPr>
                <w:rFonts w:hint="eastAsia"/>
                <w:sz w:val="24"/>
                <w:szCs w:val="20"/>
              </w:rPr>
              <w:t xml:space="preserve">    （6）施工期生态环境破坏</w:t>
            </w:r>
          </w:p>
          <w:p>
            <w:pPr>
              <w:widowControl/>
              <w:spacing w:line="360" w:lineRule="auto"/>
              <w:ind w:firstLine="480" w:firstLineChars="200"/>
              <w:jc w:val="left"/>
              <w:rPr>
                <w:sz w:val="24"/>
                <w:szCs w:val="22"/>
              </w:rPr>
            </w:pPr>
            <w:r>
              <w:rPr>
                <w:rFonts w:hint="eastAsia"/>
                <w:sz w:val="24"/>
                <w:szCs w:val="22"/>
              </w:rPr>
              <w:t>本项目施工建设过程中土方的开挖、填筑，机械碾压等施工活动，破坏了项目区原有地貌和植被，会引起生态环境破坏等不利影响。开工建设时土石方的开挖、回填，在雨季将有一定的水土流失。水土流失主要是由于开挖地面、机械碾压、机械运输等原因，表土结构会被松动，致使土体抗蚀能力降低，土城侵蚀加剧。裸露的土城极易被降雨径流冲刷而产生水上流失，据有关资料报道，完全裸露的土城其侵蚀模数为0.5-1.特别是暴雨径流的冲刷时产生水土流失和大量的泥沙污水而污染环境，造成排水管网、沟渠的堵塞。</w:t>
            </w:r>
          </w:p>
          <w:p>
            <w:pPr>
              <w:spacing w:line="360" w:lineRule="auto"/>
              <w:rPr>
                <w:b/>
                <w:sz w:val="24"/>
              </w:rPr>
            </w:pPr>
            <w:r>
              <w:rPr>
                <w:rFonts w:hint="eastAsia"/>
                <w:b/>
                <w:sz w:val="24"/>
              </w:rPr>
              <w:t>营运期主要污染工序：</w:t>
            </w:r>
          </w:p>
          <w:p>
            <w:pPr>
              <w:spacing w:line="360" w:lineRule="auto"/>
              <w:ind w:firstLine="480" w:firstLineChars="200"/>
              <w:rPr>
                <w:b/>
                <w:sz w:val="24"/>
              </w:rPr>
            </w:pPr>
            <w:r>
              <w:rPr>
                <w:rFonts w:hint="eastAsia"/>
                <w:sz w:val="24"/>
              </w:rPr>
              <w:t>营运期污染工序主要为洗砂废水和生活废水，粉尘、噪声及污泥、含油废抹布和生活垃圾等。</w:t>
            </w:r>
          </w:p>
          <w:p>
            <w:pPr>
              <w:numPr>
                <w:ilvl w:val="0"/>
                <w:numId w:val="1"/>
              </w:numPr>
              <w:spacing w:line="360" w:lineRule="auto"/>
              <w:ind w:firstLine="482" w:firstLineChars="200"/>
              <w:rPr>
                <w:b/>
                <w:sz w:val="24"/>
              </w:rPr>
            </w:pPr>
            <w:r>
              <w:rPr>
                <w:rFonts w:hint="eastAsia"/>
                <w:b/>
                <w:sz w:val="24"/>
              </w:rPr>
              <w:t>废水</w:t>
            </w:r>
          </w:p>
          <w:p>
            <w:pPr>
              <w:spacing w:line="360" w:lineRule="auto"/>
              <w:ind w:firstLine="480" w:firstLineChars="200"/>
              <w:rPr>
                <w:kern w:val="0"/>
                <w:sz w:val="24"/>
              </w:rPr>
            </w:pPr>
            <w:r>
              <w:rPr>
                <w:rFonts w:hint="eastAsia"/>
                <w:kern w:val="0"/>
                <w:sz w:val="24"/>
              </w:rPr>
              <w:t>（1）生产废水</w:t>
            </w:r>
          </w:p>
          <w:p>
            <w:pPr>
              <w:spacing w:line="360" w:lineRule="auto"/>
              <w:ind w:firstLine="480" w:firstLineChars="200"/>
              <w:rPr>
                <w:sz w:val="24"/>
                <w:szCs w:val="22"/>
              </w:rPr>
            </w:pPr>
            <w:r>
              <w:rPr>
                <w:rFonts w:hint="eastAsia"/>
                <w:sz w:val="24"/>
                <w:szCs w:val="22"/>
              </w:rPr>
              <w:t>营运期本项目生产废水主要为洗砂废水和抑尘废水。</w:t>
            </w:r>
          </w:p>
          <w:p>
            <w:pPr>
              <w:spacing w:line="360" w:lineRule="auto"/>
              <w:ind w:firstLine="480" w:firstLineChars="200"/>
              <w:rPr>
                <w:sz w:val="24"/>
                <w:szCs w:val="22"/>
              </w:rPr>
            </w:pPr>
            <w:r>
              <w:rPr>
                <w:rFonts w:hint="eastAsia"/>
                <w:sz w:val="24"/>
                <w:szCs w:val="22"/>
              </w:rPr>
              <w:t>①洗砂废水</w:t>
            </w:r>
          </w:p>
          <w:p>
            <w:pPr>
              <w:spacing w:line="360" w:lineRule="auto"/>
              <w:ind w:firstLine="480" w:firstLineChars="200"/>
              <w:rPr>
                <w:sz w:val="24"/>
              </w:rPr>
            </w:pPr>
            <w:r>
              <w:rPr>
                <w:rFonts w:hint="eastAsia"/>
                <w:sz w:val="24"/>
              </w:rPr>
              <w:t>根据建设方提供的经验数据，本项目洗砂用水量为0.5</w:t>
            </w:r>
            <w:r>
              <w:rPr>
                <w:sz w:val="24"/>
              </w:rPr>
              <w:t>t/t-</w:t>
            </w:r>
            <w:r>
              <w:rPr>
                <w:rFonts w:hint="eastAsia"/>
                <w:sz w:val="24"/>
              </w:rPr>
              <w:t>产品，项目年产砂石60万吨，年生产300天，则项目每天生产规模为2000吨/天，则项目洗砂用水量为1000t/d，废水主要污染物为SS，制砂系统废水具有水量大、SS浓度高的特点，根据工程砂石料源特性，加工生产方法，并借鉴一些已建砂场的现场相关资料，确定工程砂石筛分系统废水SS浓度约为2000mg/m</w:t>
            </w:r>
            <w:r>
              <w:rPr>
                <w:rFonts w:hint="eastAsia"/>
                <w:sz w:val="24"/>
                <w:vertAlign w:val="superscript"/>
              </w:rPr>
              <w:t>3</w:t>
            </w:r>
            <w:r>
              <w:rPr>
                <w:rFonts w:hint="eastAsia"/>
                <w:sz w:val="24"/>
              </w:rPr>
              <w:t>，废水中粒径在0.15mm~5mm范围内的砂约占15%，粒径在0.1mm左右的砂约占79%，粒径在0.1mm以下的砂约占6%。</w:t>
            </w:r>
          </w:p>
          <w:p>
            <w:pPr>
              <w:spacing w:line="360" w:lineRule="auto"/>
              <w:ind w:firstLine="480" w:firstLineChars="200"/>
              <w:rPr>
                <w:sz w:val="24"/>
              </w:rPr>
            </w:pPr>
            <w:r>
              <w:rPr>
                <w:rFonts w:hint="eastAsia"/>
                <w:sz w:val="24"/>
              </w:rPr>
              <w:t>本项目洗沙废水</w:t>
            </w:r>
            <w:r>
              <w:rPr>
                <w:rFonts w:hint="eastAsia"/>
                <w:sz w:val="24"/>
                <w:lang w:eastAsia="zh-CN"/>
              </w:rPr>
              <w:t>处理</w:t>
            </w:r>
            <w:r>
              <w:rPr>
                <w:rFonts w:hint="eastAsia"/>
                <w:sz w:val="24"/>
              </w:rPr>
              <w:t>设施</w:t>
            </w:r>
            <w:r>
              <w:rPr>
                <w:rFonts w:hint="eastAsia"/>
                <w:sz w:val="24"/>
                <w:szCs w:val="22"/>
              </w:rPr>
              <w:t>为</w:t>
            </w:r>
            <w:r>
              <w:rPr>
                <w:rFonts w:hint="eastAsia"/>
                <w:sz w:val="24"/>
                <w:szCs w:val="22"/>
                <w:lang w:val="en-US" w:eastAsia="zh-CN"/>
              </w:rPr>
              <w:t>2个</w:t>
            </w:r>
            <w:r>
              <w:rPr>
                <w:rFonts w:hint="eastAsia"/>
                <w:sz w:val="24"/>
                <w:szCs w:val="22"/>
                <w:lang w:eastAsia="zh-CN"/>
              </w:rPr>
              <w:t>循环水塔</w:t>
            </w:r>
            <w:r>
              <w:rPr>
                <w:rFonts w:hint="eastAsia"/>
                <w:sz w:val="24"/>
                <w:szCs w:val="22"/>
              </w:rPr>
              <w:t>，</w:t>
            </w:r>
            <w:r>
              <w:rPr>
                <w:rFonts w:hint="eastAsia"/>
                <w:sz w:val="24"/>
                <w:szCs w:val="22"/>
                <w:lang w:eastAsia="zh-CN"/>
              </w:rPr>
              <w:t>一个</w:t>
            </w:r>
            <w:r>
              <w:rPr>
                <w:rFonts w:hint="eastAsia"/>
                <w:sz w:val="24"/>
                <w:szCs w:val="22"/>
                <w:lang w:val="en-US" w:eastAsia="zh-CN"/>
              </w:rPr>
              <w:t>30t，一个22t，</w:t>
            </w:r>
            <w:r>
              <w:rPr>
                <w:rFonts w:hint="eastAsia"/>
                <w:sz w:val="24"/>
                <w:szCs w:val="22"/>
              </w:rPr>
              <w:t>另设</w:t>
            </w:r>
            <w:r>
              <w:rPr>
                <w:rFonts w:hint="eastAsia"/>
                <w:sz w:val="24"/>
              </w:rPr>
              <w:t>生产用1个清水</w:t>
            </w:r>
            <w:r>
              <w:rPr>
                <w:rFonts w:hint="eastAsia"/>
                <w:sz w:val="24"/>
                <w:lang w:eastAsia="zh-CN"/>
              </w:rPr>
              <w:t>清</w:t>
            </w:r>
            <w:r>
              <w:rPr>
                <w:rFonts w:hint="eastAsia"/>
                <w:sz w:val="24"/>
              </w:rPr>
              <w:t>水池（容积约</w:t>
            </w:r>
            <w:r>
              <w:rPr>
                <w:rFonts w:hint="eastAsia"/>
                <w:sz w:val="24"/>
                <w:lang w:val="en-US" w:eastAsia="zh-CN"/>
              </w:rPr>
              <w:t>240</w:t>
            </w:r>
            <w:r>
              <w:rPr>
                <w:rFonts w:hint="eastAsia"/>
                <w:sz w:val="24"/>
              </w:rPr>
              <w:t>m</w:t>
            </w:r>
            <w:r>
              <w:rPr>
                <w:rFonts w:hint="eastAsia"/>
                <w:sz w:val="24"/>
                <w:vertAlign w:val="superscript"/>
              </w:rPr>
              <w:t>2</w:t>
            </w:r>
            <w:r>
              <w:rPr>
                <w:rFonts w:hint="eastAsia"/>
                <w:sz w:val="24"/>
              </w:rPr>
              <w:t>），</w:t>
            </w:r>
            <w:r>
              <w:rPr>
                <w:rFonts w:hint="eastAsia"/>
                <w:sz w:val="24"/>
                <w:lang w:eastAsia="zh-CN"/>
              </w:rPr>
              <w:t>循环水塔</w:t>
            </w:r>
            <w:r>
              <w:rPr>
                <w:rFonts w:hint="eastAsia"/>
                <w:sz w:val="24"/>
              </w:rPr>
              <w:t>处理后排入</w:t>
            </w:r>
            <w:r>
              <w:rPr>
                <w:rFonts w:hint="eastAsia"/>
                <w:sz w:val="24"/>
                <w:lang w:eastAsia="zh-CN"/>
              </w:rPr>
              <w:t>清水</w:t>
            </w:r>
            <w:r>
              <w:rPr>
                <w:rFonts w:hint="eastAsia"/>
                <w:sz w:val="24"/>
              </w:rPr>
              <w:t>池，再用于生产，保证废水不外排。</w:t>
            </w:r>
            <w:r>
              <w:rPr>
                <w:rFonts w:hint="eastAsia"/>
                <w:sz w:val="24"/>
                <w:lang w:eastAsia="zh-CN"/>
              </w:rPr>
              <w:t>清水池</w:t>
            </w:r>
            <w:r>
              <w:rPr>
                <w:rFonts w:hint="eastAsia"/>
                <w:sz w:val="24"/>
              </w:rPr>
              <w:t>和循环</w:t>
            </w:r>
            <w:r>
              <w:rPr>
                <w:rFonts w:hint="eastAsia"/>
                <w:sz w:val="24"/>
                <w:lang w:eastAsia="zh-CN"/>
              </w:rPr>
              <w:t>水塔</w:t>
            </w:r>
            <w:r>
              <w:rPr>
                <w:rFonts w:hint="eastAsia"/>
                <w:sz w:val="24"/>
              </w:rPr>
              <w:t>均采取防渗措施，可满足生产需求。</w:t>
            </w:r>
          </w:p>
          <w:p>
            <w:pPr>
              <w:spacing w:line="360" w:lineRule="auto"/>
              <w:ind w:firstLine="480" w:firstLineChars="200"/>
              <w:rPr>
                <w:sz w:val="24"/>
              </w:rPr>
            </w:pPr>
            <w:r>
              <w:rPr>
                <w:rFonts w:hint="eastAsia"/>
                <w:sz w:val="24"/>
              </w:rPr>
              <w:t>②抑尘废水</w:t>
            </w:r>
          </w:p>
          <w:p>
            <w:pPr>
              <w:spacing w:line="360" w:lineRule="auto"/>
              <w:ind w:firstLine="480" w:firstLineChars="200"/>
              <w:rPr>
                <w:sz w:val="24"/>
                <w:szCs w:val="22"/>
              </w:rPr>
            </w:pPr>
            <w:r>
              <w:rPr>
                <w:rFonts w:hint="eastAsia"/>
                <w:sz w:val="24"/>
                <w:szCs w:val="24"/>
              </w:rPr>
              <w:t>根据建设单位提供的资料，项目洒水抑尘用水量为600m</w:t>
            </w:r>
            <w:r>
              <w:rPr>
                <w:rFonts w:hint="eastAsia"/>
                <w:sz w:val="24"/>
                <w:szCs w:val="24"/>
                <w:vertAlign w:val="superscript"/>
              </w:rPr>
              <w:t>3</w:t>
            </w:r>
            <w:r>
              <w:rPr>
                <w:rFonts w:hint="eastAsia"/>
                <w:sz w:val="24"/>
                <w:szCs w:val="24"/>
              </w:rPr>
              <w:t>/a，全部</w:t>
            </w:r>
            <w:r>
              <w:rPr>
                <w:rFonts w:hint="eastAsia"/>
                <w:sz w:val="24"/>
                <w:szCs w:val="22"/>
              </w:rPr>
              <w:t>蒸发损耗，不外排。</w:t>
            </w:r>
          </w:p>
          <w:p>
            <w:pPr>
              <w:pStyle w:val="2"/>
              <w:ind w:firstLine="480" w:firstLineChars="200"/>
              <w:rPr>
                <w:sz w:val="24"/>
                <w:szCs w:val="22"/>
              </w:rPr>
            </w:pPr>
            <w:r>
              <w:rPr>
                <w:rFonts w:hint="eastAsia"/>
                <w:sz w:val="24"/>
                <w:szCs w:val="22"/>
              </w:rPr>
              <w:t>（2）生活废水</w:t>
            </w:r>
          </w:p>
          <w:p>
            <w:pPr>
              <w:spacing w:line="360" w:lineRule="auto"/>
              <w:ind w:firstLine="470" w:firstLineChars="196"/>
              <w:rPr>
                <w:color w:val="auto"/>
                <w:sz w:val="24"/>
                <w:szCs w:val="22"/>
              </w:rPr>
            </w:pPr>
            <w:r>
              <w:rPr>
                <w:color w:val="auto"/>
                <w:sz w:val="24"/>
              </w:rPr>
              <w:t>根据</w:t>
            </w:r>
            <w:r>
              <w:rPr>
                <w:rFonts w:hint="eastAsia"/>
                <w:color w:val="auto"/>
                <w:sz w:val="24"/>
                <w:u w:val="none"/>
              </w:rPr>
              <w:t>《</w:t>
            </w:r>
            <w:r>
              <w:rPr>
                <w:rFonts w:hint="eastAsia"/>
                <w:color w:val="auto"/>
                <w:sz w:val="24"/>
                <w:u w:val="none"/>
                <w:lang w:eastAsia="zh-CN"/>
              </w:rPr>
              <w:t>湖南用水定额</w:t>
            </w:r>
            <w:r>
              <w:rPr>
                <w:color w:val="auto"/>
                <w:sz w:val="24"/>
                <w:u w:val="none"/>
              </w:rPr>
              <w:t>》</w:t>
            </w:r>
            <w:r>
              <w:rPr>
                <w:rFonts w:hint="eastAsia"/>
                <w:color w:val="auto"/>
                <w:sz w:val="24"/>
                <w:u w:val="none"/>
                <w:lang w:eastAsia="zh-CN"/>
              </w:rPr>
              <w:t>（</w:t>
            </w:r>
            <w:r>
              <w:rPr>
                <w:rFonts w:hint="eastAsia"/>
                <w:color w:val="auto"/>
                <w:sz w:val="24"/>
                <w:u w:val="none"/>
                <w:lang w:val="en-US" w:eastAsia="zh-CN"/>
              </w:rPr>
              <w:t>DB43T388-2020</w:t>
            </w:r>
            <w:r>
              <w:rPr>
                <w:rFonts w:hint="eastAsia"/>
                <w:color w:val="auto"/>
                <w:sz w:val="24"/>
                <w:u w:val="none"/>
                <w:lang w:eastAsia="zh-CN"/>
              </w:rPr>
              <w:t>）</w:t>
            </w:r>
            <w:r>
              <w:rPr>
                <w:rFonts w:hint="eastAsia"/>
                <w:color w:val="auto"/>
                <w:sz w:val="24"/>
              </w:rPr>
              <w:t>标准</w:t>
            </w:r>
            <w:r>
              <w:rPr>
                <w:color w:val="auto"/>
                <w:sz w:val="24"/>
              </w:rPr>
              <w:t>，</w:t>
            </w:r>
            <w:r>
              <w:rPr>
                <w:rFonts w:hint="eastAsia"/>
                <w:color w:val="auto"/>
                <w:sz w:val="24"/>
                <w:u w:val="none"/>
                <w:lang w:eastAsia="zh-CN"/>
              </w:rPr>
              <w:t>中相关规定，就餐人员参照表</w:t>
            </w:r>
            <w:r>
              <w:rPr>
                <w:rFonts w:hint="eastAsia"/>
                <w:color w:val="auto"/>
                <w:sz w:val="24"/>
                <w:u w:val="none"/>
                <w:lang w:val="en-US" w:eastAsia="zh-CN"/>
              </w:rPr>
              <w:t>31中“国家行政机构”规定办公楼用水为38m</w:t>
            </w:r>
            <w:r>
              <w:rPr>
                <w:rFonts w:hint="eastAsia"/>
                <w:color w:val="auto"/>
                <w:sz w:val="24"/>
                <w:u w:val="none"/>
                <w:vertAlign w:val="superscript"/>
                <w:lang w:val="en-US" w:eastAsia="zh-CN"/>
              </w:rPr>
              <w:t>3</w:t>
            </w:r>
            <w:r>
              <w:rPr>
                <w:rFonts w:hint="eastAsia"/>
                <w:color w:val="auto"/>
                <w:sz w:val="24"/>
                <w:u w:val="none"/>
                <w:lang w:val="en-US" w:eastAsia="zh-CN"/>
              </w:rPr>
              <w:t>/人.年</w:t>
            </w:r>
            <w:r>
              <w:rPr>
                <w:color w:val="auto"/>
                <w:sz w:val="24"/>
                <w:u w:val="none"/>
              </w:rPr>
              <w:t>，</w:t>
            </w:r>
            <w:r>
              <w:rPr>
                <w:rFonts w:hint="eastAsia"/>
                <w:color w:val="auto"/>
                <w:sz w:val="24"/>
                <w:u w:val="none"/>
                <w:lang w:eastAsia="zh-CN"/>
              </w:rPr>
              <w:t>住宿参照表</w:t>
            </w:r>
            <w:r>
              <w:rPr>
                <w:rFonts w:hint="eastAsia"/>
                <w:color w:val="auto"/>
                <w:sz w:val="24"/>
                <w:u w:val="none"/>
                <w:lang w:val="en-US" w:eastAsia="zh-CN"/>
              </w:rPr>
              <w:t>29中“小城市”145L/人.天，</w:t>
            </w:r>
            <w:r>
              <w:rPr>
                <w:rFonts w:hint="eastAsia"/>
                <w:color w:val="auto"/>
                <w:sz w:val="24"/>
                <w:u w:val="none"/>
              </w:rPr>
              <w:t>本项目劳动定员</w:t>
            </w:r>
            <w:r>
              <w:rPr>
                <w:rFonts w:hint="eastAsia"/>
                <w:color w:val="auto"/>
                <w:sz w:val="24"/>
                <w:u w:val="none"/>
                <w:lang w:val="en-US" w:eastAsia="zh-CN"/>
              </w:rPr>
              <w:t>15</w:t>
            </w:r>
            <w:r>
              <w:rPr>
                <w:rFonts w:hint="eastAsia"/>
                <w:color w:val="auto"/>
                <w:sz w:val="24"/>
                <w:u w:val="none"/>
              </w:rPr>
              <w:t>人，</w:t>
            </w:r>
            <w:r>
              <w:rPr>
                <w:rFonts w:hint="eastAsia"/>
                <w:color w:val="auto"/>
                <w:sz w:val="24"/>
                <w:u w:val="none"/>
                <w:lang w:val="en-US" w:eastAsia="zh-CN"/>
              </w:rPr>
              <w:t>3</w:t>
            </w:r>
            <w:r>
              <w:rPr>
                <w:rFonts w:hint="eastAsia"/>
                <w:color w:val="auto"/>
                <w:sz w:val="24"/>
                <w:u w:val="none"/>
              </w:rPr>
              <w:t>人住宿</w:t>
            </w:r>
            <w:r>
              <w:rPr>
                <w:color w:val="auto"/>
                <w:sz w:val="24"/>
                <w:u w:val="none"/>
              </w:rPr>
              <w:t>，年工作时间为</w:t>
            </w:r>
            <w:r>
              <w:rPr>
                <w:rFonts w:hint="eastAsia"/>
                <w:color w:val="auto"/>
                <w:sz w:val="24"/>
                <w:u w:val="none"/>
              </w:rPr>
              <w:t>3</w:t>
            </w:r>
            <w:r>
              <w:rPr>
                <w:rFonts w:hint="eastAsia"/>
                <w:color w:val="auto"/>
                <w:sz w:val="24"/>
                <w:u w:val="none"/>
                <w:lang w:val="en-US" w:eastAsia="zh-CN"/>
              </w:rPr>
              <w:t>00</w:t>
            </w:r>
            <w:r>
              <w:rPr>
                <w:color w:val="auto"/>
                <w:sz w:val="24"/>
                <w:u w:val="none"/>
              </w:rPr>
              <w:t>天</w:t>
            </w:r>
            <w:r>
              <w:rPr>
                <w:rFonts w:hint="eastAsia"/>
                <w:color w:val="auto"/>
                <w:sz w:val="24"/>
                <w:u w:val="none"/>
                <w:lang w:eastAsia="zh-CN"/>
              </w:rPr>
              <w:t>，则</w:t>
            </w:r>
            <w:r>
              <w:rPr>
                <w:rFonts w:hint="eastAsia"/>
                <w:sz w:val="24"/>
              </w:rPr>
              <w:t>用水量为</w:t>
            </w:r>
            <w:r>
              <w:rPr>
                <w:rFonts w:hint="eastAsia"/>
                <w:sz w:val="24"/>
                <w:lang w:val="en-US" w:eastAsia="zh-CN"/>
              </w:rPr>
              <w:t>1.36</w:t>
            </w:r>
            <w:r>
              <w:rPr>
                <w:rFonts w:hint="eastAsia"/>
                <w:sz w:val="24"/>
              </w:rPr>
              <w:t>m</w:t>
            </w:r>
            <w:r>
              <w:rPr>
                <w:rFonts w:hint="eastAsia"/>
                <w:sz w:val="24"/>
                <w:vertAlign w:val="superscript"/>
              </w:rPr>
              <w:t>3</w:t>
            </w:r>
            <w:r>
              <w:rPr>
                <w:rFonts w:hint="eastAsia"/>
                <w:sz w:val="24"/>
              </w:rPr>
              <w:t>/d（</w:t>
            </w:r>
            <w:r>
              <w:rPr>
                <w:rFonts w:hint="eastAsia"/>
                <w:sz w:val="24"/>
                <w:lang w:val="en-US" w:eastAsia="zh-CN"/>
              </w:rPr>
              <w:t>407.5</w:t>
            </w:r>
            <w:r>
              <w:rPr>
                <w:rFonts w:hint="eastAsia"/>
                <w:sz w:val="24"/>
              </w:rPr>
              <w:t>m</w:t>
            </w:r>
            <w:r>
              <w:rPr>
                <w:rFonts w:hint="eastAsia"/>
                <w:sz w:val="24"/>
                <w:vertAlign w:val="superscript"/>
              </w:rPr>
              <w:t>3</w:t>
            </w:r>
            <w:r>
              <w:rPr>
                <w:rFonts w:hint="eastAsia"/>
                <w:sz w:val="24"/>
              </w:rPr>
              <w:t>/</w:t>
            </w:r>
            <w:r>
              <w:rPr>
                <w:rFonts w:hint="eastAsia"/>
                <w:color w:val="auto"/>
                <w:sz w:val="24"/>
              </w:rPr>
              <w:t>a）。生活污水产污系数按0.8计，则生活污水</w:t>
            </w:r>
            <w:r>
              <w:rPr>
                <w:rFonts w:hint="eastAsia" w:hAnsi="宋体"/>
                <w:color w:val="auto"/>
                <w:sz w:val="24"/>
              </w:rPr>
              <w:t>产生量为</w:t>
            </w:r>
            <w:r>
              <w:rPr>
                <w:rFonts w:hint="eastAsia"/>
                <w:color w:val="auto"/>
                <w:sz w:val="24"/>
                <w:lang w:val="en-US" w:eastAsia="zh-CN"/>
              </w:rPr>
              <w:t>1.09</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326</w:t>
            </w:r>
            <w:r>
              <w:rPr>
                <w:rFonts w:hint="eastAsia"/>
                <w:color w:val="auto"/>
                <w:sz w:val="24"/>
              </w:rPr>
              <w:t>m</w:t>
            </w:r>
            <w:r>
              <w:rPr>
                <w:rFonts w:hint="eastAsia"/>
                <w:color w:val="auto"/>
                <w:sz w:val="24"/>
                <w:vertAlign w:val="superscript"/>
              </w:rPr>
              <w:t>3</w:t>
            </w:r>
            <w:r>
              <w:rPr>
                <w:rFonts w:hint="eastAsia"/>
                <w:color w:val="auto"/>
                <w:sz w:val="24"/>
              </w:rPr>
              <w:t>/a）</w:t>
            </w:r>
            <w:r>
              <w:rPr>
                <w:rFonts w:hint="eastAsia" w:hAnsi="宋体"/>
                <w:color w:val="auto"/>
                <w:sz w:val="24"/>
              </w:rPr>
              <w:t>。</w:t>
            </w:r>
            <w:bookmarkStart w:id="14" w:name="OLE_LINK13"/>
            <w:r>
              <w:rPr>
                <w:rFonts w:hint="eastAsia"/>
                <w:color w:val="auto"/>
                <w:sz w:val="24"/>
              </w:rPr>
              <w:t>类比华容县居民</w:t>
            </w:r>
            <w:r>
              <w:rPr>
                <w:color w:val="auto"/>
                <w:sz w:val="24"/>
              </w:rPr>
              <w:t>生活污水浓度，其污染物平均浓度分别约为COD</w:t>
            </w:r>
            <w:r>
              <w:rPr>
                <w:rFonts w:hint="eastAsia"/>
                <w:color w:val="auto"/>
                <w:sz w:val="24"/>
                <w:vertAlign w:val="subscript"/>
              </w:rPr>
              <w:t>C</w:t>
            </w:r>
            <w:r>
              <w:rPr>
                <w:color w:val="auto"/>
                <w:sz w:val="24"/>
                <w:vertAlign w:val="subscript"/>
              </w:rPr>
              <w:t>r</w:t>
            </w:r>
            <w:r>
              <w:rPr>
                <w:color w:val="auto"/>
                <w:sz w:val="24"/>
              </w:rPr>
              <w:t>：</w:t>
            </w:r>
            <w:r>
              <w:rPr>
                <w:rFonts w:hint="eastAsia"/>
                <w:color w:val="auto"/>
                <w:sz w:val="24"/>
              </w:rPr>
              <w:t>3</w:t>
            </w:r>
            <w:r>
              <w:rPr>
                <w:color w:val="auto"/>
                <w:sz w:val="24"/>
              </w:rPr>
              <w:t>50mg/L、BOD</w:t>
            </w:r>
            <w:r>
              <w:rPr>
                <w:color w:val="auto"/>
                <w:sz w:val="24"/>
                <w:vertAlign w:val="subscript"/>
              </w:rPr>
              <w:t>5</w:t>
            </w:r>
            <w:r>
              <w:rPr>
                <w:color w:val="auto"/>
                <w:sz w:val="24"/>
              </w:rPr>
              <w:t>：200 mg/L 、SS：150 mg/L，</w:t>
            </w:r>
            <w:r>
              <w:rPr>
                <w:rFonts w:hint="eastAsia"/>
                <w:color w:val="auto"/>
                <w:sz w:val="24"/>
              </w:rPr>
              <w:t>NH</w:t>
            </w:r>
            <w:r>
              <w:rPr>
                <w:rFonts w:hint="eastAsia"/>
                <w:color w:val="auto"/>
                <w:sz w:val="24"/>
                <w:vertAlign w:val="subscript"/>
              </w:rPr>
              <w:t>3</w:t>
            </w:r>
            <w:r>
              <w:rPr>
                <w:rFonts w:hint="eastAsia"/>
                <w:color w:val="auto"/>
                <w:sz w:val="24"/>
              </w:rPr>
              <w:t>-N：30</w:t>
            </w:r>
            <w:r>
              <w:rPr>
                <w:color w:val="auto"/>
                <w:sz w:val="24"/>
              </w:rPr>
              <w:t xml:space="preserve"> mg/L</w:t>
            </w:r>
            <w:r>
              <w:rPr>
                <w:rFonts w:hint="eastAsia"/>
                <w:color w:val="auto"/>
                <w:sz w:val="24"/>
              </w:rPr>
              <w:t>，</w:t>
            </w:r>
            <w:r>
              <w:rPr>
                <w:color w:val="auto"/>
                <w:kern w:val="0"/>
                <w:sz w:val="24"/>
              </w:rPr>
              <w:t>则污染物的产生量分别为</w:t>
            </w:r>
            <w:r>
              <w:rPr>
                <w:color w:val="auto"/>
                <w:sz w:val="24"/>
              </w:rPr>
              <w:t>COD</w:t>
            </w:r>
            <w:r>
              <w:rPr>
                <w:rFonts w:hint="eastAsia"/>
                <w:color w:val="auto"/>
                <w:sz w:val="24"/>
                <w:vertAlign w:val="subscript"/>
              </w:rPr>
              <w:t>C</w:t>
            </w:r>
            <w:r>
              <w:rPr>
                <w:color w:val="auto"/>
                <w:sz w:val="24"/>
                <w:vertAlign w:val="subscript"/>
              </w:rPr>
              <w:t>r</w:t>
            </w:r>
            <w:r>
              <w:rPr>
                <w:color w:val="auto"/>
                <w:sz w:val="24"/>
              </w:rPr>
              <w:t>：</w:t>
            </w:r>
            <w:r>
              <w:rPr>
                <w:rFonts w:hint="eastAsia"/>
                <w:color w:val="auto"/>
                <w:sz w:val="24"/>
                <w:lang w:val="en-US" w:eastAsia="zh-CN"/>
              </w:rPr>
              <w:t>0.11</w:t>
            </w:r>
            <w:r>
              <w:rPr>
                <w:rFonts w:hint="eastAsia"/>
                <w:color w:val="auto"/>
                <w:sz w:val="24"/>
              </w:rPr>
              <w:t>t</w:t>
            </w:r>
            <w:r>
              <w:rPr>
                <w:color w:val="auto"/>
                <w:sz w:val="24"/>
              </w:rPr>
              <w:t>/a、BOD</w:t>
            </w:r>
            <w:r>
              <w:rPr>
                <w:color w:val="auto"/>
                <w:sz w:val="24"/>
                <w:vertAlign w:val="subscript"/>
              </w:rPr>
              <w:t>5</w:t>
            </w:r>
            <w:r>
              <w:rPr>
                <w:color w:val="auto"/>
                <w:sz w:val="24"/>
              </w:rPr>
              <w:t>：</w:t>
            </w:r>
            <w:r>
              <w:rPr>
                <w:rFonts w:hint="eastAsia"/>
                <w:color w:val="auto"/>
                <w:sz w:val="24"/>
                <w:lang w:val="en-US" w:eastAsia="zh-CN"/>
              </w:rPr>
              <w:t>0.06</w:t>
            </w:r>
            <w:r>
              <w:rPr>
                <w:color w:val="auto"/>
                <w:sz w:val="24"/>
              </w:rPr>
              <w:t>t/a、SS：</w:t>
            </w:r>
            <w:r>
              <w:rPr>
                <w:rFonts w:hint="eastAsia"/>
                <w:color w:val="auto"/>
                <w:sz w:val="24"/>
              </w:rPr>
              <w:t>0.0</w:t>
            </w:r>
            <w:r>
              <w:rPr>
                <w:rFonts w:hint="eastAsia"/>
                <w:color w:val="auto"/>
                <w:sz w:val="24"/>
                <w:lang w:val="en-US" w:eastAsia="zh-CN"/>
              </w:rPr>
              <w:t>5</w:t>
            </w:r>
            <w:r>
              <w:rPr>
                <w:color w:val="auto"/>
                <w:sz w:val="24"/>
              </w:rPr>
              <w:t>t/a</w:t>
            </w:r>
            <w:r>
              <w:rPr>
                <w:rFonts w:hint="eastAsia"/>
                <w:color w:val="auto"/>
                <w:sz w:val="24"/>
              </w:rPr>
              <w:t>、NH</w:t>
            </w:r>
            <w:r>
              <w:rPr>
                <w:rFonts w:hint="eastAsia"/>
                <w:color w:val="auto"/>
                <w:sz w:val="24"/>
                <w:vertAlign w:val="subscript"/>
              </w:rPr>
              <w:t>3</w:t>
            </w:r>
            <w:r>
              <w:rPr>
                <w:rFonts w:hint="eastAsia"/>
                <w:color w:val="auto"/>
                <w:sz w:val="24"/>
              </w:rPr>
              <w:t>-N：0.00</w:t>
            </w:r>
            <w:r>
              <w:rPr>
                <w:rFonts w:hint="eastAsia"/>
                <w:color w:val="auto"/>
                <w:sz w:val="24"/>
                <w:lang w:val="en-US" w:eastAsia="zh-CN"/>
              </w:rPr>
              <w:t>98</w:t>
            </w:r>
            <w:r>
              <w:rPr>
                <w:rFonts w:hint="eastAsia"/>
                <w:color w:val="auto"/>
                <w:sz w:val="24"/>
              </w:rPr>
              <w:t>t</w:t>
            </w:r>
            <w:r>
              <w:rPr>
                <w:color w:val="auto"/>
                <w:sz w:val="24"/>
              </w:rPr>
              <w:t>/a。本</w:t>
            </w:r>
            <w:r>
              <w:rPr>
                <w:rFonts w:hint="eastAsia" w:hAnsi="宋体"/>
                <w:color w:val="auto"/>
                <w:sz w:val="24"/>
              </w:rPr>
              <w:t>项目</w:t>
            </w:r>
            <w:r>
              <w:rPr>
                <w:rFonts w:hint="eastAsia"/>
                <w:color w:val="auto"/>
                <w:sz w:val="24"/>
                <w:szCs w:val="22"/>
              </w:rPr>
              <w:t>产生的生活污水经厂区现有</w:t>
            </w:r>
            <w:r>
              <w:rPr>
                <w:rFonts w:hint="eastAsia" w:hAnsi="宋体"/>
                <w:color w:val="auto"/>
                <w:sz w:val="24"/>
              </w:rPr>
              <w:t>隔油沉淀+化粪池处理后用于周边农田施肥及厂区内植被绿化，不外排</w:t>
            </w:r>
            <w:r>
              <w:rPr>
                <w:rFonts w:hint="eastAsia"/>
                <w:color w:val="auto"/>
                <w:sz w:val="24"/>
                <w:szCs w:val="22"/>
              </w:rPr>
              <w:t>。</w:t>
            </w:r>
          </w:p>
          <w:bookmarkEnd w:id="14"/>
          <w:p>
            <w:pPr>
              <w:pStyle w:val="2"/>
              <w:ind w:firstLine="480" w:firstLineChars="200"/>
              <w:rPr>
                <w:color w:val="auto"/>
                <w:sz w:val="24"/>
                <w:szCs w:val="22"/>
              </w:rPr>
            </w:pPr>
            <w:r>
              <w:rPr>
                <w:rFonts w:hint="eastAsia"/>
                <w:color w:val="auto"/>
                <w:sz w:val="24"/>
                <w:szCs w:val="22"/>
              </w:rPr>
              <w:t>（3）初期雨水</w:t>
            </w:r>
          </w:p>
          <w:p>
            <w:pPr>
              <w:spacing w:line="360" w:lineRule="auto"/>
              <w:ind w:firstLine="470" w:firstLineChars="196"/>
              <w:rPr>
                <w:sz w:val="24"/>
                <w:szCs w:val="22"/>
              </w:rPr>
            </w:pPr>
            <w:r>
              <w:rPr>
                <w:rFonts w:hint="eastAsia"/>
                <w:sz w:val="24"/>
                <w:szCs w:val="22"/>
              </w:rPr>
              <w:t>初期雨水是在降雨形成地面径流后10～15min的污染较大的雨水量。初期雨水与气象条件密切相关，具有间歇性、时间间隔变化大等特点。初期雨水会将散落在厂区地面的粉尘汇集，有一定的污染，若不进行处理，将对水环境造成影响。本环评要求企业对初期雨水进行收集，厂区排水体制为雨污分流制，初期雨水进入沉淀池，后期雨水直接进周边雨水沟排放。按照初期雨水的计算方式：</w:t>
            </w:r>
          </w:p>
          <w:p>
            <w:pPr>
              <w:spacing w:line="360" w:lineRule="auto"/>
              <w:ind w:firstLine="470" w:firstLineChars="196"/>
              <w:rPr>
                <w:sz w:val="24"/>
                <w:szCs w:val="22"/>
              </w:rPr>
            </w:pPr>
            <w:r>
              <w:rPr>
                <w:rFonts w:hint="eastAsia"/>
                <w:sz w:val="24"/>
                <w:szCs w:val="22"/>
              </w:rPr>
              <w:t>V = H×Ψ×F×15/60</w:t>
            </w:r>
          </w:p>
          <w:p>
            <w:pPr>
              <w:spacing w:line="360" w:lineRule="auto"/>
              <w:ind w:firstLine="470" w:firstLineChars="196"/>
              <w:rPr>
                <w:sz w:val="24"/>
                <w:szCs w:val="22"/>
              </w:rPr>
            </w:pPr>
            <w:r>
              <w:rPr>
                <w:rFonts w:hint="eastAsia"/>
                <w:sz w:val="24"/>
                <w:szCs w:val="22"/>
              </w:rPr>
              <w:t>其中：V——径流雨水量；</w:t>
            </w:r>
          </w:p>
          <w:p>
            <w:pPr>
              <w:spacing w:line="360" w:lineRule="auto"/>
              <w:ind w:firstLine="470" w:firstLineChars="196"/>
              <w:rPr>
                <w:sz w:val="24"/>
                <w:szCs w:val="22"/>
              </w:rPr>
            </w:pPr>
            <w:r>
              <w:rPr>
                <w:rFonts w:hint="eastAsia"/>
                <w:sz w:val="24"/>
                <w:szCs w:val="22"/>
              </w:rPr>
              <w:t>Ψ——径流系数，取0.8；</w:t>
            </w:r>
          </w:p>
          <w:p>
            <w:pPr>
              <w:spacing w:line="360" w:lineRule="auto"/>
              <w:ind w:firstLine="470" w:firstLineChars="196"/>
              <w:rPr>
                <w:sz w:val="24"/>
                <w:szCs w:val="22"/>
              </w:rPr>
            </w:pPr>
            <w:r>
              <w:rPr>
                <w:rFonts w:hint="eastAsia"/>
                <w:sz w:val="24"/>
                <w:szCs w:val="22"/>
              </w:rPr>
              <w:t>H——降雨强度，采用小时暴雨降雨量30mm；</w:t>
            </w:r>
          </w:p>
          <w:p>
            <w:pPr>
              <w:spacing w:line="360" w:lineRule="auto"/>
              <w:ind w:firstLine="470" w:firstLineChars="196"/>
              <w:rPr>
                <w:sz w:val="24"/>
                <w:szCs w:val="22"/>
              </w:rPr>
            </w:pPr>
            <w:r>
              <w:rPr>
                <w:rFonts w:hint="eastAsia"/>
                <w:sz w:val="24"/>
                <w:szCs w:val="22"/>
              </w:rPr>
              <w:t>F——区域面积。项目生产车间集雨面积为6000m</w:t>
            </w:r>
            <w:r>
              <w:rPr>
                <w:rFonts w:hint="eastAsia"/>
                <w:sz w:val="24"/>
                <w:szCs w:val="22"/>
                <w:vertAlign w:val="superscript"/>
              </w:rPr>
              <w:t>2</w:t>
            </w:r>
            <w:r>
              <w:rPr>
                <w:rFonts w:hint="eastAsia"/>
                <w:sz w:val="24"/>
                <w:szCs w:val="22"/>
              </w:rPr>
              <w:t>。</w:t>
            </w:r>
          </w:p>
          <w:p>
            <w:pPr>
              <w:spacing w:line="360" w:lineRule="auto"/>
              <w:ind w:firstLine="470" w:firstLineChars="196"/>
              <w:rPr>
                <w:sz w:val="24"/>
                <w:szCs w:val="22"/>
              </w:rPr>
            </w:pPr>
            <w:bookmarkStart w:id="15" w:name="_Toc482008298"/>
            <w:bookmarkStart w:id="16" w:name="_Toc24425"/>
            <w:r>
              <w:rPr>
                <w:rFonts w:hint="eastAsia"/>
                <w:sz w:val="24"/>
                <w:szCs w:val="22"/>
                <w:lang w:val="fr-FR"/>
              </w:rPr>
              <w:t>计算得，项目初期雨水产生量为</w:t>
            </w:r>
            <w:r>
              <w:rPr>
                <w:rFonts w:hint="eastAsia"/>
                <w:sz w:val="24"/>
                <w:szCs w:val="22"/>
              </w:rPr>
              <w:t>36</w:t>
            </w:r>
            <w:r>
              <w:rPr>
                <w:rFonts w:hint="eastAsia"/>
                <w:sz w:val="24"/>
                <w:szCs w:val="22"/>
                <w:lang w:val="fr-FR"/>
              </w:rPr>
              <w:t>m</w:t>
            </w:r>
            <w:r>
              <w:rPr>
                <w:rFonts w:hint="eastAsia"/>
                <w:sz w:val="24"/>
                <w:szCs w:val="22"/>
                <w:vertAlign w:val="superscript"/>
                <w:lang w:val="fr-FR"/>
              </w:rPr>
              <w:t>3</w:t>
            </w:r>
            <w:r>
              <w:rPr>
                <w:rFonts w:hint="eastAsia"/>
                <w:sz w:val="24"/>
                <w:szCs w:val="22"/>
                <w:lang w:val="fr-FR"/>
              </w:rPr>
              <w:t>/次，</w:t>
            </w:r>
            <w:r>
              <w:rPr>
                <w:rFonts w:hint="eastAsia"/>
                <w:sz w:val="24"/>
                <w:szCs w:val="22"/>
              </w:rPr>
              <w:t>项目地沉淀池有足够的容量接纳项目产生的初期雨水</w:t>
            </w:r>
            <w:r>
              <w:rPr>
                <w:rFonts w:hint="eastAsia"/>
                <w:sz w:val="24"/>
                <w:szCs w:val="22"/>
                <w:lang w:val="fr-FR"/>
              </w:rPr>
              <w:t>。初期雨水中的主要污染物为SS，经</w:t>
            </w:r>
            <w:r>
              <w:rPr>
                <w:rFonts w:hint="eastAsia"/>
                <w:sz w:val="24"/>
                <w:szCs w:val="22"/>
              </w:rPr>
              <w:t>沉淀后和泥沙一起外售利用。</w:t>
            </w:r>
            <w:bookmarkEnd w:id="15"/>
            <w:bookmarkEnd w:id="16"/>
            <w:r>
              <w:rPr>
                <w:rFonts w:hint="eastAsia"/>
                <w:sz w:val="24"/>
                <w:szCs w:val="22"/>
              </w:rPr>
              <w:t>项目场地外的雨水直接导流进入周围雨水沟。</w:t>
            </w:r>
          </w:p>
          <w:p>
            <w:pPr>
              <w:spacing w:line="360" w:lineRule="auto"/>
              <w:ind w:firstLine="482" w:firstLineChars="200"/>
              <w:rPr>
                <w:b/>
                <w:sz w:val="24"/>
              </w:rPr>
            </w:pPr>
            <w:r>
              <w:rPr>
                <w:rFonts w:hint="eastAsia"/>
                <w:b/>
                <w:sz w:val="24"/>
              </w:rPr>
              <w:t>2.废气</w:t>
            </w:r>
          </w:p>
          <w:p>
            <w:pPr>
              <w:widowControl/>
              <w:spacing w:line="520" w:lineRule="exact"/>
              <w:ind w:firstLine="465"/>
              <w:rPr>
                <w:sz w:val="24"/>
                <w:szCs w:val="22"/>
                <w:u w:val="single"/>
              </w:rPr>
            </w:pPr>
            <w:r>
              <w:rPr>
                <w:rFonts w:hint="eastAsia"/>
                <w:sz w:val="24"/>
                <w:szCs w:val="22"/>
                <w:u w:val="single"/>
              </w:rPr>
              <w:t>项目废气产生量少，主要为砂堆装卸过程起尘，砂堆起尘，运输车辆起尘和破碎</w:t>
            </w:r>
            <w:r>
              <w:rPr>
                <w:rFonts w:hint="eastAsia"/>
                <w:sz w:val="24"/>
                <w:szCs w:val="22"/>
                <w:u w:val="single"/>
                <w:lang w:eastAsia="zh-CN"/>
              </w:rPr>
              <w:t>（湿法破碎）</w:t>
            </w:r>
            <w:r>
              <w:rPr>
                <w:rFonts w:hint="eastAsia"/>
                <w:sz w:val="24"/>
                <w:szCs w:val="22"/>
                <w:u w:val="single"/>
              </w:rPr>
              <w:t>、筛分系统过程起尘。</w:t>
            </w:r>
          </w:p>
          <w:p>
            <w:pPr>
              <w:widowControl/>
              <w:spacing w:line="520" w:lineRule="exact"/>
              <w:ind w:firstLine="465"/>
              <w:rPr>
                <w:sz w:val="24"/>
                <w:szCs w:val="22"/>
                <w:u w:val="single"/>
              </w:rPr>
            </w:pPr>
            <w:r>
              <w:rPr>
                <w:rFonts w:hint="eastAsia"/>
                <w:sz w:val="24"/>
                <w:szCs w:val="22"/>
                <w:u w:val="single"/>
              </w:rPr>
              <w:t>（1）砂堆装卸过程起尘</w:t>
            </w:r>
          </w:p>
          <w:p>
            <w:pPr>
              <w:widowControl/>
              <w:spacing w:line="360" w:lineRule="auto"/>
              <w:ind w:firstLine="465"/>
              <w:rPr>
                <w:sz w:val="24"/>
                <w:u w:val="single"/>
              </w:rPr>
            </w:pPr>
            <w:r>
              <w:rPr>
                <w:rFonts w:hint="eastAsia"/>
                <w:sz w:val="24"/>
                <w:u w:val="single"/>
              </w:rPr>
              <w:t>项目卸料粉尘时使用皮带运输（全封闭），相比汽车卸料粉尘产量类似，因此本项目卸料粉尘产生量类比汽车运输卸料粉尘产生量。</w:t>
            </w:r>
          </w:p>
          <w:p>
            <w:pPr>
              <w:widowControl/>
              <w:spacing w:line="520" w:lineRule="exact"/>
              <w:ind w:firstLine="465"/>
              <w:rPr>
                <w:sz w:val="24"/>
                <w:szCs w:val="22"/>
                <w:u w:val="single"/>
              </w:rPr>
            </w:pPr>
            <w:r>
              <w:rPr>
                <w:rFonts w:hint="eastAsia"/>
                <w:sz w:val="24"/>
                <w:szCs w:val="22"/>
                <w:u w:val="single"/>
              </w:rPr>
              <w:t>本项目原料为鹅卵石，与</w:t>
            </w:r>
            <w:r>
              <w:rPr>
                <w:rFonts w:hint="eastAsia"/>
                <w:sz w:val="24"/>
                <w:u w:val="single"/>
              </w:rPr>
              <w:t>矸石堆相比，粒度与矸石堆相似，项目原料比重大于矸石堆（鹅卵石比重</w:t>
            </w:r>
            <w:r>
              <w:rPr>
                <w:rFonts w:hint="eastAsia"/>
                <w:spacing w:val="6"/>
                <w:sz w:val="24"/>
                <w:u w:val="single"/>
              </w:rPr>
              <w:t>1.50~1.65</w:t>
            </w:r>
            <w:r>
              <w:rPr>
                <w:spacing w:val="6"/>
                <w:sz w:val="24"/>
                <w:u w:val="single"/>
              </w:rPr>
              <w:t>g/cm</w:t>
            </w:r>
            <w:r>
              <w:rPr>
                <w:spacing w:val="6"/>
                <w:sz w:val="24"/>
                <w:u w:val="single"/>
                <w:vertAlign w:val="superscript"/>
              </w:rPr>
              <w:t>3</w:t>
            </w:r>
            <w:r>
              <w:rPr>
                <w:spacing w:val="6"/>
                <w:sz w:val="24"/>
                <w:u w:val="single"/>
              </w:rPr>
              <w:t>，</w:t>
            </w:r>
            <w:r>
              <w:rPr>
                <w:rFonts w:hint="eastAsia"/>
                <w:sz w:val="24"/>
                <w:u w:val="single"/>
              </w:rPr>
              <w:t>煤矸石的比重</w:t>
            </w:r>
            <w:r>
              <w:rPr>
                <w:rFonts w:hint="eastAsia"/>
                <w:spacing w:val="6"/>
                <w:sz w:val="24"/>
                <w:u w:val="single"/>
              </w:rPr>
              <w:t>1.25~1.50</w:t>
            </w:r>
            <w:r>
              <w:rPr>
                <w:spacing w:val="6"/>
                <w:sz w:val="24"/>
                <w:u w:val="single"/>
              </w:rPr>
              <w:t>g/cm</w:t>
            </w:r>
            <w:r>
              <w:rPr>
                <w:spacing w:val="6"/>
                <w:sz w:val="24"/>
                <w:u w:val="single"/>
                <w:vertAlign w:val="superscript"/>
              </w:rPr>
              <w:t>3</w:t>
            </w:r>
            <w:r>
              <w:rPr>
                <w:rFonts w:hint="eastAsia"/>
                <w:spacing w:val="6"/>
                <w:sz w:val="24"/>
                <w:u w:val="single"/>
              </w:rPr>
              <w:t>。</w:t>
            </w:r>
            <w:r>
              <w:rPr>
                <w:rFonts w:hint="eastAsia"/>
                <w:sz w:val="24"/>
                <w:u w:val="single"/>
              </w:rPr>
              <w:t>）（落差与湿度因素包含在计算公式内）。则项目粉尘产生量小于矸石堆粉尘产生量，按最大量计算。汽车倾卸矸石起尘量的计算公式如下：</w:t>
            </w:r>
          </w:p>
          <w:p>
            <w:pPr>
              <w:spacing w:line="360" w:lineRule="auto"/>
              <w:ind w:firstLine="480" w:firstLineChars="200"/>
              <w:rPr>
                <w:sz w:val="24"/>
                <w:u w:val="single"/>
              </w:rPr>
            </w:pPr>
            <w:r>
              <w:rPr>
                <w:rFonts w:hint="eastAsia"/>
                <w:sz w:val="24"/>
                <w:u w:val="single"/>
              </w:rPr>
              <w:t>模型汽车倾卸矸石起尘量：Q</w:t>
            </w:r>
            <w:r>
              <w:rPr>
                <w:rFonts w:hint="eastAsia"/>
                <w:sz w:val="24"/>
                <w:u w:val="single"/>
                <w:vertAlign w:val="subscript"/>
              </w:rPr>
              <w:t>尘</w:t>
            </w:r>
            <w:r>
              <w:rPr>
                <w:rFonts w:hint="eastAsia"/>
                <w:sz w:val="24"/>
                <w:u w:val="single"/>
              </w:rPr>
              <w:t>=0.19</w:t>
            </w:r>
            <w:r>
              <w:rPr>
                <w:rFonts w:hint="eastAsia" w:ascii="宋体" w:hAnsi="宋体"/>
                <w:sz w:val="24"/>
                <w:u w:val="single"/>
              </w:rPr>
              <w:t>e</w:t>
            </w:r>
            <w:r>
              <w:rPr>
                <w:rFonts w:hint="eastAsia" w:ascii="宋体" w:hAnsi="宋体"/>
                <w:sz w:val="24"/>
                <w:u w:val="single"/>
                <w:vertAlign w:val="superscript"/>
              </w:rPr>
              <w:t>0.442U</w:t>
            </w:r>
            <w:r>
              <w:rPr>
                <w:rFonts w:hint="eastAsia" w:ascii="宋体" w:hAnsi="宋体"/>
                <w:sz w:val="24"/>
                <w:u w:val="single"/>
              </w:rPr>
              <w:t xml:space="preserve"> e</w:t>
            </w:r>
            <w:r>
              <w:rPr>
                <w:rFonts w:hint="eastAsia" w:ascii="宋体" w:hAnsi="宋体"/>
                <w:sz w:val="24"/>
                <w:u w:val="single"/>
                <w:vertAlign w:val="superscript"/>
              </w:rPr>
              <w:t>-0.82W</w:t>
            </w:r>
          </w:p>
          <w:p>
            <w:pPr>
              <w:spacing w:line="360" w:lineRule="auto"/>
              <w:ind w:firstLine="480" w:firstLineChars="200"/>
              <w:rPr>
                <w:sz w:val="24"/>
                <w:u w:val="single"/>
              </w:rPr>
            </w:pPr>
            <w:r>
              <w:rPr>
                <w:rFonts w:hint="eastAsia"/>
                <w:sz w:val="24"/>
                <w:u w:val="single"/>
              </w:rPr>
              <w:t>模型起尘强度：Q</w:t>
            </w:r>
            <w:r>
              <w:rPr>
                <w:rFonts w:hint="eastAsia"/>
                <w:sz w:val="24"/>
                <w:u w:val="single"/>
                <w:vertAlign w:val="subscript"/>
              </w:rPr>
              <w:t>模</w:t>
            </w:r>
            <w:r>
              <w:rPr>
                <w:rFonts w:hint="eastAsia"/>
                <w:sz w:val="24"/>
                <w:u w:val="single"/>
              </w:rPr>
              <w:t>= Q</w:t>
            </w:r>
            <w:r>
              <w:rPr>
                <w:rFonts w:hint="eastAsia"/>
                <w:sz w:val="24"/>
                <w:u w:val="single"/>
                <w:vertAlign w:val="subscript"/>
              </w:rPr>
              <w:t>尘</w:t>
            </w:r>
            <w:r>
              <w:rPr>
                <w:rFonts w:hint="eastAsia"/>
                <w:sz w:val="24"/>
                <w:u w:val="single"/>
              </w:rPr>
              <w:t>/t</w:t>
            </w:r>
          </w:p>
          <w:p>
            <w:pPr>
              <w:spacing w:line="360" w:lineRule="auto"/>
              <w:ind w:firstLine="480" w:firstLineChars="200"/>
              <w:rPr>
                <w:sz w:val="24"/>
                <w:u w:val="single"/>
              </w:rPr>
            </w:pPr>
            <w:r>
              <w:rPr>
                <w:rFonts w:hint="eastAsia"/>
                <w:sz w:val="24"/>
                <w:u w:val="single"/>
              </w:rPr>
              <w:t>模型起尘强度与实体的换算：Q</w:t>
            </w:r>
            <w:r>
              <w:rPr>
                <w:rFonts w:hint="eastAsia"/>
                <w:sz w:val="24"/>
                <w:u w:val="single"/>
                <w:vertAlign w:val="subscript"/>
              </w:rPr>
              <w:t>实</w:t>
            </w:r>
            <w:r>
              <w:rPr>
                <w:rFonts w:hint="eastAsia"/>
                <w:sz w:val="24"/>
                <w:u w:val="single"/>
              </w:rPr>
              <w:t xml:space="preserve">= </w:t>
            </w:r>
            <w:r>
              <w:rPr>
                <w:rFonts w:hint="eastAsia" w:ascii="宋体" w:hAnsi="宋体"/>
                <w:sz w:val="24"/>
                <w:u w:val="single"/>
              </w:rPr>
              <w:t>λ</w:t>
            </w:r>
            <w:r>
              <w:rPr>
                <w:rFonts w:hint="eastAsia" w:ascii="宋体" w:hAnsi="宋体"/>
                <w:sz w:val="24"/>
                <w:u w:val="single"/>
                <w:vertAlign w:val="superscript"/>
              </w:rPr>
              <w:t>2</w:t>
            </w:r>
            <w:r>
              <w:rPr>
                <w:rFonts w:hint="eastAsia"/>
                <w:sz w:val="24"/>
                <w:u w:val="single"/>
              </w:rPr>
              <w:t>Q</w:t>
            </w:r>
            <w:r>
              <w:rPr>
                <w:rFonts w:hint="eastAsia"/>
                <w:sz w:val="24"/>
                <w:u w:val="single"/>
                <w:vertAlign w:val="subscript"/>
              </w:rPr>
              <w:t>模</w:t>
            </w:r>
          </w:p>
          <w:p>
            <w:pPr>
              <w:spacing w:line="360" w:lineRule="auto"/>
              <w:ind w:firstLine="480" w:firstLineChars="200"/>
              <w:rPr>
                <w:sz w:val="24"/>
                <w:u w:val="single"/>
              </w:rPr>
            </w:pPr>
            <w:r>
              <w:rPr>
                <w:rFonts w:hint="eastAsia"/>
                <w:sz w:val="24"/>
                <w:u w:val="single"/>
              </w:rPr>
              <w:t>式中：Q</w:t>
            </w:r>
            <w:r>
              <w:rPr>
                <w:rFonts w:hint="eastAsia"/>
                <w:sz w:val="24"/>
                <w:u w:val="single"/>
                <w:vertAlign w:val="subscript"/>
              </w:rPr>
              <w:t xml:space="preserve">尘 </w:t>
            </w:r>
            <w:r>
              <w:rPr>
                <w:rFonts w:hint="eastAsia"/>
                <w:sz w:val="24"/>
                <w:u w:val="single"/>
              </w:rPr>
              <w:t>—— 汽车倾卸矸石起尘量，mg；</w:t>
            </w:r>
          </w:p>
          <w:p>
            <w:pPr>
              <w:spacing w:line="360" w:lineRule="auto"/>
              <w:ind w:firstLine="480" w:firstLineChars="200"/>
              <w:rPr>
                <w:sz w:val="24"/>
                <w:u w:val="single"/>
              </w:rPr>
            </w:pPr>
            <w:r>
              <w:rPr>
                <w:rFonts w:hint="eastAsia"/>
                <w:sz w:val="24"/>
                <w:u w:val="single"/>
              </w:rPr>
              <w:t xml:space="preserve">      Q</w:t>
            </w:r>
            <w:r>
              <w:rPr>
                <w:rFonts w:hint="eastAsia"/>
                <w:sz w:val="24"/>
                <w:u w:val="single"/>
                <w:vertAlign w:val="subscript"/>
              </w:rPr>
              <w:t>实</w:t>
            </w:r>
            <w:r>
              <w:rPr>
                <w:rFonts w:hint="eastAsia"/>
                <w:sz w:val="24"/>
                <w:u w:val="single"/>
              </w:rPr>
              <w:t xml:space="preserve"> —— 汽车倾卸矸石起尘强度，mg/s；</w:t>
            </w:r>
          </w:p>
          <w:p>
            <w:pPr>
              <w:spacing w:line="360" w:lineRule="auto"/>
              <w:ind w:firstLine="480" w:firstLineChars="200"/>
              <w:rPr>
                <w:sz w:val="24"/>
                <w:u w:val="single"/>
              </w:rPr>
            </w:pPr>
            <w:r>
              <w:rPr>
                <w:rFonts w:hint="eastAsia"/>
                <w:sz w:val="24"/>
                <w:u w:val="single"/>
              </w:rPr>
              <w:t xml:space="preserve">      Q</w:t>
            </w:r>
            <w:r>
              <w:rPr>
                <w:rFonts w:hint="eastAsia"/>
                <w:sz w:val="24"/>
                <w:u w:val="single"/>
                <w:vertAlign w:val="subscript"/>
              </w:rPr>
              <w:t>模</w:t>
            </w:r>
            <w:r>
              <w:rPr>
                <w:rFonts w:hint="eastAsia"/>
                <w:sz w:val="24"/>
                <w:u w:val="single"/>
              </w:rPr>
              <w:t xml:space="preserve"> —— 模型起尘强度，mg/s；</w:t>
            </w:r>
          </w:p>
          <w:p>
            <w:pPr>
              <w:spacing w:line="360" w:lineRule="auto"/>
              <w:ind w:firstLine="480" w:firstLineChars="200"/>
              <w:rPr>
                <w:sz w:val="24"/>
                <w:u w:val="single"/>
              </w:rPr>
            </w:pPr>
            <w:r>
              <w:rPr>
                <w:rFonts w:hint="eastAsia"/>
                <w:sz w:val="24"/>
                <w:u w:val="single"/>
              </w:rPr>
              <w:t xml:space="preserve">      U —— 堆场所在地风速，m/s；</w:t>
            </w:r>
          </w:p>
          <w:p>
            <w:pPr>
              <w:spacing w:line="500" w:lineRule="exact"/>
              <w:ind w:firstLine="480" w:firstLineChars="200"/>
              <w:rPr>
                <w:sz w:val="24"/>
                <w:u w:val="single"/>
              </w:rPr>
            </w:pPr>
            <w:r>
              <w:rPr>
                <w:rFonts w:hint="eastAsia"/>
                <w:sz w:val="24"/>
                <w:u w:val="single"/>
              </w:rPr>
              <w:t xml:space="preserve">      W —— 矸石含水率，%；</w:t>
            </w:r>
          </w:p>
          <w:p>
            <w:pPr>
              <w:spacing w:line="500" w:lineRule="exact"/>
              <w:ind w:firstLine="480" w:firstLineChars="200"/>
              <w:rPr>
                <w:sz w:val="24"/>
                <w:u w:val="single"/>
              </w:rPr>
            </w:pPr>
            <w:r>
              <w:rPr>
                <w:rFonts w:hint="eastAsia"/>
                <w:sz w:val="24"/>
                <w:u w:val="single"/>
              </w:rPr>
              <w:t xml:space="preserve">      t —— 试验时间（汽车倾卸为</w:t>
            </w:r>
            <w:r>
              <w:rPr>
                <w:rFonts w:hint="eastAsia"/>
                <w:sz w:val="24"/>
                <w:u w:val="single"/>
                <w:lang w:val="en-US" w:eastAsia="zh-CN"/>
              </w:rPr>
              <w:t>300</w:t>
            </w:r>
            <w:r>
              <w:rPr>
                <w:rFonts w:hint="eastAsia"/>
                <w:sz w:val="24"/>
                <w:u w:val="single"/>
              </w:rPr>
              <w:t>秒）；</w:t>
            </w:r>
          </w:p>
          <w:p>
            <w:pPr>
              <w:spacing w:line="500" w:lineRule="exact"/>
              <w:ind w:firstLine="480" w:firstLineChars="200"/>
              <w:rPr>
                <w:sz w:val="24"/>
                <w:u w:val="single"/>
              </w:rPr>
            </w:pPr>
            <w:r>
              <w:rPr>
                <w:rFonts w:hint="eastAsia" w:ascii="宋体" w:hAnsi="宋体"/>
                <w:sz w:val="24"/>
                <w:u w:val="single"/>
              </w:rPr>
              <w:t>λ</w:t>
            </w:r>
            <w:r>
              <w:rPr>
                <w:rFonts w:hint="eastAsia"/>
                <w:sz w:val="24"/>
                <w:u w:val="single"/>
              </w:rPr>
              <w:t>—— 几何缩比，汽车倾卸取22.3。</w:t>
            </w:r>
          </w:p>
          <w:p>
            <w:pPr>
              <w:spacing w:line="500" w:lineRule="exact"/>
              <w:ind w:firstLine="480" w:firstLineChars="200"/>
              <w:rPr>
                <w:bCs/>
                <w:sz w:val="24"/>
                <w:u w:val="single"/>
              </w:rPr>
            </w:pPr>
            <w:r>
              <w:rPr>
                <w:rFonts w:hint="eastAsia"/>
                <w:bCs/>
                <w:sz w:val="24"/>
                <w:u w:val="single"/>
              </w:rPr>
              <w:t>鹅卵石含水率约10%（按10%计算），常年平均风速为3.0m/s，经上述公式计算，项目</w:t>
            </w:r>
            <w:r>
              <w:rPr>
                <w:rFonts w:hint="eastAsia"/>
                <w:sz w:val="24"/>
                <w:u w:val="single"/>
              </w:rPr>
              <w:t>汽车</w:t>
            </w:r>
            <w:r>
              <w:rPr>
                <w:rFonts w:hint="eastAsia"/>
                <w:sz w:val="24"/>
                <w:szCs w:val="21"/>
                <w:u w:val="single"/>
              </w:rPr>
              <w:t>倾卸原砂石起</w:t>
            </w:r>
            <w:r>
              <w:rPr>
                <w:rFonts w:hint="eastAsia"/>
                <w:sz w:val="24"/>
                <w:u w:val="single"/>
              </w:rPr>
              <w:t>尘量为5.2mg/s（0.02kg</w:t>
            </w:r>
            <w:r>
              <w:rPr>
                <w:rFonts w:hint="eastAsia"/>
                <w:bCs/>
                <w:sz w:val="24"/>
                <w:u w:val="single"/>
              </w:rPr>
              <w:t>/h）。项目年工作时间300天，项目鹅卵石量为60万t，若货车载重量为30t，则项目</w:t>
            </w:r>
            <w:r>
              <w:rPr>
                <w:rFonts w:hint="eastAsia"/>
                <w:bCs/>
                <w:sz w:val="24"/>
                <w:szCs w:val="21"/>
                <w:u w:val="single"/>
              </w:rPr>
              <w:t>原砂石每天</w:t>
            </w:r>
            <w:r>
              <w:rPr>
                <w:rFonts w:hint="eastAsia"/>
                <w:bCs/>
                <w:sz w:val="24"/>
                <w:u w:val="single"/>
              </w:rPr>
              <w:t>需运输67趟运载，</w:t>
            </w:r>
            <w:r>
              <w:rPr>
                <w:rFonts w:hint="eastAsia"/>
                <w:sz w:val="24"/>
                <w:u w:val="single"/>
              </w:rPr>
              <w:t>汽车倾卸为300秒（共计年倾卸1675个小时）</w:t>
            </w:r>
            <w:r>
              <w:rPr>
                <w:rFonts w:hint="eastAsia"/>
                <w:bCs/>
                <w:sz w:val="24"/>
                <w:u w:val="single"/>
              </w:rPr>
              <w:t>。因此，卸料过程无组织粉尘量为0.03t/a。</w:t>
            </w:r>
          </w:p>
          <w:p>
            <w:pPr>
              <w:widowControl/>
              <w:spacing w:line="520" w:lineRule="exact"/>
              <w:ind w:firstLine="465"/>
              <w:rPr>
                <w:bCs/>
                <w:sz w:val="24"/>
                <w:szCs w:val="22"/>
                <w:u w:val="single"/>
              </w:rPr>
            </w:pPr>
            <w:r>
              <w:rPr>
                <w:rFonts w:hint="eastAsia"/>
                <w:bCs/>
                <w:sz w:val="24"/>
                <w:u w:val="single"/>
              </w:rPr>
              <w:t>项目装料过程与卸料过程基本相似，均采用皮带运输方式（全封闭），其粉尘产生量类比卸料过程粉尘产生</w:t>
            </w:r>
            <w:r>
              <w:rPr>
                <w:rFonts w:hint="eastAsia"/>
                <w:bCs/>
                <w:sz w:val="24"/>
                <w:szCs w:val="22"/>
                <w:u w:val="single"/>
              </w:rPr>
              <w:t>量，粉尘量为0.03t/a。</w:t>
            </w:r>
          </w:p>
          <w:p>
            <w:pPr>
              <w:widowControl/>
              <w:spacing w:line="520" w:lineRule="exact"/>
              <w:ind w:firstLine="465"/>
              <w:rPr>
                <w:bCs/>
                <w:sz w:val="24"/>
                <w:szCs w:val="22"/>
                <w:u w:val="single"/>
              </w:rPr>
            </w:pPr>
            <w:r>
              <w:rPr>
                <w:rFonts w:hint="eastAsia"/>
                <w:bCs/>
                <w:sz w:val="24"/>
                <w:szCs w:val="22"/>
                <w:u w:val="single"/>
              </w:rPr>
              <w:t>综上，项目装卸过程起尘量为0.06t/a。</w:t>
            </w:r>
          </w:p>
          <w:p>
            <w:pPr>
              <w:widowControl/>
              <w:spacing w:line="520" w:lineRule="exact"/>
              <w:ind w:firstLine="465"/>
              <w:rPr>
                <w:sz w:val="24"/>
                <w:szCs w:val="22"/>
                <w:u w:val="single"/>
              </w:rPr>
            </w:pPr>
            <w:r>
              <w:rPr>
                <w:rFonts w:hint="eastAsia"/>
                <w:sz w:val="24"/>
                <w:szCs w:val="22"/>
                <w:u w:val="single"/>
              </w:rPr>
              <w:t>（2）砂堆场风力起尘</w:t>
            </w:r>
          </w:p>
          <w:p>
            <w:pPr>
              <w:spacing w:line="360" w:lineRule="auto"/>
              <w:ind w:firstLine="480" w:firstLineChars="200"/>
              <w:rPr>
                <w:sz w:val="24"/>
                <w:u w:val="single"/>
              </w:rPr>
            </w:pPr>
            <w:r>
              <w:rPr>
                <w:rFonts w:hint="eastAsia"/>
                <w:sz w:val="24"/>
                <w:u w:val="single"/>
              </w:rPr>
              <w:t>根据建设方提供资料，成品堆场及原料堆场为全封闭堆场，基本可以不考虑砂场堆场风力扬尘。</w:t>
            </w:r>
          </w:p>
          <w:p>
            <w:pPr>
              <w:pStyle w:val="2"/>
              <w:rPr>
                <w:color w:val="auto"/>
                <w:sz w:val="24"/>
                <w:szCs w:val="20"/>
                <w:u w:val="single"/>
              </w:rPr>
            </w:pPr>
            <w:r>
              <w:rPr>
                <w:rFonts w:hint="eastAsia"/>
                <w:sz w:val="24"/>
                <w:szCs w:val="20"/>
                <w:u w:val="single"/>
              </w:rPr>
              <w:t xml:space="preserve">   </w:t>
            </w:r>
            <w:r>
              <w:rPr>
                <w:rFonts w:hint="eastAsia"/>
                <w:color w:val="auto"/>
                <w:sz w:val="24"/>
                <w:szCs w:val="20"/>
                <w:u w:val="single"/>
              </w:rPr>
              <w:t>（3）砂石破碎及筛分系统粉尘</w:t>
            </w:r>
          </w:p>
          <w:p>
            <w:pPr>
              <w:spacing w:line="360" w:lineRule="auto"/>
              <w:ind w:firstLine="600" w:firstLineChars="250"/>
              <w:rPr>
                <w:color w:val="auto"/>
                <w:sz w:val="24"/>
                <w:u w:val="single"/>
              </w:rPr>
            </w:pPr>
            <w:r>
              <w:rPr>
                <w:rFonts w:hint="eastAsia"/>
                <w:color w:val="auto"/>
                <w:sz w:val="24"/>
                <w:u w:val="single"/>
              </w:rPr>
              <w:t>通过建设单位提供的经验数据，本工程砂石破碎、制砂及筛分系统粉尘排放系数在无控制排放的情况下，粉尘产生强度为</w:t>
            </w:r>
            <w:r>
              <w:rPr>
                <w:rFonts w:hint="eastAsia"/>
                <w:color w:val="auto"/>
                <w:sz w:val="24"/>
                <w:u w:val="single"/>
                <w:lang w:val="en-US" w:eastAsia="zh-CN"/>
              </w:rPr>
              <w:t>0.6</w:t>
            </w:r>
            <w:r>
              <w:rPr>
                <w:rFonts w:hint="eastAsia"/>
                <w:color w:val="auto"/>
                <w:sz w:val="24"/>
                <w:u w:val="single"/>
              </w:rPr>
              <w:t>kg/h（项目生产时间为300天，破碎时间为每天</w:t>
            </w:r>
            <w:r>
              <w:rPr>
                <w:rFonts w:hint="eastAsia"/>
                <w:color w:val="auto"/>
                <w:sz w:val="24"/>
                <w:u w:val="single"/>
                <w:lang w:val="en-US" w:eastAsia="zh-CN"/>
              </w:rPr>
              <w:t>12</w:t>
            </w:r>
            <w:r>
              <w:rPr>
                <w:rFonts w:hint="eastAsia"/>
                <w:color w:val="auto"/>
                <w:sz w:val="24"/>
                <w:u w:val="single"/>
              </w:rPr>
              <w:t>小时，共生产</w:t>
            </w:r>
            <w:r>
              <w:rPr>
                <w:rFonts w:hint="eastAsia"/>
                <w:color w:val="auto"/>
                <w:sz w:val="24"/>
                <w:u w:val="single"/>
                <w:lang w:val="en-US" w:eastAsia="zh-CN"/>
              </w:rPr>
              <w:t>3600</w:t>
            </w:r>
            <w:r>
              <w:rPr>
                <w:rFonts w:hint="eastAsia"/>
                <w:color w:val="auto"/>
                <w:sz w:val="24"/>
                <w:u w:val="single"/>
              </w:rPr>
              <w:t>小时），年产生量为2.</w:t>
            </w:r>
            <w:r>
              <w:rPr>
                <w:rFonts w:hint="eastAsia"/>
                <w:color w:val="auto"/>
                <w:sz w:val="24"/>
                <w:u w:val="single"/>
                <w:lang w:val="en-US" w:eastAsia="zh-CN"/>
              </w:rPr>
              <w:t>16</w:t>
            </w:r>
            <w:r>
              <w:rPr>
                <w:rFonts w:hint="eastAsia"/>
                <w:color w:val="auto"/>
                <w:sz w:val="24"/>
                <w:u w:val="single"/>
              </w:rPr>
              <w:t>t/a，本工程在砂石破碎、制砂及筛分工序采用湿法工艺，并设置喷淋降尘装置，采取降尘措施后粉尘的产生量将减少90%以上，以此推算，该系统粉尘排放源强为</w:t>
            </w:r>
            <w:r>
              <w:rPr>
                <w:rFonts w:hint="eastAsia"/>
                <w:color w:val="auto"/>
                <w:sz w:val="24"/>
                <w:u w:val="single"/>
                <w:lang w:val="en-US" w:eastAsia="zh-CN"/>
              </w:rPr>
              <w:t>0.06</w:t>
            </w:r>
            <w:r>
              <w:rPr>
                <w:rFonts w:hint="eastAsia"/>
                <w:color w:val="auto"/>
                <w:sz w:val="24"/>
                <w:u w:val="single"/>
              </w:rPr>
              <w:t>kg/h，年排放量为0.22t/a。</w:t>
            </w:r>
          </w:p>
          <w:p>
            <w:pPr>
              <w:spacing w:line="360" w:lineRule="auto"/>
              <w:ind w:firstLine="360" w:firstLineChars="150"/>
              <w:rPr>
                <w:sz w:val="24"/>
                <w:u w:val="single"/>
              </w:rPr>
            </w:pPr>
            <w:r>
              <w:rPr>
                <w:rFonts w:hint="eastAsia"/>
                <w:sz w:val="24"/>
                <w:u w:val="single"/>
              </w:rPr>
              <w:t>（3）运输车辆扬尘</w:t>
            </w:r>
          </w:p>
          <w:p>
            <w:pPr>
              <w:spacing w:line="360" w:lineRule="auto"/>
              <w:ind w:firstLine="480" w:firstLineChars="200"/>
              <w:rPr>
                <w:sz w:val="24"/>
                <w:u w:val="single"/>
              </w:rPr>
            </w:pPr>
            <w:r>
              <w:rPr>
                <w:rFonts w:hint="eastAsia"/>
                <w:sz w:val="24"/>
                <w:u w:val="single"/>
              </w:rPr>
              <w:t>项目车辆行驶产生的扬尘，在道路完全干燥的情况下，可按下列经验公式计算：</w:t>
            </w:r>
          </w:p>
          <w:p>
            <w:pPr>
              <w:spacing w:line="360" w:lineRule="auto"/>
              <w:ind w:firstLine="480" w:firstLineChars="200"/>
              <w:rPr>
                <w:sz w:val="24"/>
                <w:u w:val="single"/>
              </w:rPr>
            </w:pPr>
            <w:r>
              <w:rPr>
                <w:sz w:val="24"/>
                <w:u w:val="single"/>
              </w:rPr>
              <w:t>Q=</w:t>
            </w:r>
            <w:r>
              <w:rPr>
                <w:rFonts w:hint="eastAsia" w:hAnsi="宋体"/>
                <w:sz w:val="24"/>
                <w:u w:val="single"/>
              </w:rPr>
              <w:t>0.123（</w:t>
            </w:r>
            <w:r>
              <w:rPr>
                <w:sz w:val="24"/>
                <w:u w:val="single"/>
              </w:rPr>
              <w:t>V/5</w:t>
            </w:r>
            <w:r>
              <w:rPr>
                <w:rFonts w:hint="eastAsia" w:hAnsi="宋体"/>
                <w:sz w:val="24"/>
                <w:u w:val="single"/>
              </w:rPr>
              <w:t>）</w:t>
            </w:r>
            <w:r>
              <w:rPr>
                <w:rFonts w:hAnsi="宋体"/>
                <w:sz w:val="24"/>
                <w:u w:val="single"/>
              </w:rPr>
              <w:t>(W/6.8)</w:t>
            </w:r>
            <w:r>
              <w:rPr>
                <w:rFonts w:hint="eastAsia"/>
                <w:sz w:val="24"/>
                <w:u w:val="single"/>
              </w:rPr>
              <w:t>0.85</w:t>
            </w:r>
            <w:r>
              <w:rPr>
                <w:sz w:val="24"/>
                <w:u w:val="single"/>
              </w:rPr>
              <w:t>(P/0.5)</w:t>
            </w:r>
            <w:r>
              <w:rPr>
                <w:rFonts w:hint="eastAsia"/>
                <w:sz w:val="24"/>
                <w:u w:val="single"/>
              </w:rPr>
              <w:t>0.75=0.21</w:t>
            </w:r>
            <w:r>
              <w:rPr>
                <w:sz w:val="24"/>
                <w:u w:val="single"/>
              </w:rPr>
              <w:t xml:space="preserve"> kg/km</w:t>
            </w:r>
            <w:r>
              <w:rPr>
                <w:rFonts w:hint="eastAsia"/>
                <w:sz w:val="24"/>
                <w:u w:val="single"/>
              </w:rPr>
              <w:t>·辆</w:t>
            </w:r>
          </w:p>
          <w:p>
            <w:pPr>
              <w:spacing w:line="360" w:lineRule="auto"/>
              <w:ind w:firstLine="480" w:firstLineChars="200"/>
              <w:rPr>
                <w:sz w:val="24"/>
                <w:u w:val="single"/>
              </w:rPr>
            </w:pPr>
            <w:r>
              <w:rPr>
                <w:rFonts w:hint="eastAsia"/>
                <w:sz w:val="24"/>
                <w:u w:val="single"/>
              </w:rPr>
              <w:t>式中：</w:t>
            </w:r>
            <w:r>
              <w:rPr>
                <w:sz w:val="24"/>
                <w:u w:val="single"/>
              </w:rPr>
              <w:t>Q</w:t>
            </w:r>
            <w:r>
              <w:rPr>
                <w:rFonts w:hint="eastAsia"/>
                <w:sz w:val="24"/>
                <w:u w:val="single"/>
              </w:rPr>
              <w:t>——汽车行驶时的扬尘，</w:t>
            </w:r>
            <w:r>
              <w:rPr>
                <w:sz w:val="24"/>
                <w:u w:val="single"/>
              </w:rPr>
              <w:t>kg/km</w:t>
            </w:r>
            <w:r>
              <w:rPr>
                <w:rFonts w:hint="eastAsia"/>
                <w:sz w:val="24"/>
                <w:u w:val="single"/>
              </w:rPr>
              <w:t>·辆；</w:t>
            </w:r>
          </w:p>
          <w:p>
            <w:pPr>
              <w:spacing w:line="360" w:lineRule="auto"/>
              <w:ind w:firstLine="480" w:firstLineChars="200"/>
              <w:rPr>
                <w:sz w:val="24"/>
                <w:u w:val="single"/>
              </w:rPr>
            </w:pPr>
            <w:r>
              <w:rPr>
                <w:sz w:val="24"/>
                <w:u w:val="single"/>
              </w:rPr>
              <w:t xml:space="preserve">      V</w:t>
            </w:r>
            <w:r>
              <w:rPr>
                <w:rFonts w:hint="eastAsia"/>
                <w:sz w:val="24"/>
                <w:u w:val="single"/>
              </w:rPr>
              <w:t>——汽车速度，</w:t>
            </w:r>
            <w:r>
              <w:rPr>
                <w:sz w:val="24"/>
                <w:u w:val="single"/>
              </w:rPr>
              <w:t>km/h</w:t>
            </w:r>
            <w:r>
              <w:rPr>
                <w:rFonts w:hint="eastAsia"/>
                <w:sz w:val="24"/>
                <w:u w:val="single"/>
              </w:rPr>
              <w:t>；</w:t>
            </w:r>
          </w:p>
          <w:p>
            <w:pPr>
              <w:spacing w:line="360" w:lineRule="auto"/>
              <w:ind w:firstLine="480" w:firstLineChars="200"/>
              <w:rPr>
                <w:sz w:val="24"/>
                <w:u w:val="single"/>
              </w:rPr>
            </w:pPr>
            <w:r>
              <w:rPr>
                <w:sz w:val="24"/>
                <w:u w:val="single"/>
              </w:rPr>
              <w:t xml:space="preserve">      W</w:t>
            </w:r>
            <w:r>
              <w:rPr>
                <w:rFonts w:hint="eastAsia"/>
                <w:sz w:val="24"/>
                <w:u w:val="single"/>
              </w:rPr>
              <w:t>——汽车载重量，吨；</w:t>
            </w:r>
          </w:p>
          <w:p>
            <w:pPr>
              <w:spacing w:line="360" w:lineRule="auto"/>
              <w:ind w:firstLine="480" w:firstLineChars="200"/>
              <w:rPr>
                <w:sz w:val="24"/>
                <w:u w:val="single"/>
              </w:rPr>
            </w:pPr>
            <w:r>
              <w:rPr>
                <w:sz w:val="24"/>
                <w:u w:val="single"/>
              </w:rPr>
              <w:t xml:space="preserve">      P</w:t>
            </w:r>
            <w:r>
              <w:rPr>
                <w:rFonts w:hint="eastAsia"/>
                <w:sz w:val="24"/>
                <w:u w:val="single"/>
              </w:rPr>
              <w:t>——道路表面粉尘量，0.1</w:t>
            </w:r>
            <w:r>
              <w:rPr>
                <w:sz w:val="24"/>
                <w:u w:val="single"/>
              </w:rPr>
              <w:t>kg/m</w:t>
            </w:r>
            <w:r>
              <w:rPr>
                <w:sz w:val="24"/>
                <w:u w:val="single"/>
                <w:vertAlign w:val="superscript"/>
              </w:rPr>
              <w:t>2</w:t>
            </w:r>
          </w:p>
          <w:p>
            <w:pPr>
              <w:spacing w:line="360" w:lineRule="auto"/>
              <w:ind w:firstLine="480" w:firstLineChars="200"/>
              <w:jc w:val="center"/>
              <w:rPr>
                <w:sz w:val="24"/>
                <w:szCs w:val="22"/>
                <w:u w:val="single"/>
              </w:rPr>
            </w:pPr>
            <w:r>
              <w:rPr>
                <w:rFonts w:hint="eastAsia"/>
                <w:sz w:val="24"/>
                <w:u w:val="single"/>
              </w:rPr>
              <w:t>本项目运输吨重共计为120万吨</w:t>
            </w:r>
            <w:r>
              <w:rPr>
                <w:rFonts w:hint="eastAsia"/>
                <w:sz w:val="24"/>
                <w:szCs w:val="22"/>
                <w:u w:val="single"/>
              </w:rPr>
              <w:t>（其中60万</w:t>
            </w:r>
            <w:r>
              <w:rPr>
                <w:rFonts w:hint="eastAsia"/>
                <w:sz w:val="24"/>
                <w:u w:val="single"/>
              </w:rPr>
              <w:t>吨原料、成品为60万吨），</w:t>
            </w:r>
            <w:r>
              <w:rPr>
                <w:rFonts w:hint="eastAsia"/>
                <w:sz w:val="24"/>
                <w:szCs w:val="21"/>
                <w:u w:val="single"/>
              </w:rPr>
              <w:t>载重量</w:t>
            </w:r>
            <w:r>
              <w:rPr>
                <w:rFonts w:hint="eastAsia"/>
                <w:sz w:val="24"/>
                <w:u w:val="single"/>
              </w:rPr>
              <w:t>重约30</w:t>
            </w:r>
            <w:r>
              <w:rPr>
                <w:sz w:val="24"/>
                <w:u w:val="single"/>
              </w:rPr>
              <w:t>t</w:t>
            </w:r>
            <w:r>
              <w:rPr>
                <w:rFonts w:hint="eastAsia"/>
                <w:sz w:val="24"/>
                <w:u w:val="single"/>
              </w:rPr>
              <w:t>，共计为40000次/a，货车车速为15km/h，根据本项目的实际情况（进场道路水泥路在营运期修建为沥青路面做硬化处理路面长度为100m），厂内道路的路况以</w:t>
            </w:r>
            <w:r>
              <w:rPr>
                <w:sz w:val="24"/>
                <w:u w:val="single"/>
              </w:rPr>
              <w:t>0.</w:t>
            </w:r>
            <w:r>
              <w:rPr>
                <w:rFonts w:hint="eastAsia"/>
                <w:sz w:val="24"/>
                <w:u w:val="single"/>
              </w:rPr>
              <w:t>1</w:t>
            </w:r>
            <w:r>
              <w:rPr>
                <w:sz w:val="24"/>
                <w:u w:val="single"/>
              </w:rPr>
              <w:t>kg/m</w:t>
            </w:r>
            <w:r>
              <w:rPr>
                <w:sz w:val="24"/>
                <w:u w:val="single"/>
                <w:vertAlign w:val="superscript"/>
              </w:rPr>
              <w:t>2</w:t>
            </w:r>
            <w:r>
              <w:rPr>
                <w:rFonts w:hint="eastAsia"/>
                <w:sz w:val="24"/>
                <w:u w:val="single"/>
              </w:rPr>
              <w:t>计，则项目厂区汽车动力起尘量为0.84t</w:t>
            </w:r>
            <w:r>
              <w:rPr>
                <w:sz w:val="24"/>
                <w:u w:val="single"/>
              </w:rPr>
              <w:t>/a</w:t>
            </w:r>
            <w:r>
              <w:rPr>
                <w:rFonts w:hint="eastAsia"/>
                <w:sz w:val="24"/>
                <w:u w:val="single"/>
              </w:rPr>
              <w:t>，通过洒</w:t>
            </w:r>
            <w:r>
              <w:rPr>
                <w:rFonts w:hint="eastAsia"/>
                <w:sz w:val="24"/>
                <w:szCs w:val="22"/>
                <w:u w:val="single"/>
              </w:rPr>
              <w:t>水降尘（每天洒水4~5次）粉尘量约减少40％，则项目粉尘排放量为0.5t/a。</w:t>
            </w:r>
          </w:p>
          <w:p>
            <w:pPr>
              <w:spacing w:line="360" w:lineRule="auto"/>
              <w:ind w:firstLine="482" w:firstLineChars="200"/>
              <w:jc w:val="center"/>
              <w:rPr>
                <w:b/>
                <w:sz w:val="24"/>
                <w:szCs w:val="24"/>
                <w:u w:val="single"/>
              </w:rPr>
            </w:pPr>
            <w:r>
              <w:rPr>
                <w:b/>
                <w:sz w:val="24"/>
                <w:szCs w:val="24"/>
                <w:u w:val="single"/>
              </w:rPr>
              <w:t>表5-</w:t>
            </w:r>
            <w:r>
              <w:rPr>
                <w:rFonts w:hint="eastAsia"/>
                <w:b/>
                <w:sz w:val="24"/>
                <w:szCs w:val="24"/>
                <w:u w:val="single"/>
                <w:lang w:val="en-US" w:eastAsia="zh-CN"/>
              </w:rPr>
              <w:t>2</w:t>
            </w:r>
            <w:r>
              <w:rPr>
                <w:b/>
                <w:sz w:val="24"/>
                <w:szCs w:val="24"/>
                <w:u w:val="single"/>
              </w:rPr>
              <w:t xml:space="preserve">   粉尘</w:t>
            </w:r>
            <w:r>
              <w:rPr>
                <w:rFonts w:hint="eastAsia"/>
                <w:b/>
                <w:sz w:val="24"/>
                <w:szCs w:val="24"/>
                <w:u w:val="single"/>
              </w:rPr>
              <w:t>产生及</w:t>
            </w:r>
            <w:r>
              <w:rPr>
                <w:b/>
                <w:sz w:val="24"/>
                <w:szCs w:val="24"/>
                <w:u w:val="single"/>
              </w:rPr>
              <w:t>排放汇总表</w:t>
            </w:r>
          </w:p>
          <w:tbl>
            <w:tblPr>
              <w:tblStyle w:val="28"/>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939"/>
              <w:gridCol w:w="922"/>
              <w:gridCol w:w="911"/>
              <w:gridCol w:w="1532"/>
              <w:gridCol w:w="1607"/>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tcBorders>
                    <w:top w:val="single" w:color="auto" w:sz="12" w:space="0"/>
                  </w:tcBorders>
                  <w:vAlign w:val="center"/>
                </w:tcPr>
                <w:p>
                  <w:pPr>
                    <w:spacing w:line="360" w:lineRule="auto"/>
                    <w:jc w:val="center"/>
                    <w:rPr>
                      <w:b/>
                      <w:szCs w:val="21"/>
                      <w:u w:val="single"/>
                    </w:rPr>
                  </w:pPr>
                  <w:r>
                    <w:rPr>
                      <w:b/>
                      <w:szCs w:val="21"/>
                      <w:u w:val="single"/>
                    </w:rPr>
                    <w:t>序号</w:t>
                  </w:r>
                </w:p>
              </w:tc>
              <w:tc>
                <w:tcPr>
                  <w:tcW w:w="1939" w:type="dxa"/>
                  <w:tcBorders>
                    <w:top w:val="single" w:color="auto" w:sz="12" w:space="0"/>
                  </w:tcBorders>
                  <w:vAlign w:val="center"/>
                </w:tcPr>
                <w:p>
                  <w:pPr>
                    <w:spacing w:line="360" w:lineRule="auto"/>
                    <w:jc w:val="center"/>
                    <w:rPr>
                      <w:b/>
                      <w:szCs w:val="21"/>
                      <w:u w:val="single"/>
                    </w:rPr>
                  </w:pPr>
                  <w:r>
                    <w:rPr>
                      <w:b/>
                      <w:szCs w:val="21"/>
                      <w:u w:val="single"/>
                    </w:rPr>
                    <w:t>排放源</w:t>
                  </w:r>
                </w:p>
              </w:tc>
              <w:tc>
                <w:tcPr>
                  <w:tcW w:w="922" w:type="dxa"/>
                  <w:tcBorders>
                    <w:top w:val="single" w:color="auto" w:sz="12" w:space="0"/>
                  </w:tcBorders>
                  <w:vAlign w:val="center"/>
                </w:tcPr>
                <w:p>
                  <w:pPr>
                    <w:spacing w:line="360" w:lineRule="auto"/>
                    <w:jc w:val="center"/>
                    <w:rPr>
                      <w:b/>
                      <w:szCs w:val="21"/>
                      <w:u w:val="single"/>
                    </w:rPr>
                  </w:pPr>
                  <w:r>
                    <w:rPr>
                      <w:b/>
                      <w:szCs w:val="21"/>
                      <w:u w:val="single"/>
                    </w:rPr>
                    <w:t>产生量（t/a）</w:t>
                  </w:r>
                </w:p>
              </w:tc>
              <w:tc>
                <w:tcPr>
                  <w:tcW w:w="911" w:type="dxa"/>
                  <w:tcBorders>
                    <w:top w:val="single" w:color="auto" w:sz="12" w:space="0"/>
                  </w:tcBorders>
                  <w:vAlign w:val="center"/>
                </w:tcPr>
                <w:p>
                  <w:pPr>
                    <w:spacing w:line="360" w:lineRule="auto"/>
                    <w:jc w:val="center"/>
                    <w:rPr>
                      <w:b/>
                      <w:szCs w:val="21"/>
                      <w:u w:val="single"/>
                    </w:rPr>
                  </w:pPr>
                  <w:r>
                    <w:rPr>
                      <w:b/>
                      <w:szCs w:val="21"/>
                      <w:u w:val="single"/>
                    </w:rPr>
                    <w:t>排放量（t/a）</w:t>
                  </w:r>
                </w:p>
              </w:tc>
              <w:tc>
                <w:tcPr>
                  <w:tcW w:w="1532" w:type="dxa"/>
                  <w:tcBorders>
                    <w:top w:val="single" w:color="auto" w:sz="12" w:space="0"/>
                  </w:tcBorders>
                  <w:vAlign w:val="center"/>
                </w:tcPr>
                <w:p>
                  <w:pPr>
                    <w:spacing w:line="360" w:lineRule="auto"/>
                    <w:jc w:val="center"/>
                    <w:rPr>
                      <w:b/>
                      <w:szCs w:val="21"/>
                      <w:u w:val="single"/>
                    </w:rPr>
                  </w:pPr>
                  <w:r>
                    <w:rPr>
                      <w:b/>
                      <w:szCs w:val="21"/>
                      <w:u w:val="single"/>
                    </w:rPr>
                    <w:t>处理措施</w:t>
                  </w:r>
                </w:p>
              </w:tc>
              <w:tc>
                <w:tcPr>
                  <w:tcW w:w="1607" w:type="dxa"/>
                  <w:tcBorders>
                    <w:top w:val="single" w:color="auto" w:sz="12" w:space="0"/>
                  </w:tcBorders>
                  <w:vAlign w:val="center"/>
                </w:tcPr>
                <w:p>
                  <w:pPr>
                    <w:spacing w:line="360" w:lineRule="auto"/>
                    <w:jc w:val="center"/>
                    <w:rPr>
                      <w:b/>
                      <w:szCs w:val="21"/>
                      <w:u w:val="single"/>
                    </w:rPr>
                  </w:pPr>
                  <w:r>
                    <w:rPr>
                      <w:b/>
                      <w:szCs w:val="21"/>
                      <w:u w:val="single"/>
                    </w:rPr>
                    <w:t>处理效率</w:t>
                  </w:r>
                </w:p>
              </w:tc>
              <w:tc>
                <w:tcPr>
                  <w:tcW w:w="854" w:type="dxa"/>
                  <w:tcBorders>
                    <w:top w:val="single" w:color="auto" w:sz="12" w:space="0"/>
                    <w:right w:val="single" w:color="auto" w:sz="12" w:space="0"/>
                  </w:tcBorders>
                  <w:vAlign w:val="center"/>
                </w:tcPr>
                <w:p>
                  <w:pPr>
                    <w:spacing w:line="360" w:lineRule="auto"/>
                    <w:jc w:val="center"/>
                    <w:rPr>
                      <w:b/>
                      <w:szCs w:val="21"/>
                      <w:u w:val="single"/>
                    </w:rPr>
                  </w:pPr>
                  <w:r>
                    <w:rPr>
                      <w:b/>
                      <w:szCs w:val="21"/>
                      <w:u w:val="singl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tcBorders>
                    <w:left w:val="single" w:color="auto" w:sz="4" w:space="0"/>
                  </w:tcBorders>
                  <w:vAlign w:val="center"/>
                </w:tcPr>
                <w:p>
                  <w:pPr>
                    <w:spacing w:line="360" w:lineRule="auto"/>
                    <w:jc w:val="center"/>
                    <w:rPr>
                      <w:bCs/>
                      <w:szCs w:val="21"/>
                      <w:u w:val="single"/>
                    </w:rPr>
                  </w:pPr>
                  <w:r>
                    <w:rPr>
                      <w:bCs/>
                      <w:szCs w:val="21"/>
                      <w:u w:val="single"/>
                    </w:rPr>
                    <w:t>1</w:t>
                  </w:r>
                </w:p>
              </w:tc>
              <w:tc>
                <w:tcPr>
                  <w:tcW w:w="1939" w:type="dxa"/>
                  <w:vAlign w:val="center"/>
                </w:tcPr>
                <w:p>
                  <w:pPr>
                    <w:spacing w:line="360" w:lineRule="auto"/>
                    <w:jc w:val="center"/>
                    <w:rPr>
                      <w:bCs/>
                      <w:szCs w:val="21"/>
                      <w:u w:val="single"/>
                    </w:rPr>
                  </w:pPr>
                  <w:r>
                    <w:rPr>
                      <w:rFonts w:hint="eastAsia"/>
                      <w:bCs/>
                      <w:szCs w:val="21"/>
                      <w:u w:val="single"/>
                    </w:rPr>
                    <w:t>砂堆装卸过程起尘</w:t>
                  </w:r>
                </w:p>
              </w:tc>
              <w:tc>
                <w:tcPr>
                  <w:tcW w:w="922" w:type="dxa"/>
                  <w:vAlign w:val="center"/>
                </w:tcPr>
                <w:p>
                  <w:pPr>
                    <w:spacing w:line="360" w:lineRule="auto"/>
                    <w:jc w:val="center"/>
                    <w:rPr>
                      <w:bCs/>
                      <w:szCs w:val="21"/>
                      <w:u w:val="single"/>
                    </w:rPr>
                  </w:pPr>
                  <w:r>
                    <w:rPr>
                      <w:rFonts w:hint="eastAsia"/>
                      <w:bCs/>
                      <w:szCs w:val="21"/>
                      <w:u w:val="single"/>
                    </w:rPr>
                    <w:t>0.06</w:t>
                  </w:r>
                </w:p>
              </w:tc>
              <w:tc>
                <w:tcPr>
                  <w:tcW w:w="911" w:type="dxa"/>
                  <w:vAlign w:val="center"/>
                </w:tcPr>
                <w:p>
                  <w:pPr>
                    <w:spacing w:line="360" w:lineRule="auto"/>
                    <w:jc w:val="center"/>
                    <w:rPr>
                      <w:bCs/>
                      <w:szCs w:val="21"/>
                      <w:u w:val="single"/>
                    </w:rPr>
                  </w:pPr>
                  <w:r>
                    <w:rPr>
                      <w:rFonts w:hint="eastAsia"/>
                      <w:bCs/>
                      <w:szCs w:val="21"/>
                      <w:u w:val="single"/>
                    </w:rPr>
                    <w:t>0.06</w:t>
                  </w:r>
                </w:p>
              </w:tc>
              <w:tc>
                <w:tcPr>
                  <w:tcW w:w="1532" w:type="dxa"/>
                  <w:vAlign w:val="center"/>
                </w:tcPr>
                <w:p>
                  <w:pPr>
                    <w:spacing w:line="360" w:lineRule="auto"/>
                    <w:jc w:val="center"/>
                    <w:rPr>
                      <w:bCs/>
                      <w:szCs w:val="21"/>
                      <w:u w:val="single"/>
                    </w:rPr>
                  </w:pPr>
                  <w:r>
                    <w:rPr>
                      <w:rFonts w:hint="eastAsia"/>
                      <w:bCs/>
                      <w:szCs w:val="21"/>
                      <w:u w:val="single"/>
                    </w:rPr>
                    <w:t>密封皮带运输，洒水抑尘</w:t>
                  </w:r>
                </w:p>
              </w:tc>
              <w:tc>
                <w:tcPr>
                  <w:tcW w:w="1607" w:type="dxa"/>
                  <w:vAlign w:val="center"/>
                </w:tcPr>
                <w:p>
                  <w:pPr>
                    <w:spacing w:line="360" w:lineRule="auto"/>
                    <w:jc w:val="center"/>
                    <w:rPr>
                      <w:bCs/>
                      <w:szCs w:val="21"/>
                      <w:u w:val="single"/>
                    </w:rPr>
                  </w:pPr>
                  <w:r>
                    <w:rPr>
                      <w:rFonts w:hint="eastAsia"/>
                      <w:bCs/>
                      <w:szCs w:val="21"/>
                      <w:u w:val="single"/>
                    </w:rPr>
                    <w:t>-</w:t>
                  </w:r>
                </w:p>
              </w:tc>
              <w:tc>
                <w:tcPr>
                  <w:tcW w:w="854" w:type="dxa"/>
                  <w:tcBorders>
                    <w:right w:val="single" w:color="auto" w:sz="12" w:space="0"/>
                  </w:tcBorders>
                  <w:vAlign w:val="center"/>
                </w:tcPr>
                <w:p>
                  <w:pPr>
                    <w:spacing w:line="360" w:lineRule="auto"/>
                    <w:jc w:val="center"/>
                    <w:rPr>
                      <w:bCs/>
                      <w:szCs w:val="21"/>
                      <w:u w:val="single"/>
                    </w:rPr>
                  </w:pPr>
                  <w:r>
                    <w:rPr>
                      <w:bCs/>
                      <w:szCs w:val="21"/>
                      <w:u w:val="singl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tcBorders>
                    <w:left w:val="single" w:color="auto" w:sz="4" w:space="0"/>
                  </w:tcBorders>
                  <w:vAlign w:val="center"/>
                </w:tcPr>
                <w:p>
                  <w:pPr>
                    <w:spacing w:line="360" w:lineRule="auto"/>
                    <w:jc w:val="center"/>
                    <w:rPr>
                      <w:bCs/>
                      <w:szCs w:val="21"/>
                      <w:u w:val="single"/>
                    </w:rPr>
                  </w:pPr>
                  <w:r>
                    <w:rPr>
                      <w:rFonts w:hint="eastAsia"/>
                      <w:bCs/>
                      <w:szCs w:val="21"/>
                      <w:u w:val="single"/>
                    </w:rPr>
                    <w:t>2</w:t>
                  </w:r>
                </w:p>
              </w:tc>
              <w:tc>
                <w:tcPr>
                  <w:tcW w:w="1939" w:type="dxa"/>
                  <w:vAlign w:val="center"/>
                </w:tcPr>
                <w:p>
                  <w:pPr>
                    <w:spacing w:line="360" w:lineRule="auto"/>
                    <w:jc w:val="center"/>
                    <w:rPr>
                      <w:bCs/>
                      <w:szCs w:val="21"/>
                      <w:u w:val="single"/>
                    </w:rPr>
                  </w:pPr>
                  <w:r>
                    <w:rPr>
                      <w:rFonts w:hint="eastAsia"/>
                      <w:bCs/>
                      <w:szCs w:val="21"/>
                      <w:u w:val="single"/>
                    </w:rPr>
                    <w:t>砂石破碎及筛分系统粉尘</w:t>
                  </w:r>
                </w:p>
              </w:tc>
              <w:tc>
                <w:tcPr>
                  <w:tcW w:w="922" w:type="dxa"/>
                  <w:vAlign w:val="center"/>
                </w:tcPr>
                <w:p>
                  <w:pPr>
                    <w:spacing w:line="360" w:lineRule="auto"/>
                    <w:jc w:val="center"/>
                    <w:rPr>
                      <w:bCs/>
                      <w:szCs w:val="21"/>
                      <w:u w:val="single"/>
                    </w:rPr>
                  </w:pPr>
                  <w:r>
                    <w:rPr>
                      <w:rFonts w:hint="eastAsia"/>
                      <w:bCs/>
                      <w:szCs w:val="21"/>
                      <w:u w:val="single"/>
                    </w:rPr>
                    <w:t>2.2</w:t>
                  </w:r>
                </w:p>
              </w:tc>
              <w:tc>
                <w:tcPr>
                  <w:tcW w:w="911" w:type="dxa"/>
                  <w:vAlign w:val="center"/>
                </w:tcPr>
                <w:p>
                  <w:pPr>
                    <w:spacing w:line="360" w:lineRule="auto"/>
                    <w:jc w:val="center"/>
                    <w:rPr>
                      <w:bCs/>
                      <w:szCs w:val="21"/>
                      <w:u w:val="single"/>
                    </w:rPr>
                  </w:pPr>
                  <w:r>
                    <w:rPr>
                      <w:rFonts w:hint="eastAsia"/>
                      <w:bCs/>
                      <w:szCs w:val="21"/>
                      <w:u w:val="single"/>
                    </w:rPr>
                    <w:t>0.22</w:t>
                  </w:r>
                </w:p>
              </w:tc>
              <w:tc>
                <w:tcPr>
                  <w:tcW w:w="1532" w:type="dxa"/>
                  <w:vAlign w:val="center"/>
                </w:tcPr>
                <w:p>
                  <w:pPr>
                    <w:spacing w:line="360" w:lineRule="auto"/>
                    <w:jc w:val="center"/>
                    <w:rPr>
                      <w:bCs/>
                      <w:szCs w:val="21"/>
                      <w:u w:val="single"/>
                    </w:rPr>
                  </w:pPr>
                  <w:r>
                    <w:rPr>
                      <w:rFonts w:hint="eastAsia"/>
                      <w:bCs/>
                      <w:szCs w:val="21"/>
                      <w:u w:val="single"/>
                    </w:rPr>
                    <w:t>密闭厂房+喷淋洒水</w:t>
                  </w:r>
                </w:p>
              </w:tc>
              <w:tc>
                <w:tcPr>
                  <w:tcW w:w="1607" w:type="dxa"/>
                  <w:vAlign w:val="center"/>
                </w:tcPr>
                <w:p>
                  <w:pPr>
                    <w:spacing w:line="360" w:lineRule="auto"/>
                    <w:jc w:val="center"/>
                    <w:rPr>
                      <w:bCs/>
                      <w:szCs w:val="21"/>
                      <w:u w:val="single"/>
                    </w:rPr>
                  </w:pPr>
                  <w:r>
                    <w:rPr>
                      <w:rFonts w:hint="eastAsia"/>
                      <w:bCs/>
                      <w:szCs w:val="21"/>
                      <w:u w:val="single"/>
                    </w:rPr>
                    <w:t>90</w:t>
                  </w:r>
                  <w:r>
                    <w:rPr>
                      <w:bCs/>
                      <w:szCs w:val="21"/>
                      <w:u w:val="single"/>
                    </w:rPr>
                    <w:t>%</w:t>
                  </w:r>
                  <w:r>
                    <w:rPr>
                      <w:rFonts w:hint="eastAsia"/>
                      <w:bCs/>
                      <w:szCs w:val="21"/>
                      <w:u w:val="single"/>
                    </w:rPr>
                    <w:t>以上</w:t>
                  </w:r>
                </w:p>
              </w:tc>
              <w:tc>
                <w:tcPr>
                  <w:tcW w:w="854" w:type="dxa"/>
                  <w:tcBorders>
                    <w:right w:val="single" w:color="auto" w:sz="12" w:space="0"/>
                  </w:tcBorders>
                  <w:vAlign w:val="center"/>
                </w:tcPr>
                <w:p>
                  <w:pPr>
                    <w:spacing w:line="360" w:lineRule="auto"/>
                    <w:jc w:val="center"/>
                    <w:rPr>
                      <w:bCs/>
                      <w:szCs w:val="21"/>
                      <w:u w:val="single"/>
                    </w:rPr>
                  </w:pPr>
                  <w:r>
                    <w:rPr>
                      <w:rFonts w:hint="eastAsia"/>
                      <w:bCs/>
                      <w:szCs w:val="21"/>
                      <w:u w:val="single"/>
                    </w:rPr>
                    <w:t>无</w:t>
                  </w:r>
                  <w:r>
                    <w:rPr>
                      <w:bCs/>
                      <w:szCs w:val="21"/>
                      <w:u w:val="single"/>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tcBorders>
                    <w:left w:val="single" w:color="auto" w:sz="4" w:space="0"/>
                  </w:tcBorders>
                  <w:vAlign w:val="center"/>
                </w:tcPr>
                <w:p>
                  <w:pPr>
                    <w:spacing w:line="360" w:lineRule="auto"/>
                    <w:jc w:val="center"/>
                    <w:rPr>
                      <w:bCs/>
                      <w:szCs w:val="21"/>
                      <w:u w:val="single"/>
                    </w:rPr>
                  </w:pPr>
                  <w:r>
                    <w:rPr>
                      <w:rFonts w:hint="eastAsia"/>
                      <w:bCs/>
                      <w:szCs w:val="21"/>
                      <w:u w:val="single"/>
                    </w:rPr>
                    <w:t>3</w:t>
                  </w:r>
                </w:p>
              </w:tc>
              <w:tc>
                <w:tcPr>
                  <w:tcW w:w="1939" w:type="dxa"/>
                  <w:vAlign w:val="center"/>
                </w:tcPr>
                <w:p>
                  <w:pPr>
                    <w:spacing w:line="360" w:lineRule="auto"/>
                    <w:jc w:val="center"/>
                    <w:rPr>
                      <w:bCs/>
                      <w:szCs w:val="21"/>
                      <w:u w:val="single"/>
                    </w:rPr>
                  </w:pPr>
                  <w:r>
                    <w:rPr>
                      <w:bCs/>
                      <w:szCs w:val="21"/>
                      <w:u w:val="single"/>
                    </w:rPr>
                    <w:t>运输车辆动力起尘</w:t>
                  </w:r>
                </w:p>
              </w:tc>
              <w:tc>
                <w:tcPr>
                  <w:tcW w:w="922" w:type="dxa"/>
                  <w:vAlign w:val="center"/>
                </w:tcPr>
                <w:p>
                  <w:pPr>
                    <w:spacing w:line="360" w:lineRule="auto"/>
                    <w:jc w:val="center"/>
                    <w:rPr>
                      <w:bCs/>
                      <w:szCs w:val="21"/>
                      <w:u w:val="single"/>
                    </w:rPr>
                  </w:pPr>
                  <w:r>
                    <w:rPr>
                      <w:rFonts w:hint="eastAsia"/>
                      <w:bCs/>
                      <w:szCs w:val="21"/>
                      <w:u w:val="single"/>
                    </w:rPr>
                    <w:t>0.84</w:t>
                  </w:r>
                </w:p>
              </w:tc>
              <w:tc>
                <w:tcPr>
                  <w:tcW w:w="911" w:type="dxa"/>
                  <w:vAlign w:val="center"/>
                </w:tcPr>
                <w:p>
                  <w:pPr>
                    <w:spacing w:line="360" w:lineRule="auto"/>
                    <w:jc w:val="center"/>
                    <w:rPr>
                      <w:bCs/>
                      <w:szCs w:val="21"/>
                      <w:u w:val="single"/>
                    </w:rPr>
                  </w:pPr>
                  <w:r>
                    <w:rPr>
                      <w:rFonts w:hint="eastAsia"/>
                      <w:bCs/>
                      <w:szCs w:val="21"/>
                      <w:u w:val="single"/>
                    </w:rPr>
                    <w:t>0.5</w:t>
                  </w:r>
                </w:p>
              </w:tc>
              <w:tc>
                <w:tcPr>
                  <w:tcW w:w="1532" w:type="dxa"/>
                  <w:vAlign w:val="center"/>
                </w:tcPr>
                <w:p>
                  <w:pPr>
                    <w:spacing w:line="360" w:lineRule="auto"/>
                    <w:jc w:val="center"/>
                    <w:rPr>
                      <w:bCs/>
                      <w:szCs w:val="21"/>
                      <w:u w:val="single"/>
                    </w:rPr>
                  </w:pPr>
                  <w:r>
                    <w:rPr>
                      <w:bCs/>
                      <w:szCs w:val="21"/>
                      <w:u w:val="single"/>
                    </w:rPr>
                    <w:t>地面洒水</w:t>
                  </w:r>
                </w:p>
              </w:tc>
              <w:tc>
                <w:tcPr>
                  <w:tcW w:w="1607" w:type="dxa"/>
                  <w:vAlign w:val="center"/>
                </w:tcPr>
                <w:p>
                  <w:pPr>
                    <w:spacing w:line="360" w:lineRule="auto"/>
                    <w:jc w:val="center"/>
                    <w:rPr>
                      <w:bCs/>
                      <w:szCs w:val="21"/>
                      <w:u w:val="single"/>
                    </w:rPr>
                  </w:pPr>
                  <w:r>
                    <w:rPr>
                      <w:rFonts w:hint="eastAsia"/>
                      <w:bCs/>
                      <w:szCs w:val="21"/>
                      <w:u w:val="single"/>
                    </w:rPr>
                    <w:t>40％</w:t>
                  </w:r>
                </w:p>
              </w:tc>
              <w:tc>
                <w:tcPr>
                  <w:tcW w:w="854" w:type="dxa"/>
                  <w:tcBorders>
                    <w:right w:val="single" w:color="auto" w:sz="12" w:space="0"/>
                  </w:tcBorders>
                  <w:vAlign w:val="center"/>
                </w:tcPr>
                <w:p>
                  <w:pPr>
                    <w:spacing w:line="360" w:lineRule="auto"/>
                    <w:jc w:val="center"/>
                    <w:rPr>
                      <w:bCs/>
                      <w:szCs w:val="21"/>
                      <w:u w:val="single"/>
                    </w:rPr>
                  </w:pPr>
                  <w:r>
                    <w:rPr>
                      <w:bCs/>
                      <w:szCs w:val="21"/>
                      <w:u w:val="singl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dxa"/>
                  <w:gridSpan w:val="2"/>
                  <w:tcBorders>
                    <w:left w:val="single" w:color="auto" w:sz="4" w:space="0"/>
                    <w:bottom w:val="single" w:color="auto" w:sz="12" w:space="0"/>
                  </w:tcBorders>
                  <w:vAlign w:val="center"/>
                </w:tcPr>
                <w:p>
                  <w:pPr>
                    <w:spacing w:line="360" w:lineRule="auto"/>
                    <w:jc w:val="center"/>
                    <w:rPr>
                      <w:bCs/>
                      <w:szCs w:val="21"/>
                      <w:u w:val="single"/>
                    </w:rPr>
                  </w:pPr>
                  <w:r>
                    <w:rPr>
                      <w:bCs/>
                      <w:szCs w:val="21"/>
                      <w:u w:val="single"/>
                    </w:rPr>
                    <w:t>合计</w:t>
                  </w:r>
                </w:p>
              </w:tc>
              <w:tc>
                <w:tcPr>
                  <w:tcW w:w="922" w:type="dxa"/>
                  <w:tcBorders>
                    <w:bottom w:val="single" w:color="auto" w:sz="12" w:space="0"/>
                  </w:tcBorders>
                  <w:vAlign w:val="center"/>
                </w:tcPr>
                <w:p>
                  <w:pPr>
                    <w:spacing w:line="360" w:lineRule="auto"/>
                    <w:jc w:val="center"/>
                    <w:rPr>
                      <w:bCs/>
                      <w:szCs w:val="21"/>
                      <w:u w:val="single"/>
                    </w:rPr>
                  </w:pPr>
                  <w:r>
                    <w:rPr>
                      <w:rFonts w:hint="eastAsia"/>
                      <w:bCs/>
                      <w:szCs w:val="21"/>
                      <w:u w:val="single"/>
                    </w:rPr>
                    <w:t>3.1</w:t>
                  </w:r>
                </w:p>
              </w:tc>
              <w:tc>
                <w:tcPr>
                  <w:tcW w:w="911" w:type="dxa"/>
                  <w:tcBorders>
                    <w:bottom w:val="single" w:color="auto" w:sz="12" w:space="0"/>
                  </w:tcBorders>
                  <w:vAlign w:val="center"/>
                </w:tcPr>
                <w:p>
                  <w:pPr>
                    <w:spacing w:line="360" w:lineRule="auto"/>
                    <w:jc w:val="center"/>
                    <w:rPr>
                      <w:bCs/>
                      <w:szCs w:val="21"/>
                      <w:u w:val="single"/>
                    </w:rPr>
                  </w:pPr>
                  <w:r>
                    <w:rPr>
                      <w:rFonts w:hint="eastAsia"/>
                      <w:bCs/>
                      <w:szCs w:val="21"/>
                      <w:u w:val="single"/>
                    </w:rPr>
                    <w:t>0.78</w:t>
                  </w:r>
                </w:p>
              </w:tc>
              <w:tc>
                <w:tcPr>
                  <w:tcW w:w="1532" w:type="dxa"/>
                  <w:tcBorders>
                    <w:bottom w:val="single" w:color="auto" w:sz="12" w:space="0"/>
                  </w:tcBorders>
                  <w:vAlign w:val="center"/>
                </w:tcPr>
                <w:p>
                  <w:pPr>
                    <w:spacing w:line="360" w:lineRule="auto"/>
                    <w:jc w:val="center"/>
                    <w:rPr>
                      <w:bCs/>
                      <w:szCs w:val="21"/>
                      <w:u w:val="single"/>
                    </w:rPr>
                  </w:pPr>
                </w:p>
              </w:tc>
              <w:tc>
                <w:tcPr>
                  <w:tcW w:w="1607" w:type="dxa"/>
                  <w:tcBorders>
                    <w:bottom w:val="single" w:color="auto" w:sz="12" w:space="0"/>
                  </w:tcBorders>
                  <w:vAlign w:val="center"/>
                </w:tcPr>
                <w:p>
                  <w:pPr>
                    <w:spacing w:line="360" w:lineRule="auto"/>
                    <w:jc w:val="center"/>
                    <w:rPr>
                      <w:bCs/>
                      <w:szCs w:val="21"/>
                      <w:u w:val="single"/>
                    </w:rPr>
                  </w:pPr>
                  <w:r>
                    <w:rPr>
                      <w:bCs/>
                      <w:szCs w:val="21"/>
                      <w:u w:val="single"/>
                    </w:rPr>
                    <w:t>/</w:t>
                  </w:r>
                </w:p>
              </w:tc>
              <w:tc>
                <w:tcPr>
                  <w:tcW w:w="854" w:type="dxa"/>
                  <w:tcBorders>
                    <w:bottom w:val="single" w:color="auto" w:sz="12" w:space="0"/>
                    <w:right w:val="single" w:color="auto" w:sz="12" w:space="0"/>
                  </w:tcBorders>
                  <w:vAlign w:val="center"/>
                </w:tcPr>
                <w:p>
                  <w:pPr>
                    <w:spacing w:line="360" w:lineRule="auto"/>
                    <w:jc w:val="center"/>
                    <w:rPr>
                      <w:bCs/>
                      <w:szCs w:val="21"/>
                      <w:u w:val="single"/>
                    </w:rPr>
                  </w:pPr>
                  <w:r>
                    <w:rPr>
                      <w:bCs/>
                      <w:szCs w:val="21"/>
                      <w:u w:val="single"/>
                    </w:rPr>
                    <w:t>/</w:t>
                  </w:r>
                </w:p>
              </w:tc>
            </w:tr>
          </w:tbl>
          <w:p>
            <w:pPr>
              <w:widowControl/>
              <w:spacing w:line="520" w:lineRule="exact"/>
              <w:ind w:firstLine="465"/>
              <w:jc w:val="left"/>
              <w:rPr>
                <w:rFonts w:hAnsi="宋体"/>
                <w:sz w:val="24"/>
              </w:rPr>
            </w:pPr>
            <w:r>
              <w:rPr>
                <w:rFonts w:hint="eastAsia" w:hAnsi="宋体"/>
                <w:sz w:val="24"/>
              </w:rPr>
              <w:t>④食堂油烟废气</w:t>
            </w:r>
          </w:p>
          <w:p>
            <w:pPr>
              <w:widowControl/>
              <w:tabs>
                <w:tab w:val="left" w:pos="5827"/>
              </w:tabs>
              <w:spacing w:line="520" w:lineRule="exact"/>
              <w:ind w:firstLine="465"/>
              <w:jc w:val="left"/>
              <w:rPr>
                <w:sz w:val="24"/>
              </w:rPr>
            </w:pPr>
            <w:r>
              <w:rPr>
                <w:rFonts w:hint="eastAsia"/>
                <w:sz w:val="24"/>
              </w:rPr>
              <w:t>食堂废气主要是</w:t>
            </w:r>
            <w:r>
              <w:rPr>
                <w:sz w:val="24"/>
              </w:rPr>
              <w:t>在食物烹饪、加工过程中挥发的油脂、有机质及热分解或裂解，从而产生油烟废气</w:t>
            </w:r>
            <w:r>
              <w:rPr>
                <w:rFonts w:hint="eastAsia"/>
                <w:sz w:val="24"/>
              </w:rPr>
              <w:t>。据统计，目前</w:t>
            </w:r>
            <w:r>
              <w:rPr>
                <w:sz w:val="24"/>
              </w:rPr>
              <w:t>居民人均食用油日用量约30g/人·d，一般油烟挥发量占总耗油量的2-4%</w:t>
            </w:r>
            <w:r>
              <w:rPr>
                <w:rFonts w:hint="eastAsia"/>
                <w:sz w:val="24"/>
              </w:rPr>
              <w:t>，</w:t>
            </w:r>
            <w:r>
              <w:rPr>
                <w:sz w:val="24"/>
              </w:rPr>
              <w:t>取</w:t>
            </w:r>
            <w:r>
              <w:rPr>
                <w:rFonts w:hint="eastAsia"/>
                <w:sz w:val="24"/>
              </w:rPr>
              <w:t>（最大值）4%计算，</w:t>
            </w:r>
            <w:r>
              <w:rPr>
                <w:sz w:val="24"/>
              </w:rPr>
              <w:t>则</w:t>
            </w:r>
            <w:r>
              <w:rPr>
                <w:rFonts w:hint="eastAsia"/>
                <w:sz w:val="24"/>
              </w:rPr>
              <w:t>食堂</w:t>
            </w:r>
            <w:r>
              <w:rPr>
                <w:sz w:val="24"/>
              </w:rPr>
              <w:t>油烟日产生量为</w:t>
            </w:r>
            <w:r>
              <w:rPr>
                <w:rFonts w:hint="eastAsia"/>
                <w:sz w:val="24"/>
              </w:rPr>
              <w:t>0.0</w:t>
            </w:r>
            <w:r>
              <w:rPr>
                <w:rFonts w:hint="eastAsia"/>
                <w:sz w:val="24"/>
                <w:lang w:val="en-US" w:eastAsia="zh-CN"/>
              </w:rPr>
              <w:t>0</w:t>
            </w:r>
            <w:r>
              <w:rPr>
                <w:rFonts w:hint="eastAsia"/>
                <w:sz w:val="24"/>
              </w:rPr>
              <w:t>6</w:t>
            </w:r>
            <w:r>
              <w:rPr>
                <w:sz w:val="24"/>
              </w:rPr>
              <w:t>kg，年产生量为</w:t>
            </w:r>
            <w:bookmarkStart w:id="17" w:name="OLE_LINK57"/>
            <w:r>
              <w:rPr>
                <w:rFonts w:hint="eastAsia"/>
                <w:sz w:val="24"/>
                <w:lang w:val="en-US" w:eastAsia="zh-CN"/>
              </w:rPr>
              <w:t>1.8</w:t>
            </w:r>
            <w:r>
              <w:rPr>
                <w:sz w:val="24"/>
              </w:rPr>
              <w:t>kg</w:t>
            </w:r>
            <w:bookmarkEnd w:id="17"/>
            <w:r>
              <w:rPr>
                <w:rFonts w:hint="eastAsia"/>
                <w:sz w:val="24"/>
              </w:rPr>
              <w:t>/a，</w:t>
            </w:r>
            <w:r>
              <w:rPr>
                <w:rFonts w:hint="eastAsia" w:hAnsi="宋体"/>
                <w:kern w:val="0"/>
                <w:sz w:val="24"/>
              </w:rPr>
              <w:t>集气罩</w:t>
            </w:r>
            <w:r>
              <w:rPr>
                <w:rFonts w:hAnsi="宋体"/>
                <w:kern w:val="0"/>
                <w:sz w:val="24"/>
              </w:rPr>
              <w:t>总风量</w:t>
            </w:r>
            <w:r>
              <w:rPr>
                <w:rFonts w:hint="eastAsia"/>
                <w:kern w:val="0"/>
                <w:sz w:val="24"/>
              </w:rPr>
              <w:t xml:space="preserve">1000 </w:t>
            </w:r>
            <w:r>
              <w:rPr>
                <w:kern w:val="0"/>
                <w:sz w:val="24"/>
              </w:rPr>
              <w:t>m</w:t>
            </w:r>
            <w:r>
              <w:rPr>
                <w:kern w:val="0"/>
                <w:sz w:val="24"/>
                <w:vertAlign w:val="superscript"/>
              </w:rPr>
              <w:t>3</w:t>
            </w:r>
            <w:r>
              <w:rPr>
                <w:kern w:val="0"/>
                <w:sz w:val="24"/>
              </w:rPr>
              <w:t>/h</w:t>
            </w:r>
            <w:r>
              <w:rPr>
                <w:rFonts w:hAnsi="宋体"/>
                <w:kern w:val="0"/>
                <w:sz w:val="24"/>
              </w:rPr>
              <w:t>，</w:t>
            </w:r>
            <w:r>
              <w:rPr>
                <w:rFonts w:hAnsi="宋体"/>
                <w:sz w:val="24"/>
              </w:rPr>
              <w:t>每天</w:t>
            </w:r>
            <w:r>
              <w:rPr>
                <w:rFonts w:hint="eastAsia" w:hAnsi="宋体"/>
                <w:sz w:val="24"/>
              </w:rPr>
              <w:t>工</w:t>
            </w:r>
            <w:r>
              <w:rPr>
                <w:rFonts w:hAnsi="宋体"/>
                <w:sz w:val="24"/>
              </w:rPr>
              <w:t>作时间按</w:t>
            </w:r>
            <w:r>
              <w:rPr>
                <w:sz w:val="24"/>
              </w:rPr>
              <w:t>5</w:t>
            </w:r>
            <w:r>
              <w:rPr>
                <w:rFonts w:hAnsi="宋体"/>
                <w:sz w:val="24"/>
              </w:rPr>
              <w:t>小时计，则油烟产生浓度为</w:t>
            </w:r>
            <w:r>
              <w:rPr>
                <w:rFonts w:hint="eastAsia"/>
                <w:sz w:val="24"/>
                <w:lang w:val="en-US" w:eastAsia="zh-CN"/>
              </w:rPr>
              <w:t>1.2</w:t>
            </w:r>
            <w:r>
              <w:rPr>
                <w:sz w:val="24"/>
              </w:rPr>
              <w:t>mg/m</w:t>
            </w:r>
            <w:r>
              <w:rPr>
                <w:sz w:val="24"/>
                <w:vertAlign w:val="superscript"/>
              </w:rPr>
              <w:t>3</w:t>
            </w:r>
            <w:r>
              <w:rPr>
                <w:rFonts w:hint="eastAsia"/>
                <w:sz w:val="24"/>
              </w:rPr>
              <w:t>，</w:t>
            </w:r>
            <w:r>
              <w:rPr>
                <w:sz w:val="24"/>
              </w:rPr>
              <w:t>油烟废气收集后经油烟净化器处理达标后</w:t>
            </w:r>
            <w:r>
              <w:rPr>
                <w:rFonts w:hint="eastAsia"/>
                <w:sz w:val="24"/>
              </w:rPr>
              <w:t>引至楼顶</w:t>
            </w:r>
            <w:r>
              <w:rPr>
                <w:sz w:val="24"/>
              </w:rPr>
              <w:t>排放，油烟净化器处理效率不</w:t>
            </w:r>
            <w:r>
              <w:rPr>
                <w:rFonts w:hint="eastAsia"/>
                <w:sz w:val="24"/>
              </w:rPr>
              <w:t>得</w:t>
            </w:r>
            <w:r>
              <w:rPr>
                <w:sz w:val="24"/>
              </w:rPr>
              <w:t>低于</w:t>
            </w:r>
            <w:r>
              <w:rPr>
                <w:rFonts w:hint="eastAsia"/>
                <w:sz w:val="24"/>
              </w:rPr>
              <w:t>85</w:t>
            </w:r>
            <w:r>
              <w:rPr>
                <w:sz w:val="24"/>
              </w:rPr>
              <w:t>%（按</w:t>
            </w:r>
            <w:r>
              <w:rPr>
                <w:rFonts w:hint="eastAsia"/>
                <w:sz w:val="24"/>
              </w:rPr>
              <w:t>85</w:t>
            </w:r>
            <w:r>
              <w:rPr>
                <w:sz w:val="24"/>
              </w:rPr>
              <w:t>%计），则油烟排放量可降低至</w:t>
            </w:r>
            <w:bookmarkStart w:id="18" w:name="OLE_LINK59"/>
            <w:r>
              <w:rPr>
                <w:rFonts w:hint="eastAsia"/>
                <w:sz w:val="24"/>
                <w:lang w:val="en-US" w:eastAsia="zh-CN"/>
              </w:rPr>
              <w:t>0.27</w:t>
            </w:r>
            <w:r>
              <w:rPr>
                <w:rFonts w:hint="eastAsia"/>
                <w:sz w:val="24"/>
              </w:rPr>
              <w:t>kg</w:t>
            </w:r>
            <w:r>
              <w:rPr>
                <w:sz w:val="24"/>
              </w:rPr>
              <w:t>/a</w:t>
            </w:r>
            <w:bookmarkEnd w:id="18"/>
            <w:r>
              <w:rPr>
                <w:sz w:val="24"/>
              </w:rPr>
              <w:t>，排放浓度</w:t>
            </w:r>
            <w:bookmarkStart w:id="19" w:name="OLE_LINK58"/>
            <w:r>
              <w:rPr>
                <w:rFonts w:hint="eastAsia"/>
                <w:sz w:val="24"/>
                <w:lang w:val="en-US" w:eastAsia="zh-CN"/>
              </w:rPr>
              <w:t>0.18</w:t>
            </w:r>
            <w:r>
              <w:rPr>
                <w:sz w:val="24"/>
              </w:rPr>
              <w:t>mg/m</w:t>
            </w:r>
            <w:r>
              <w:rPr>
                <w:sz w:val="24"/>
                <w:vertAlign w:val="superscript"/>
              </w:rPr>
              <w:t>3</w:t>
            </w:r>
            <w:r>
              <w:rPr>
                <w:rFonts w:hint="eastAsia"/>
                <w:sz w:val="24"/>
              </w:rPr>
              <w:t>，</w:t>
            </w:r>
            <w:bookmarkEnd w:id="19"/>
            <w:r>
              <w:rPr>
                <w:sz w:val="24"/>
              </w:rPr>
              <w:t>小于2mg/m</w:t>
            </w:r>
            <w:r>
              <w:rPr>
                <w:sz w:val="24"/>
                <w:vertAlign w:val="superscript"/>
              </w:rPr>
              <w:t>3</w:t>
            </w:r>
            <w:r>
              <w:rPr>
                <w:sz w:val="24"/>
              </w:rPr>
              <w:t>，达到《饮食业油烟排放标准（试行）》（GB18483-2001）</w:t>
            </w:r>
            <w:r>
              <w:rPr>
                <w:rFonts w:hint="eastAsia"/>
                <w:sz w:val="24"/>
              </w:rPr>
              <w:t>的要求，通过15m的高空排放。</w:t>
            </w:r>
          </w:p>
          <w:p>
            <w:pPr>
              <w:spacing w:line="360" w:lineRule="auto"/>
              <w:jc w:val="center"/>
              <w:rPr>
                <w:rFonts w:ascii="宋体" w:hAnsi="宋体"/>
                <w:b/>
                <w:sz w:val="24"/>
              </w:rPr>
            </w:pPr>
            <w:r>
              <w:rPr>
                <w:rFonts w:hAnsi="宋体"/>
                <w:b/>
                <w:sz w:val="24"/>
              </w:rPr>
              <w:t>表</w:t>
            </w:r>
            <w:r>
              <w:rPr>
                <w:b/>
                <w:sz w:val="24"/>
              </w:rPr>
              <w:t>5-</w:t>
            </w:r>
            <w:r>
              <w:rPr>
                <w:rFonts w:hint="eastAsia"/>
                <w:b/>
                <w:sz w:val="24"/>
              </w:rPr>
              <w:t>3</w:t>
            </w:r>
            <w:r>
              <w:rPr>
                <w:rFonts w:hAnsi="宋体"/>
                <w:b/>
                <w:sz w:val="24"/>
              </w:rPr>
              <w:t>油烟</w:t>
            </w:r>
            <w:r>
              <w:rPr>
                <w:rFonts w:hint="eastAsia" w:hAnsi="宋体"/>
                <w:b/>
                <w:sz w:val="24"/>
              </w:rPr>
              <w:t>废气</w:t>
            </w:r>
            <w:r>
              <w:rPr>
                <w:rFonts w:hAnsi="宋体"/>
                <w:b/>
                <w:sz w:val="24"/>
              </w:rPr>
              <w:t>产生及排</w:t>
            </w:r>
            <w:r>
              <w:rPr>
                <w:rFonts w:hint="eastAsia" w:ascii="宋体" w:hAnsi="宋体"/>
                <w:b/>
                <w:sz w:val="24"/>
              </w:rPr>
              <w:t>放情况</w:t>
            </w:r>
          </w:p>
          <w:tbl>
            <w:tblPr>
              <w:tblStyle w:val="28"/>
              <w:tblW w:w="83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94"/>
              <w:gridCol w:w="1120"/>
              <w:gridCol w:w="1022"/>
              <w:gridCol w:w="1094"/>
              <w:gridCol w:w="2168"/>
              <w:gridCol w:w="1077"/>
              <w:gridCol w:w="9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63" w:hRule="atLeast"/>
                <w:jc w:val="center"/>
              </w:trPr>
              <w:tc>
                <w:tcPr>
                  <w:tcW w:w="894" w:type="dxa"/>
                  <w:vMerge w:val="restart"/>
                  <w:tcBorders>
                    <w:right w:val="single" w:color="auto" w:sz="4" w:space="0"/>
                  </w:tcBorders>
                  <w:vAlign w:val="center"/>
                </w:tcPr>
                <w:p>
                  <w:pPr>
                    <w:jc w:val="center"/>
                    <w:rPr>
                      <w:bCs/>
                      <w:szCs w:val="21"/>
                    </w:rPr>
                  </w:pPr>
                  <w:r>
                    <w:rPr>
                      <w:rFonts w:hAnsi="宋体"/>
                      <w:bCs/>
                      <w:szCs w:val="21"/>
                    </w:rPr>
                    <w:t>污染源</w:t>
                  </w:r>
                </w:p>
              </w:tc>
              <w:tc>
                <w:tcPr>
                  <w:tcW w:w="1120" w:type="dxa"/>
                  <w:vMerge w:val="restart"/>
                  <w:tcBorders>
                    <w:left w:val="single" w:color="auto" w:sz="4" w:space="0"/>
                  </w:tcBorders>
                  <w:vAlign w:val="center"/>
                </w:tcPr>
                <w:p>
                  <w:pPr>
                    <w:jc w:val="center"/>
                    <w:rPr>
                      <w:rFonts w:hAnsi="宋体"/>
                      <w:bCs/>
                      <w:szCs w:val="21"/>
                    </w:rPr>
                  </w:pPr>
                  <w:r>
                    <w:rPr>
                      <w:rFonts w:hAnsi="宋体"/>
                      <w:bCs/>
                      <w:szCs w:val="21"/>
                    </w:rPr>
                    <w:t>油烟废气量</w:t>
                  </w:r>
                  <w:r>
                    <w:rPr>
                      <w:rFonts w:hint="eastAsia" w:hAnsi="宋体"/>
                      <w:bCs/>
                      <w:szCs w:val="21"/>
                    </w:rPr>
                    <w:t>（</w:t>
                  </w:r>
                  <w:r>
                    <w:rPr>
                      <w:szCs w:val="21"/>
                    </w:rPr>
                    <w:t>m</w:t>
                  </w:r>
                  <w:r>
                    <w:rPr>
                      <w:szCs w:val="21"/>
                      <w:vertAlign w:val="superscript"/>
                    </w:rPr>
                    <w:t>3</w:t>
                  </w:r>
                  <w:r>
                    <w:rPr>
                      <w:szCs w:val="21"/>
                    </w:rPr>
                    <w:t>/h</w:t>
                  </w:r>
                  <w:r>
                    <w:rPr>
                      <w:rFonts w:hint="eastAsia"/>
                      <w:szCs w:val="21"/>
                    </w:rPr>
                    <w:t>）</w:t>
                  </w:r>
                </w:p>
              </w:tc>
              <w:tc>
                <w:tcPr>
                  <w:tcW w:w="2116" w:type="dxa"/>
                  <w:gridSpan w:val="2"/>
                  <w:vAlign w:val="center"/>
                </w:tcPr>
                <w:p>
                  <w:pPr>
                    <w:jc w:val="center"/>
                    <w:rPr>
                      <w:bCs/>
                      <w:szCs w:val="21"/>
                    </w:rPr>
                  </w:pPr>
                  <w:r>
                    <w:rPr>
                      <w:rFonts w:hAnsi="宋体"/>
                      <w:bCs/>
                      <w:szCs w:val="21"/>
                    </w:rPr>
                    <w:t>产生情况</w:t>
                  </w:r>
                </w:p>
              </w:tc>
              <w:tc>
                <w:tcPr>
                  <w:tcW w:w="2168" w:type="dxa"/>
                  <w:vMerge w:val="restart"/>
                  <w:vAlign w:val="center"/>
                </w:tcPr>
                <w:p>
                  <w:pPr>
                    <w:jc w:val="center"/>
                    <w:rPr>
                      <w:bCs/>
                      <w:szCs w:val="21"/>
                    </w:rPr>
                  </w:pPr>
                  <w:r>
                    <w:rPr>
                      <w:rFonts w:hAnsi="宋体"/>
                      <w:bCs/>
                      <w:szCs w:val="21"/>
                    </w:rPr>
                    <w:t>治理措施</w:t>
                  </w:r>
                </w:p>
              </w:tc>
              <w:tc>
                <w:tcPr>
                  <w:tcW w:w="2062" w:type="dxa"/>
                  <w:gridSpan w:val="2"/>
                  <w:vAlign w:val="center"/>
                </w:tcPr>
                <w:p>
                  <w:pPr>
                    <w:jc w:val="center"/>
                    <w:rPr>
                      <w:bCs/>
                      <w:szCs w:val="21"/>
                    </w:rPr>
                  </w:pPr>
                  <w:r>
                    <w:rPr>
                      <w:rFonts w:hAnsi="宋体"/>
                      <w:bCs/>
                      <w:szCs w:val="21"/>
                    </w:rPr>
                    <w:t>排放情况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21" w:hRule="atLeast"/>
                <w:jc w:val="center"/>
              </w:trPr>
              <w:tc>
                <w:tcPr>
                  <w:tcW w:w="894" w:type="dxa"/>
                  <w:vMerge w:val="continue"/>
                  <w:tcBorders>
                    <w:right w:val="single" w:color="auto" w:sz="4" w:space="0"/>
                  </w:tcBorders>
                  <w:vAlign w:val="center"/>
                </w:tcPr>
                <w:p>
                  <w:pPr>
                    <w:jc w:val="center"/>
                    <w:rPr>
                      <w:rFonts w:hAnsi="宋体"/>
                      <w:bCs/>
                      <w:szCs w:val="21"/>
                    </w:rPr>
                  </w:pPr>
                </w:p>
              </w:tc>
              <w:tc>
                <w:tcPr>
                  <w:tcW w:w="1120" w:type="dxa"/>
                  <w:vMerge w:val="continue"/>
                  <w:tcBorders>
                    <w:left w:val="single" w:color="auto" w:sz="4" w:space="0"/>
                  </w:tcBorders>
                  <w:vAlign w:val="center"/>
                </w:tcPr>
                <w:p>
                  <w:pPr>
                    <w:jc w:val="center"/>
                    <w:rPr>
                      <w:rFonts w:hAnsi="宋体"/>
                      <w:bCs/>
                      <w:szCs w:val="21"/>
                    </w:rPr>
                  </w:pPr>
                </w:p>
              </w:tc>
              <w:tc>
                <w:tcPr>
                  <w:tcW w:w="1022" w:type="dxa"/>
                  <w:vAlign w:val="center"/>
                </w:tcPr>
                <w:p>
                  <w:pPr>
                    <w:jc w:val="center"/>
                    <w:rPr>
                      <w:rFonts w:hAnsi="宋体"/>
                      <w:bCs/>
                      <w:szCs w:val="21"/>
                    </w:rPr>
                  </w:pPr>
                  <w:r>
                    <w:rPr>
                      <w:szCs w:val="21"/>
                    </w:rPr>
                    <w:t>mg/m</w:t>
                  </w:r>
                  <w:r>
                    <w:rPr>
                      <w:szCs w:val="21"/>
                      <w:vertAlign w:val="superscript"/>
                    </w:rPr>
                    <w:t>3</w:t>
                  </w:r>
                </w:p>
              </w:tc>
              <w:tc>
                <w:tcPr>
                  <w:tcW w:w="1094" w:type="dxa"/>
                  <w:vAlign w:val="center"/>
                </w:tcPr>
                <w:p>
                  <w:pPr>
                    <w:jc w:val="center"/>
                    <w:rPr>
                      <w:rFonts w:hAnsi="宋体"/>
                      <w:bCs/>
                      <w:szCs w:val="21"/>
                    </w:rPr>
                  </w:pPr>
                  <w:r>
                    <w:rPr>
                      <w:rFonts w:hint="eastAsia"/>
                      <w:szCs w:val="21"/>
                    </w:rPr>
                    <w:t>kg</w:t>
                  </w:r>
                  <w:r>
                    <w:rPr>
                      <w:szCs w:val="21"/>
                    </w:rPr>
                    <w:t>/a</w:t>
                  </w:r>
                </w:p>
              </w:tc>
              <w:tc>
                <w:tcPr>
                  <w:tcW w:w="2168" w:type="dxa"/>
                  <w:vMerge w:val="continue"/>
                  <w:vAlign w:val="center"/>
                </w:tcPr>
                <w:p>
                  <w:pPr>
                    <w:jc w:val="center"/>
                    <w:rPr>
                      <w:rFonts w:hAnsi="宋体"/>
                      <w:bCs/>
                      <w:szCs w:val="21"/>
                    </w:rPr>
                  </w:pPr>
                </w:p>
              </w:tc>
              <w:tc>
                <w:tcPr>
                  <w:tcW w:w="1077" w:type="dxa"/>
                  <w:vAlign w:val="center"/>
                </w:tcPr>
                <w:p>
                  <w:pPr>
                    <w:jc w:val="center"/>
                    <w:rPr>
                      <w:rFonts w:hAnsi="宋体"/>
                      <w:bCs/>
                      <w:szCs w:val="21"/>
                    </w:rPr>
                  </w:pPr>
                  <w:r>
                    <w:rPr>
                      <w:szCs w:val="21"/>
                    </w:rPr>
                    <w:t>mg/m</w:t>
                  </w:r>
                  <w:r>
                    <w:rPr>
                      <w:szCs w:val="21"/>
                      <w:vertAlign w:val="superscript"/>
                    </w:rPr>
                    <w:t>3</w:t>
                  </w:r>
                </w:p>
              </w:tc>
              <w:tc>
                <w:tcPr>
                  <w:tcW w:w="985" w:type="dxa"/>
                  <w:vAlign w:val="center"/>
                </w:tcPr>
                <w:p>
                  <w:pPr>
                    <w:jc w:val="center"/>
                    <w:rPr>
                      <w:rFonts w:hAnsi="宋体"/>
                      <w:bCs/>
                      <w:szCs w:val="21"/>
                    </w:rPr>
                  </w:pPr>
                  <w:r>
                    <w:rPr>
                      <w:rFonts w:hint="eastAsia"/>
                      <w:szCs w:val="21"/>
                    </w:rPr>
                    <w:t>kg</w:t>
                  </w:r>
                  <w:r>
                    <w:rPr>
                      <w:szCs w:val="21"/>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28" w:hRule="atLeast"/>
                <w:jc w:val="center"/>
              </w:trPr>
              <w:tc>
                <w:tcPr>
                  <w:tcW w:w="894" w:type="dxa"/>
                  <w:tcBorders>
                    <w:right w:val="single" w:color="auto" w:sz="4" w:space="0"/>
                  </w:tcBorders>
                  <w:vAlign w:val="center"/>
                </w:tcPr>
                <w:p>
                  <w:pPr>
                    <w:jc w:val="center"/>
                    <w:rPr>
                      <w:szCs w:val="21"/>
                    </w:rPr>
                  </w:pPr>
                  <w:r>
                    <w:rPr>
                      <w:rFonts w:hint="eastAsia" w:hAnsi="宋体"/>
                      <w:szCs w:val="21"/>
                    </w:rPr>
                    <w:t>油烟</w:t>
                  </w:r>
                </w:p>
              </w:tc>
              <w:tc>
                <w:tcPr>
                  <w:tcW w:w="1120" w:type="dxa"/>
                  <w:tcBorders>
                    <w:left w:val="single" w:color="auto" w:sz="4" w:space="0"/>
                  </w:tcBorders>
                  <w:vAlign w:val="center"/>
                </w:tcPr>
                <w:p>
                  <w:pPr>
                    <w:jc w:val="center"/>
                    <w:rPr>
                      <w:rFonts w:hAnsi="宋体"/>
                      <w:szCs w:val="21"/>
                    </w:rPr>
                  </w:pPr>
                  <w:r>
                    <w:rPr>
                      <w:rFonts w:hint="eastAsia" w:hAnsi="宋体"/>
                      <w:szCs w:val="21"/>
                    </w:rPr>
                    <w:t>1000</w:t>
                  </w:r>
                </w:p>
              </w:tc>
              <w:tc>
                <w:tcPr>
                  <w:tcW w:w="1022" w:type="dxa"/>
                  <w:vAlign w:val="center"/>
                </w:tcPr>
                <w:p>
                  <w:pPr>
                    <w:jc w:val="center"/>
                    <w:rPr>
                      <w:rFonts w:hint="default" w:eastAsia="宋体"/>
                      <w:szCs w:val="21"/>
                      <w:lang w:val="en-US" w:eastAsia="zh-CN"/>
                    </w:rPr>
                  </w:pPr>
                  <w:r>
                    <w:rPr>
                      <w:rFonts w:hint="eastAsia"/>
                      <w:szCs w:val="21"/>
                      <w:lang w:val="en-US" w:eastAsia="zh-CN"/>
                    </w:rPr>
                    <w:t>1.2</w:t>
                  </w:r>
                </w:p>
              </w:tc>
              <w:tc>
                <w:tcPr>
                  <w:tcW w:w="1094" w:type="dxa"/>
                  <w:vAlign w:val="center"/>
                </w:tcPr>
                <w:p>
                  <w:pPr>
                    <w:jc w:val="center"/>
                    <w:rPr>
                      <w:rFonts w:hint="default" w:eastAsia="宋体"/>
                      <w:szCs w:val="21"/>
                      <w:lang w:val="en-US" w:eastAsia="zh-CN"/>
                    </w:rPr>
                  </w:pPr>
                  <w:r>
                    <w:rPr>
                      <w:rFonts w:hint="eastAsia"/>
                      <w:szCs w:val="21"/>
                      <w:lang w:val="en-US" w:eastAsia="zh-CN"/>
                    </w:rPr>
                    <w:t>1.8</w:t>
                  </w:r>
                </w:p>
              </w:tc>
              <w:tc>
                <w:tcPr>
                  <w:tcW w:w="2168" w:type="dxa"/>
                  <w:tcBorders>
                    <w:top w:val="single" w:color="auto" w:sz="4" w:space="0"/>
                  </w:tcBorders>
                  <w:vAlign w:val="center"/>
                </w:tcPr>
                <w:p>
                  <w:pPr>
                    <w:jc w:val="center"/>
                    <w:rPr>
                      <w:szCs w:val="21"/>
                    </w:rPr>
                  </w:pPr>
                  <w:r>
                    <w:rPr>
                      <w:rFonts w:hAnsi="宋体"/>
                      <w:szCs w:val="21"/>
                    </w:rPr>
                    <w:t>安装油烟净化设施</w:t>
                  </w:r>
                  <w:r>
                    <w:rPr>
                      <w:szCs w:val="21"/>
                    </w:rPr>
                    <w:t>(</w:t>
                  </w:r>
                  <w:r>
                    <w:rPr>
                      <w:rFonts w:hAnsi="宋体"/>
                      <w:szCs w:val="21"/>
                    </w:rPr>
                    <w:t>去除率大于</w:t>
                  </w:r>
                  <w:r>
                    <w:rPr>
                      <w:szCs w:val="21"/>
                    </w:rPr>
                    <w:t>85%)</w:t>
                  </w:r>
                  <w:r>
                    <w:rPr>
                      <w:rFonts w:hint="eastAsia" w:hAnsi="宋体"/>
                      <w:szCs w:val="21"/>
                    </w:rPr>
                    <w:t>通过15m高排气筒排放</w:t>
                  </w:r>
                </w:p>
              </w:tc>
              <w:tc>
                <w:tcPr>
                  <w:tcW w:w="1077" w:type="dxa"/>
                  <w:vAlign w:val="center"/>
                </w:tcPr>
                <w:p>
                  <w:pPr>
                    <w:jc w:val="center"/>
                    <w:rPr>
                      <w:rFonts w:hint="default" w:eastAsia="宋体"/>
                      <w:szCs w:val="21"/>
                      <w:lang w:val="en-US" w:eastAsia="zh-CN"/>
                    </w:rPr>
                  </w:pPr>
                  <w:r>
                    <w:rPr>
                      <w:rFonts w:hint="eastAsia"/>
                      <w:szCs w:val="21"/>
                      <w:lang w:val="en-US" w:eastAsia="zh-CN"/>
                    </w:rPr>
                    <w:t>0.18</w:t>
                  </w:r>
                </w:p>
              </w:tc>
              <w:tc>
                <w:tcPr>
                  <w:tcW w:w="985" w:type="dxa"/>
                  <w:vAlign w:val="center"/>
                </w:tcPr>
                <w:p>
                  <w:pPr>
                    <w:jc w:val="center"/>
                    <w:rPr>
                      <w:rFonts w:hint="default" w:eastAsia="宋体"/>
                      <w:szCs w:val="21"/>
                      <w:lang w:val="en-US" w:eastAsia="zh-CN"/>
                    </w:rPr>
                  </w:pPr>
                  <w:r>
                    <w:rPr>
                      <w:rFonts w:hint="eastAsia"/>
                      <w:szCs w:val="21"/>
                      <w:lang w:val="en-US" w:eastAsia="zh-CN"/>
                    </w:rPr>
                    <w:t>0.27</w:t>
                  </w:r>
                </w:p>
              </w:tc>
            </w:tr>
          </w:tbl>
          <w:p>
            <w:pPr>
              <w:widowControl/>
              <w:spacing w:line="360" w:lineRule="auto"/>
              <w:ind w:firstLine="482" w:firstLineChars="200"/>
              <w:jc w:val="left"/>
              <w:rPr>
                <w:b/>
                <w:bCs/>
                <w:sz w:val="24"/>
              </w:rPr>
            </w:pPr>
            <w:r>
              <w:rPr>
                <w:rFonts w:hint="eastAsia"/>
                <w:b/>
                <w:bCs/>
                <w:sz w:val="24"/>
              </w:rPr>
              <w:t>3.</w:t>
            </w:r>
            <w:r>
              <w:rPr>
                <w:b/>
                <w:bCs/>
                <w:sz w:val="24"/>
              </w:rPr>
              <w:t>噪声污染</w:t>
            </w:r>
          </w:p>
          <w:p>
            <w:pPr>
              <w:pStyle w:val="14"/>
              <w:widowControl/>
              <w:spacing w:after="0" w:line="360" w:lineRule="auto"/>
              <w:ind w:left="0" w:leftChars="0" w:firstLine="480" w:firstLineChars="200"/>
              <w:rPr>
                <w:b/>
                <w:bCs/>
                <w:szCs w:val="21"/>
              </w:rPr>
            </w:pPr>
            <w:r>
              <w:rPr>
                <w:rFonts w:hint="eastAsia"/>
                <w:sz w:val="24"/>
              </w:rPr>
              <w:t>本项目</w:t>
            </w:r>
            <w:bookmarkStart w:id="20" w:name="OLE_LINK17"/>
            <w:r>
              <w:rPr>
                <w:rFonts w:hint="eastAsia"/>
                <w:sz w:val="24"/>
              </w:rPr>
              <w:t>产生噪声的设备主要为机械噪声和车辆噪声等，噪声声级在70~95</w:t>
            </w:r>
            <w:r>
              <w:rPr>
                <w:sz w:val="24"/>
              </w:rPr>
              <w:t>dB(A)</w:t>
            </w:r>
            <w:r>
              <w:rPr>
                <w:rFonts w:hint="eastAsia"/>
                <w:sz w:val="24"/>
              </w:rPr>
              <w:t>之间，</w:t>
            </w:r>
            <w:bookmarkEnd w:id="20"/>
            <w:r>
              <w:rPr>
                <w:rFonts w:hint="eastAsia"/>
                <w:sz w:val="24"/>
              </w:rPr>
              <w:t>详见项目噪声源情况表。</w:t>
            </w:r>
          </w:p>
          <w:p>
            <w:pPr>
              <w:spacing w:line="360" w:lineRule="auto"/>
              <w:jc w:val="center"/>
              <w:rPr>
                <w:b/>
                <w:bCs/>
                <w:sz w:val="24"/>
                <w:szCs w:val="24"/>
              </w:rPr>
            </w:pPr>
            <w:r>
              <w:rPr>
                <w:rFonts w:hint="eastAsia"/>
                <w:b/>
                <w:bCs/>
                <w:sz w:val="24"/>
                <w:szCs w:val="24"/>
              </w:rPr>
              <w:t>表5-4  项目噪声源情况表</w:t>
            </w:r>
          </w:p>
          <w:tbl>
            <w:tblPr>
              <w:tblStyle w:val="28"/>
              <w:tblW w:w="827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362"/>
              <w:gridCol w:w="2328"/>
              <w:gridCol w:w="1570"/>
              <w:gridCol w:w="201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snapToGrid w:val="0"/>
                    <w:jc w:val="center"/>
                    <w:rPr>
                      <w:szCs w:val="21"/>
                      <w:lang w:val="en-GB"/>
                    </w:rPr>
                  </w:pPr>
                  <w:r>
                    <w:rPr>
                      <w:szCs w:val="21"/>
                      <w:lang w:val="en-GB"/>
                    </w:rPr>
                    <w:t>噪声源</w:t>
                  </w:r>
                </w:p>
              </w:tc>
              <w:tc>
                <w:tcPr>
                  <w:tcW w:w="2328" w:type="dxa"/>
                  <w:vAlign w:val="center"/>
                </w:tcPr>
                <w:p>
                  <w:pPr>
                    <w:snapToGrid w:val="0"/>
                    <w:jc w:val="center"/>
                    <w:rPr>
                      <w:szCs w:val="21"/>
                      <w:lang w:val="en-GB"/>
                    </w:rPr>
                  </w:pPr>
                  <w:r>
                    <w:rPr>
                      <w:szCs w:val="21"/>
                      <w:lang w:val="en-GB"/>
                    </w:rPr>
                    <w:t>声压级[dB（A）]</w:t>
                  </w:r>
                </w:p>
              </w:tc>
              <w:tc>
                <w:tcPr>
                  <w:tcW w:w="1570" w:type="dxa"/>
                  <w:vAlign w:val="center"/>
                </w:tcPr>
                <w:p>
                  <w:pPr>
                    <w:snapToGrid w:val="0"/>
                    <w:jc w:val="center"/>
                    <w:rPr>
                      <w:szCs w:val="21"/>
                    </w:rPr>
                  </w:pPr>
                  <w:r>
                    <w:rPr>
                      <w:rFonts w:hint="eastAsia"/>
                      <w:szCs w:val="21"/>
                    </w:rPr>
                    <w:t>数量</w:t>
                  </w:r>
                  <w:r>
                    <w:rPr>
                      <w:szCs w:val="21"/>
                    </w:rPr>
                    <w:t>（台）</w:t>
                  </w:r>
                </w:p>
              </w:tc>
              <w:tc>
                <w:tcPr>
                  <w:tcW w:w="2016" w:type="dxa"/>
                  <w:vAlign w:val="center"/>
                </w:tcPr>
                <w:p>
                  <w:pPr>
                    <w:snapToGrid w:val="0"/>
                    <w:jc w:val="center"/>
                    <w:rPr>
                      <w:szCs w:val="21"/>
                      <w:lang w:val="en-GB"/>
                    </w:rPr>
                  </w:pPr>
                  <w:r>
                    <w:rPr>
                      <w:szCs w:val="21"/>
                      <w:lang w:val="en-GB"/>
                    </w:rPr>
                    <w:t>源强位置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ind w:firstLine="420" w:firstLineChars="200"/>
                    <w:rPr>
                      <w:szCs w:val="21"/>
                    </w:rPr>
                  </w:pPr>
                  <w:r>
                    <w:rPr>
                      <w:rFonts w:hint="eastAsia"/>
                      <w:szCs w:val="21"/>
                    </w:rPr>
                    <w:t>震动给料机</w:t>
                  </w:r>
                </w:p>
              </w:tc>
              <w:tc>
                <w:tcPr>
                  <w:tcW w:w="2328" w:type="dxa"/>
                  <w:vAlign w:val="center"/>
                </w:tcPr>
                <w:p>
                  <w:pPr>
                    <w:snapToGrid w:val="0"/>
                    <w:jc w:val="center"/>
                    <w:rPr>
                      <w:szCs w:val="21"/>
                      <w:lang w:val="en-GB"/>
                    </w:rPr>
                  </w:pPr>
                  <w:r>
                    <w:rPr>
                      <w:rFonts w:hint="eastAsia"/>
                      <w:szCs w:val="21"/>
                      <w:lang w:val="en-GB"/>
                    </w:rPr>
                    <w:t>85</w:t>
                  </w:r>
                </w:p>
              </w:tc>
              <w:tc>
                <w:tcPr>
                  <w:tcW w:w="1570" w:type="dxa"/>
                  <w:vAlign w:val="center"/>
                </w:tcPr>
                <w:p>
                  <w:pPr>
                    <w:jc w:val="center"/>
                    <w:rPr>
                      <w:szCs w:val="21"/>
                    </w:rPr>
                  </w:pPr>
                  <w:r>
                    <w:rPr>
                      <w:rFonts w:hint="eastAsia"/>
                      <w:szCs w:val="21"/>
                    </w:rPr>
                    <w:t>1</w:t>
                  </w:r>
                </w:p>
              </w:tc>
              <w:tc>
                <w:tcPr>
                  <w:tcW w:w="2016" w:type="dxa"/>
                  <w:vAlign w:val="center"/>
                </w:tcPr>
                <w:p>
                  <w:pPr>
                    <w:snapToGrid w:val="0"/>
                    <w:jc w:val="center"/>
                    <w:rPr>
                      <w:szCs w:val="21"/>
                      <w:lang w:val="en-GB"/>
                    </w:rPr>
                  </w:pPr>
                  <w:r>
                    <w:rPr>
                      <w:rFonts w:hint="eastAsia"/>
                      <w:szCs w:val="21"/>
                    </w:rPr>
                    <w:t>厂房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jc w:val="center"/>
                    <w:rPr>
                      <w:szCs w:val="21"/>
                      <w:lang w:val="en-GB"/>
                    </w:rPr>
                  </w:pPr>
                  <w:r>
                    <w:rPr>
                      <w:rFonts w:hint="eastAsia"/>
                      <w:szCs w:val="21"/>
                    </w:rPr>
                    <w:t>颚式破碎机</w:t>
                  </w:r>
                </w:p>
              </w:tc>
              <w:tc>
                <w:tcPr>
                  <w:tcW w:w="2328" w:type="dxa"/>
                  <w:vAlign w:val="center"/>
                </w:tcPr>
                <w:p>
                  <w:pPr>
                    <w:snapToGrid w:val="0"/>
                    <w:jc w:val="center"/>
                    <w:rPr>
                      <w:szCs w:val="21"/>
                    </w:rPr>
                  </w:pPr>
                  <w:r>
                    <w:rPr>
                      <w:rFonts w:hint="eastAsia"/>
                      <w:szCs w:val="21"/>
                    </w:rPr>
                    <w:t>95</w:t>
                  </w:r>
                </w:p>
              </w:tc>
              <w:tc>
                <w:tcPr>
                  <w:tcW w:w="1570" w:type="dxa"/>
                  <w:vAlign w:val="center"/>
                </w:tcPr>
                <w:p>
                  <w:pPr>
                    <w:jc w:val="center"/>
                    <w:rPr>
                      <w:szCs w:val="21"/>
                    </w:rPr>
                  </w:pPr>
                  <w:r>
                    <w:rPr>
                      <w:rFonts w:hint="eastAsia"/>
                      <w:szCs w:val="21"/>
                    </w:rPr>
                    <w:t>1</w:t>
                  </w:r>
                </w:p>
              </w:tc>
              <w:tc>
                <w:tcPr>
                  <w:tcW w:w="2016" w:type="dxa"/>
                  <w:vAlign w:val="center"/>
                </w:tcPr>
                <w:p>
                  <w:pPr>
                    <w:snapToGrid w:val="0"/>
                    <w:jc w:val="center"/>
                    <w:rPr>
                      <w:szCs w:val="21"/>
                    </w:rPr>
                  </w:pPr>
                  <w:r>
                    <w:rPr>
                      <w:rFonts w:hint="eastAsia"/>
                      <w:szCs w:val="21"/>
                    </w:rPr>
                    <w:t>厂房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jc w:val="center"/>
                    <w:rPr>
                      <w:szCs w:val="21"/>
                    </w:rPr>
                  </w:pPr>
                  <w:bookmarkStart w:id="21" w:name="OLE_LINK18" w:colFirst="0" w:colLast="0"/>
                  <w:r>
                    <w:rPr>
                      <w:rFonts w:hint="eastAsia"/>
                      <w:szCs w:val="21"/>
                    </w:rPr>
                    <w:t>卧式冲击破碎制砂机</w:t>
                  </w:r>
                </w:p>
              </w:tc>
              <w:tc>
                <w:tcPr>
                  <w:tcW w:w="2328" w:type="dxa"/>
                  <w:vAlign w:val="center"/>
                </w:tcPr>
                <w:p>
                  <w:pPr>
                    <w:snapToGrid w:val="0"/>
                    <w:jc w:val="center"/>
                    <w:rPr>
                      <w:szCs w:val="21"/>
                    </w:rPr>
                  </w:pPr>
                  <w:r>
                    <w:rPr>
                      <w:rFonts w:hint="eastAsia"/>
                      <w:szCs w:val="21"/>
                    </w:rPr>
                    <w:t>95</w:t>
                  </w:r>
                </w:p>
              </w:tc>
              <w:tc>
                <w:tcPr>
                  <w:tcW w:w="1570" w:type="dxa"/>
                  <w:vAlign w:val="center"/>
                </w:tcPr>
                <w:p>
                  <w:pPr>
                    <w:jc w:val="center"/>
                    <w:rPr>
                      <w:szCs w:val="21"/>
                    </w:rPr>
                  </w:pPr>
                  <w:r>
                    <w:rPr>
                      <w:rFonts w:hint="eastAsia"/>
                      <w:szCs w:val="21"/>
                    </w:rPr>
                    <w:t>1</w:t>
                  </w:r>
                </w:p>
              </w:tc>
              <w:tc>
                <w:tcPr>
                  <w:tcW w:w="2016" w:type="dxa"/>
                  <w:vAlign w:val="center"/>
                </w:tcPr>
                <w:p>
                  <w:pPr>
                    <w:snapToGrid w:val="0"/>
                    <w:jc w:val="center"/>
                    <w:rPr>
                      <w:szCs w:val="21"/>
                    </w:rPr>
                  </w:pPr>
                  <w:r>
                    <w:rPr>
                      <w:rFonts w:hint="eastAsia"/>
                      <w:szCs w:val="21"/>
                    </w:rPr>
                    <w:t>厂房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jc w:val="center"/>
                    <w:rPr>
                      <w:szCs w:val="21"/>
                    </w:rPr>
                  </w:pPr>
                  <w:r>
                    <w:rPr>
                      <w:rFonts w:hint="eastAsia"/>
                      <w:szCs w:val="21"/>
                    </w:rPr>
                    <w:t>振动筛</w:t>
                  </w:r>
                </w:p>
              </w:tc>
              <w:tc>
                <w:tcPr>
                  <w:tcW w:w="2328" w:type="dxa"/>
                  <w:vAlign w:val="center"/>
                </w:tcPr>
                <w:p>
                  <w:pPr>
                    <w:snapToGrid w:val="0"/>
                    <w:jc w:val="center"/>
                    <w:rPr>
                      <w:szCs w:val="21"/>
                      <w:lang w:val="en-GB"/>
                    </w:rPr>
                  </w:pPr>
                  <w:r>
                    <w:rPr>
                      <w:rFonts w:hint="eastAsia"/>
                      <w:szCs w:val="21"/>
                      <w:lang w:val="en-GB"/>
                    </w:rPr>
                    <w:t>75</w:t>
                  </w:r>
                </w:p>
              </w:tc>
              <w:tc>
                <w:tcPr>
                  <w:tcW w:w="1570" w:type="dxa"/>
                  <w:vAlign w:val="center"/>
                </w:tcPr>
                <w:p>
                  <w:pPr>
                    <w:jc w:val="center"/>
                    <w:rPr>
                      <w:szCs w:val="21"/>
                    </w:rPr>
                  </w:pPr>
                  <w:r>
                    <w:rPr>
                      <w:rFonts w:hint="eastAsia"/>
                      <w:szCs w:val="21"/>
                    </w:rPr>
                    <w:t>1</w:t>
                  </w:r>
                </w:p>
              </w:tc>
              <w:tc>
                <w:tcPr>
                  <w:tcW w:w="2016" w:type="dxa"/>
                  <w:vAlign w:val="center"/>
                </w:tcPr>
                <w:p>
                  <w:pPr>
                    <w:snapToGrid w:val="0"/>
                    <w:jc w:val="center"/>
                    <w:rPr>
                      <w:szCs w:val="21"/>
                    </w:rPr>
                  </w:pPr>
                  <w:r>
                    <w:rPr>
                      <w:rFonts w:hint="eastAsia"/>
                      <w:szCs w:val="21"/>
                    </w:rPr>
                    <w:t>厂房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jc w:val="center"/>
                    <w:rPr>
                      <w:szCs w:val="21"/>
                    </w:rPr>
                  </w:pPr>
                  <w:r>
                    <w:rPr>
                      <w:rFonts w:hint="eastAsia"/>
                      <w:szCs w:val="21"/>
                    </w:rPr>
                    <w:t>洗砂机</w:t>
                  </w:r>
                </w:p>
              </w:tc>
              <w:tc>
                <w:tcPr>
                  <w:tcW w:w="2328" w:type="dxa"/>
                  <w:vAlign w:val="center"/>
                </w:tcPr>
                <w:p>
                  <w:pPr>
                    <w:snapToGrid w:val="0"/>
                    <w:jc w:val="center"/>
                    <w:rPr>
                      <w:szCs w:val="21"/>
                    </w:rPr>
                  </w:pPr>
                  <w:r>
                    <w:rPr>
                      <w:rFonts w:hint="eastAsia"/>
                      <w:szCs w:val="21"/>
                    </w:rPr>
                    <w:t>70</w:t>
                  </w:r>
                </w:p>
              </w:tc>
              <w:tc>
                <w:tcPr>
                  <w:tcW w:w="1570" w:type="dxa"/>
                  <w:vAlign w:val="center"/>
                </w:tcPr>
                <w:p>
                  <w:pPr>
                    <w:jc w:val="center"/>
                    <w:rPr>
                      <w:rFonts w:hint="eastAsia" w:eastAsia="宋体"/>
                      <w:szCs w:val="21"/>
                      <w:lang w:eastAsia="zh-CN"/>
                    </w:rPr>
                  </w:pPr>
                  <w:r>
                    <w:rPr>
                      <w:rFonts w:hint="eastAsia"/>
                      <w:szCs w:val="21"/>
                      <w:lang w:val="en-US" w:eastAsia="zh-CN"/>
                    </w:rPr>
                    <w:t>2</w:t>
                  </w:r>
                </w:p>
              </w:tc>
              <w:tc>
                <w:tcPr>
                  <w:tcW w:w="2016" w:type="dxa"/>
                  <w:vAlign w:val="center"/>
                </w:tcPr>
                <w:p>
                  <w:pPr>
                    <w:snapToGrid w:val="0"/>
                    <w:jc w:val="center"/>
                    <w:rPr>
                      <w:szCs w:val="21"/>
                    </w:rPr>
                  </w:pPr>
                  <w:r>
                    <w:rPr>
                      <w:rFonts w:hint="eastAsia"/>
                      <w:szCs w:val="21"/>
                    </w:rPr>
                    <w:t>厂房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jc w:val="center"/>
                    <w:rPr>
                      <w:szCs w:val="21"/>
                    </w:rPr>
                  </w:pPr>
                  <w:r>
                    <w:rPr>
                      <w:rFonts w:hint="eastAsia"/>
                      <w:szCs w:val="21"/>
                    </w:rPr>
                    <w:t>脱水筛</w:t>
                  </w:r>
                </w:p>
              </w:tc>
              <w:tc>
                <w:tcPr>
                  <w:tcW w:w="2328" w:type="dxa"/>
                  <w:vAlign w:val="center"/>
                </w:tcPr>
                <w:p>
                  <w:pPr>
                    <w:snapToGrid w:val="0"/>
                    <w:jc w:val="center"/>
                    <w:rPr>
                      <w:szCs w:val="21"/>
                    </w:rPr>
                  </w:pPr>
                  <w:r>
                    <w:rPr>
                      <w:rFonts w:hint="eastAsia"/>
                      <w:szCs w:val="21"/>
                    </w:rPr>
                    <w:t>75</w:t>
                  </w:r>
                </w:p>
              </w:tc>
              <w:tc>
                <w:tcPr>
                  <w:tcW w:w="1570" w:type="dxa"/>
                  <w:vAlign w:val="center"/>
                </w:tcPr>
                <w:p>
                  <w:pPr>
                    <w:jc w:val="center"/>
                    <w:rPr>
                      <w:szCs w:val="21"/>
                    </w:rPr>
                  </w:pPr>
                  <w:r>
                    <w:rPr>
                      <w:rFonts w:hint="eastAsia"/>
                      <w:szCs w:val="21"/>
                    </w:rPr>
                    <w:t>1</w:t>
                  </w:r>
                </w:p>
              </w:tc>
              <w:tc>
                <w:tcPr>
                  <w:tcW w:w="2016" w:type="dxa"/>
                  <w:vAlign w:val="center"/>
                </w:tcPr>
                <w:p>
                  <w:pPr>
                    <w:snapToGrid w:val="0"/>
                    <w:jc w:val="center"/>
                    <w:rPr>
                      <w:szCs w:val="21"/>
                    </w:rPr>
                  </w:pPr>
                  <w:r>
                    <w:rPr>
                      <w:rFonts w:hint="eastAsia"/>
                      <w:szCs w:val="21"/>
                    </w:rPr>
                    <w:t>厂房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snapToGrid w:val="0"/>
                    <w:jc w:val="center"/>
                    <w:rPr>
                      <w:szCs w:val="21"/>
                    </w:rPr>
                  </w:pPr>
                  <w:r>
                    <w:rPr>
                      <w:rFonts w:hint="eastAsia"/>
                      <w:szCs w:val="21"/>
                    </w:rPr>
                    <w:t>运输车辆</w:t>
                  </w:r>
                </w:p>
              </w:tc>
              <w:tc>
                <w:tcPr>
                  <w:tcW w:w="2328" w:type="dxa"/>
                  <w:vAlign w:val="center"/>
                </w:tcPr>
                <w:p>
                  <w:pPr>
                    <w:snapToGrid w:val="0"/>
                    <w:jc w:val="center"/>
                    <w:rPr>
                      <w:szCs w:val="21"/>
                    </w:rPr>
                  </w:pPr>
                  <w:r>
                    <w:rPr>
                      <w:rFonts w:hint="eastAsia"/>
                      <w:szCs w:val="21"/>
                    </w:rPr>
                    <w:t>80</w:t>
                  </w:r>
                </w:p>
              </w:tc>
              <w:tc>
                <w:tcPr>
                  <w:tcW w:w="1570" w:type="dxa"/>
                  <w:vAlign w:val="center"/>
                </w:tcPr>
                <w:p>
                  <w:pPr>
                    <w:snapToGrid w:val="0"/>
                    <w:jc w:val="center"/>
                    <w:rPr>
                      <w:szCs w:val="21"/>
                    </w:rPr>
                  </w:pPr>
                  <w:r>
                    <w:rPr>
                      <w:rFonts w:hint="eastAsia"/>
                      <w:szCs w:val="21"/>
                    </w:rPr>
                    <w:t>/</w:t>
                  </w:r>
                </w:p>
              </w:tc>
              <w:tc>
                <w:tcPr>
                  <w:tcW w:w="2016" w:type="dxa"/>
                  <w:vAlign w:val="center"/>
                </w:tcPr>
                <w:p>
                  <w:pPr>
                    <w:snapToGrid w:val="0"/>
                    <w:jc w:val="center"/>
                    <w:rPr>
                      <w:szCs w:val="21"/>
                    </w:rPr>
                  </w:pPr>
                  <w:r>
                    <w:rPr>
                      <w:rFonts w:hint="eastAsia"/>
                      <w:szCs w:val="21"/>
                    </w:rPr>
                    <w:t>厂房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jc w:val="center"/>
                    <w:rPr>
                      <w:rFonts w:hint="eastAsia"/>
                      <w:szCs w:val="21"/>
                    </w:rPr>
                  </w:pPr>
                  <w:r>
                    <w:rPr>
                      <w:rFonts w:hint="eastAsia"/>
                      <w:szCs w:val="21"/>
                      <w:lang w:eastAsia="zh-CN"/>
                    </w:rPr>
                    <w:t>压泥机</w:t>
                  </w:r>
                </w:p>
              </w:tc>
              <w:tc>
                <w:tcPr>
                  <w:tcW w:w="2328" w:type="dxa"/>
                  <w:vAlign w:val="center"/>
                </w:tcPr>
                <w:p>
                  <w:pPr>
                    <w:snapToGrid w:val="0"/>
                    <w:jc w:val="center"/>
                    <w:rPr>
                      <w:rFonts w:hint="default" w:eastAsia="宋体"/>
                      <w:szCs w:val="21"/>
                      <w:lang w:val="en-US" w:eastAsia="zh-CN"/>
                    </w:rPr>
                  </w:pPr>
                  <w:r>
                    <w:rPr>
                      <w:rFonts w:hint="eastAsia"/>
                      <w:szCs w:val="21"/>
                      <w:lang w:val="en-US" w:eastAsia="zh-CN"/>
                    </w:rPr>
                    <w:t>75</w:t>
                  </w:r>
                </w:p>
              </w:tc>
              <w:tc>
                <w:tcPr>
                  <w:tcW w:w="1570" w:type="dxa"/>
                  <w:vAlign w:val="center"/>
                </w:tcPr>
                <w:p>
                  <w:pPr>
                    <w:snapToGrid w:val="0"/>
                    <w:jc w:val="center"/>
                    <w:rPr>
                      <w:rFonts w:hint="eastAsia" w:eastAsia="宋体"/>
                      <w:szCs w:val="21"/>
                      <w:lang w:val="en-US" w:eastAsia="zh-CN"/>
                    </w:rPr>
                  </w:pPr>
                  <w:r>
                    <w:rPr>
                      <w:rFonts w:hint="eastAsia"/>
                      <w:szCs w:val="21"/>
                      <w:lang w:val="en-US" w:eastAsia="zh-CN"/>
                    </w:rPr>
                    <w:t>1</w:t>
                  </w:r>
                </w:p>
              </w:tc>
              <w:tc>
                <w:tcPr>
                  <w:tcW w:w="2016" w:type="dxa"/>
                  <w:vAlign w:val="center"/>
                </w:tcPr>
                <w:p>
                  <w:pPr>
                    <w:snapToGrid w:val="0"/>
                    <w:jc w:val="both"/>
                    <w:rPr>
                      <w:rFonts w:hint="default" w:eastAsia="宋体"/>
                      <w:szCs w:val="21"/>
                      <w:lang w:val="en-US" w:eastAsia="zh-CN"/>
                    </w:rPr>
                  </w:pPr>
                  <w:r>
                    <w:rPr>
                      <w:rFonts w:hint="eastAsia"/>
                      <w:szCs w:val="21"/>
                      <w:lang w:val="en-US" w:eastAsia="zh-CN"/>
                    </w:rPr>
                    <w:t xml:space="preserve">       厂房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62" w:type="dxa"/>
                  <w:vAlign w:val="center"/>
                </w:tcPr>
                <w:p>
                  <w:pPr>
                    <w:jc w:val="center"/>
                    <w:rPr>
                      <w:rFonts w:hint="eastAsia"/>
                      <w:szCs w:val="21"/>
                    </w:rPr>
                  </w:pPr>
                  <w:r>
                    <w:rPr>
                      <w:rFonts w:hint="eastAsia"/>
                      <w:szCs w:val="21"/>
                      <w:lang w:eastAsia="zh-CN"/>
                    </w:rPr>
                    <w:t>污水循环塔</w:t>
                  </w:r>
                </w:p>
              </w:tc>
              <w:tc>
                <w:tcPr>
                  <w:tcW w:w="2328" w:type="dxa"/>
                  <w:vAlign w:val="center"/>
                </w:tcPr>
                <w:p>
                  <w:pPr>
                    <w:snapToGrid w:val="0"/>
                    <w:jc w:val="center"/>
                    <w:rPr>
                      <w:rFonts w:hint="default" w:eastAsia="宋体"/>
                      <w:szCs w:val="21"/>
                      <w:lang w:val="en-US" w:eastAsia="zh-CN"/>
                    </w:rPr>
                  </w:pPr>
                  <w:r>
                    <w:rPr>
                      <w:rFonts w:hint="eastAsia"/>
                      <w:szCs w:val="21"/>
                      <w:lang w:val="en-US" w:eastAsia="zh-CN"/>
                    </w:rPr>
                    <w:t>70</w:t>
                  </w:r>
                </w:p>
              </w:tc>
              <w:tc>
                <w:tcPr>
                  <w:tcW w:w="1570" w:type="dxa"/>
                  <w:vAlign w:val="center"/>
                </w:tcPr>
                <w:p>
                  <w:pPr>
                    <w:snapToGrid w:val="0"/>
                    <w:jc w:val="center"/>
                    <w:rPr>
                      <w:rFonts w:hint="eastAsia" w:eastAsia="宋体"/>
                      <w:szCs w:val="21"/>
                      <w:lang w:val="en-US" w:eastAsia="zh-CN"/>
                    </w:rPr>
                  </w:pPr>
                  <w:r>
                    <w:rPr>
                      <w:rFonts w:hint="eastAsia"/>
                      <w:szCs w:val="21"/>
                      <w:lang w:val="en-US" w:eastAsia="zh-CN"/>
                    </w:rPr>
                    <w:t>2</w:t>
                  </w:r>
                </w:p>
              </w:tc>
              <w:tc>
                <w:tcPr>
                  <w:tcW w:w="2016" w:type="dxa"/>
                  <w:vAlign w:val="center"/>
                </w:tcPr>
                <w:p>
                  <w:pPr>
                    <w:snapToGrid w:val="0"/>
                    <w:jc w:val="center"/>
                    <w:rPr>
                      <w:rFonts w:hint="eastAsia" w:eastAsia="宋体"/>
                      <w:szCs w:val="21"/>
                      <w:lang w:eastAsia="zh-CN"/>
                    </w:rPr>
                  </w:pPr>
                  <w:r>
                    <w:rPr>
                      <w:rFonts w:hint="eastAsia"/>
                      <w:szCs w:val="21"/>
                      <w:lang w:eastAsia="zh-CN"/>
                    </w:rPr>
                    <w:t>厂房</w:t>
                  </w:r>
                </w:p>
              </w:tc>
            </w:tr>
            <w:bookmarkEnd w:id="21"/>
          </w:tbl>
          <w:p>
            <w:pPr>
              <w:widowControl/>
              <w:spacing w:line="360" w:lineRule="auto"/>
              <w:ind w:firstLine="482" w:firstLineChars="200"/>
              <w:jc w:val="left"/>
              <w:rPr>
                <w:b/>
                <w:bCs/>
                <w:sz w:val="24"/>
              </w:rPr>
            </w:pPr>
            <w:r>
              <w:rPr>
                <w:rFonts w:hint="eastAsia"/>
                <w:b/>
                <w:bCs/>
                <w:sz w:val="24"/>
              </w:rPr>
              <w:t>4.固体废物污染</w:t>
            </w:r>
          </w:p>
          <w:p>
            <w:pPr>
              <w:spacing w:line="360" w:lineRule="auto"/>
              <w:ind w:firstLine="540" w:firstLineChars="225"/>
              <w:rPr>
                <w:sz w:val="24"/>
              </w:rPr>
            </w:pPr>
            <w:r>
              <w:rPr>
                <w:rFonts w:hint="eastAsia"/>
                <w:sz w:val="24"/>
              </w:rPr>
              <w:t>项目的产生的固体废物主要有洗砂工序泥沙、破碎粉尘、员工的生活垃圾以及维修过程产生的废机油抹布。</w:t>
            </w:r>
          </w:p>
          <w:p>
            <w:pPr>
              <w:numPr>
                <w:ilvl w:val="0"/>
                <w:numId w:val="2"/>
              </w:numPr>
              <w:spacing w:line="360" w:lineRule="auto"/>
              <w:ind w:firstLine="540" w:firstLineChars="225"/>
              <w:rPr>
                <w:sz w:val="24"/>
              </w:rPr>
            </w:pPr>
            <w:r>
              <w:rPr>
                <w:rFonts w:hint="eastAsia"/>
                <w:sz w:val="24"/>
              </w:rPr>
              <w:t>沉淀池泥沙</w:t>
            </w:r>
          </w:p>
          <w:p>
            <w:pPr>
              <w:spacing w:line="360" w:lineRule="auto"/>
              <w:ind w:firstLine="720" w:firstLineChars="300"/>
              <w:rPr>
                <w:color w:val="auto"/>
                <w:sz w:val="24"/>
                <w:szCs w:val="22"/>
                <w:u w:val="single"/>
              </w:rPr>
            </w:pPr>
            <w:r>
              <w:rPr>
                <w:rFonts w:hint="eastAsia"/>
                <w:color w:val="auto"/>
                <w:sz w:val="24"/>
                <w:szCs w:val="22"/>
                <w:u w:val="single"/>
              </w:rPr>
              <w:t>①洗砂工序</w:t>
            </w:r>
          </w:p>
          <w:p>
            <w:pPr>
              <w:spacing w:line="360" w:lineRule="auto"/>
              <w:ind w:firstLine="480" w:firstLineChars="200"/>
              <w:rPr>
                <w:color w:val="auto"/>
                <w:sz w:val="24"/>
                <w:u w:val="single"/>
              </w:rPr>
            </w:pPr>
            <w:r>
              <w:rPr>
                <w:rFonts w:hint="eastAsia"/>
                <w:color w:val="auto"/>
                <w:sz w:val="24"/>
                <w:szCs w:val="22"/>
                <w:u w:val="single"/>
              </w:rPr>
              <w:t>原料含泥率约</w:t>
            </w:r>
            <w:r>
              <w:rPr>
                <w:rFonts w:hint="eastAsia"/>
                <w:color w:val="auto"/>
                <w:sz w:val="24"/>
                <w:u w:val="single"/>
                <w:lang w:val="en-US" w:eastAsia="zh-CN"/>
              </w:rPr>
              <w:t>2.0</w:t>
            </w:r>
            <w:r>
              <w:rPr>
                <w:rFonts w:hint="eastAsia"/>
                <w:color w:val="auto"/>
                <w:sz w:val="24"/>
                <w:u w:val="single"/>
              </w:rPr>
              <w:t>%，在洗沙工序产生的沉淀池泥沙，根据计算污泥产生量为</w:t>
            </w:r>
            <w:r>
              <w:rPr>
                <w:rFonts w:hint="eastAsia"/>
                <w:color w:val="auto"/>
                <w:sz w:val="24"/>
                <w:u w:val="single"/>
                <w:lang w:val="en-US" w:eastAsia="zh-CN"/>
              </w:rPr>
              <w:t>21000</w:t>
            </w:r>
            <w:r>
              <w:rPr>
                <w:rFonts w:hint="eastAsia"/>
                <w:color w:val="auto"/>
                <w:sz w:val="24"/>
                <w:u w:val="single"/>
              </w:rPr>
              <w:t>t/a（</w:t>
            </w:r>
            <w:r>
              <w:rPr>
                <w:rFonts w:hint="eastAsia"/>
                <w:color w:val="auto"/>
                <w:sz w:val="24"/>
                <w:u w:val="single"/>
                <w:lang w:val="en-US" w:eastAsia="zh-CN"/>
              </w:rPr>
              <w:t>70</w:t>
            </w:r>
            <w:r>
              <w:rPr>
                <w:rFonts w:hint="eastAsia"/>
                <w:color w:val="auto"/>
                <w:sz w:val="24"/>
                <w:u w:val="single"/>
              </w:rPr>
              <w:t>t/d）（含水率</w:t>
            </w:r>
            <w:r>
              <w:rPr>
                <w:rFonts w:hint="eastAsia"/>
                <w:color w:val="auto"/>
                <w:sz w:val="24"/>
                <w:u w:val="single"/>
                <w:lang w:val="en-US" w:eastAsia="zh-CN"/>
              </w:rPr>
              <w:t>42.8</w:t>
            </w:r>
            <w:r>
              <w:rPr>
                <w:rFonts w:hint="eastAsia"/>
                <w:color w:val="auto"/>
                <w:sz w:val="24"/>
                <w:u w:val="single"/>
              </w:rPr>
              <w:t>%</w:t>
            </w:r>
            <w:r>
              <w:rPr>
                <w:rFonts w:hint="eastAsia"/>
                <w:color w:val="auto"/>
                <w:sz w:val="24"/>
                <w:u w:val="single"/>
                <w:lang w:eastAsia="zh-CN"/>
              </w:rPr>
              <w:t>，</w:t>
            </w:r>
            <w:r>
              <w:rPr>
                <w:rFonts w:hint="eastAsia"/>
                <w:color w:val="auto"/>
                <w:sz w:val="24"/>
                <w:u w:val="single"/>
              </w:rPr>
              <w:t>污泥带走水分为9000t/a），厂内设污泥堆场，堆场四</w:t>
            </w:r>
            <w:r>
              <w:rPr>
                <w:rFonts w:hint="eastAsia"/>
                <w:color w:val="auto"/>
                <w:sz w:val="24"/>
                <w:szCs w:val="22"/>
                <w:u w:val="single"/>
              </w:rPr>
              <w:t>周设导流水沟，</w:t>
            </w:r>
            <w:r>
              <w:rPr>
                <w:rFonts w:hint="eastAsia"/>
                <w:color w:val="auto"/>
                <w:sz w:val="24"/>
                <w:u w:val="single"/>
              </w:rPr>
              <w:t>泥水排入沉淀池处理后回用，污泥暂存后外售建材厂综合利用。项目不设弃渣场。污泥定期人工清掏，</w:t>
            </w:r>
            <w:r>
              <w:rPr>
                <w:rFonts w:hint="eastAsia"/>
                <w:color w:val="auto"/>
                <w:sz w:val="24"/>
                <w:u w:val="single"/>
                <w:lang w:eastAsia="zh-CN"/>
              </w:rPr>
              <w:t>压泥机脱水后</w:t>
            </w:r>
            <w:r>
              <w:rPr>
                <w:rFonts w:hint="eastAsia"/>
                <w:color w:val="auto"/>
                <w:sz w:val="24"/>
                <w:u w:val="single"/>
              </w:rPr>
              <w:t>及时外运，避免在厂内大量堆存。</w:t>
            </w:r>
          </w:p>
          <w:p>
            <w:pPr>
              <w:pStyle w:val="2"/>
              <w:ind w:firstLine="480" w:firstLineChars="200"/>
              <w:rPr>
                <w:color w:val="auto"/>
                <w:szCs w:val="20"/>
              </w:rPr>
            </w:pPr>
            <w:r>
              <w:rPr>
                <w:rFonts w:hint="eastAsia"/>
                <w:color w:val="auto"/>
                <w:sz w:val="24"/>
                <w:szCs w:val="20"/>
              </w:rPr>
              <w:t>②湿法除尘产生污泥</w:t>
            </w:r>
          </w:p>
          <w:p>
            <w:pPr>
              <w:spacing w:line="360" w:lineRule="auto"/>
              <w:ind w:firstLine="480" w:firstLineChars="200"/>
              <w:rPr>
                <w:sz w:val="24"/>
              </w:rPr>
            </w:pPr>
            <w:r>
              <w:rPr>
                <w:rFonts w:hint="eastAsia"/>
                <w:sz w:val="24"/>
              </w:rPr>
              <w:t>根据计算经洒水抑尘沉降的粉尘为2.32t/a，根据建设方提供资料，沉降粉尘中约40%附在产品中外售，约60%随除尘水进入沉淀池，沉淀泥沙为1.4t/a。暂存后外售建材厂综合利用。项目不设弃渣场。污泥定期人工清掏，及时外运，避免在厂内大量堆存。</w:t>
            </w:r>
          </w:p>
          <w:p>
            <w:pPr>
              <w:spacing w:line="360" w:lineRule="auto"/>
              <w:ind w:firstLine="540" w:firstLineChars="225"/>
              <w:rPr>
                <w:sz w:val="24"/>
              </w:rPr>
            </w:pPr>
            <w:r>
              <w:rPr>
                <w:rFonts w:hint="eastAsia"/>
                <w:sz w:val="24"/>
              </w:rPr>
              <w:t>（2）生活垃圾</w:t>
            </w:r>
          </w:p>
          <w:p>
            <w:pPr>
              <w:spacing w:line="360" w:lineRule="auto"/>
              <w:ind w:firstLine="540" w:firstLineChars="225"/>
              <w:rPr>
                <w:sz w:val="24"/>
              </w:rPr>
            </w:pPr>
            <w:r>
              <w:rPr>
                <w:rFonts w:hint="eastAsia"/>
                <w:sz w:val="24"/>
              </w:rPr>
              <w:t>员工人数为10人，员工生活垃圾产生量按每人0.5kg/d.人计算，则产生量约为1.5t/a。</w:t>
            </w:r>
          </w:p>
          <w:p>
            <w:pPr>
              <w:pStyle w:val="147"/>
              <w:ind w:firstLine="480"/>
            </w:pPr>
            <w:r>
              <w:rPr>
                <w:rFonts w:hint="eastAsia" w:hAnsi="宋体"/>
              </w:rPr>
              <w:t>（3）含油废抹布</w:t>
            </w:r>
          </w:p>
          <w:p>
            <w:pPr>
              <w:spacing w:line="360" w:lineRule="auto"/>
              <w:ind w:firstLine="480" w:firstLineChars="200"/>
              <w:rPr>
                <w:sz w:val="24"/>
                <w:u w:val="single"/>
              </w:rPr>
            </w:pPr>
            <w:r>
              <w:rPr>
                <w:rFonts w:hint="eastAsia"/>
                <w:sz w:val="24"/>
              </w:rPr>
              <w:t>根据建设单位提供的资料，本项目设备维修过程产生的废机油抹布</w:t>
            </w:r>
            <w:r>
              <w:rPr>
                <w:sz w:val="24"/>
              </w:rPr>
              <w:t>约为</w:t>
            </w:r>
            <w:r>
              <w:rPr>
                <w:rFonts w:hint="eastAsia"/>
                <w:sz w:val="24"/>
              </w:rPr>
              <w:t>0.005t</w:t>
            </w:r>
            <w:r>
              <w:rPr>
                <w:sz w:val="24"/>
              </w:rPr>
              <w:t>/a</w:t>
            </w:r>
            <w:r>
              <w:rPr>
                <w:rFonts w:hint="eastAsia"/>
                <w:sz w:val="24"/>
              </w:rPr>
              <w:t>，</w:t>
            </w:r>
            <w:r>
              <w:rPr>
                <w:sz w:val="24"/>
              </w:rPr>
              <w:t>属于HW0</w:t>
            </w:r>
            <w:r>
              <w:rPr>
                <w:rFonts w:hint="eastAsia"/>
                <w:sz w:val="24"/>
              </w:rPr>
              <w:t>8</w:t>
            </w:r>
            <w:r>
              <w:rPr>
                <w:sz w:val="24"/>
              </w:rPr>
              <w:t>危险废物。</w:t>
            </w:r>
          </w:p>
          <w:p>
            <w:pPr>
              <w:spacing w:line="360" w:lineRule="auto"/>
              <w:ind w:firstLine="540" w:firstLineChars="225"/>
              <w:rPr>
                <w:sz w:val="24"/>
              </w:rPr>
            </w:pPr>
            <w:r>
              <w:rPr>
                <w:rFonts w:hint="eastAsia"/>
                <w:sz w:val="24"/>
              </w:rPr>
              <w:t>各固废产生量详见表5-</w:t>
            </w:r>
            <w:r>
              <w:rPr>
                <w:rFonts w:hint="eastAsia"/>
                <w:sz w:val="24"/>
                <w:lang w:val="en-US" w:eastAsia="zh-CN"/>
              </w:rPr>
              <w:t>5</w:t>
            </w:r>
            <w:r>
              <w:rPr>
                <w:rFonts w:hint="eastAsia"/>
                <w:sz w:val="24"/>
              </w:rPr>
              <w:t>：</w:t>
            </w:r>
          </w:p>
          <w:p>
            <w:pPr>
              <w:spacing w:line="360" w:lineRule="auto"/>
              <w:jc w:val="center"/>
              <w:rPr>
                <w:b/>
                <w:szCs w:val="21"/>
              </w:rPr>
            </w:pPr>
            <w:r>
              <w:rPr>
                <w:b/>
                <w:szCs w:val="21"/>
              </w:rPr>
              <w:t>表</w:t>
            </w:r>
            <w:r>
              <w:rPr>
                <w:rFonts w:hint="eastAsia"/>
                <w:b/>
                <w:szCs w:val="21"/>
              </w:rPr>
              <w:t>5-</w:t>
            </w:r>
            <w:r>
              <w:rPr>
                <w:rFonts w:hint="eastAsia"/>
                <w:b/>
                <w:szCs w:val="21"/>
                <w:lang w:val="en-US" w:eastAsia="zh-CN"/>
              </w:rPr>
              <w:t>5</w:t>
            </w:r>
            <w:r>
              <w:rPr>
                <w:b/>
                <w:szCs w:val="21"/>
              </w:rPr>
              <w:t>项目</w:t>
            </w:r>
            <w:r>
              <w:rPr>
                <w:rFonts w:hint="eastAsia"/>
                <w:b/>
                <w:szCs w:val="21"/>
              </w:rPr>
              <w:t>固废产生情况一览表</w:t>
            </w:r>
          </w:p>
          <w:tbl>
            <w:tblPr>
              <w:tblStyle w:val="28"/>
              <w:tblW w:w="82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318"/>
              <w:gridCol w:w="1554"/>
              <w:gridCol w:w="1211"/>
              <w:gridCol w:w="2182"/>
              <w:gridCol w:w="13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50" w:type="dxa"/>
                  <w:vAlign w:val="center"/>
                </w:tcPr>
                <w:p>
                  <w:pPr>
                    <w:jc w:val="center"/>
                    <w:rPr>
                      <w:szCs w:val="21"/>
                    </w:rPr>
                  </w:pPr>
                  <w:r>
                    <w:rPr>
                      <w:szCs w:val="21"/>
                    </w:rPr>
                    <w:t>序号</w:t>
                  </w:r>
                </w:p>
              </w:tc>
              <w:tc>
                <w:tcPr>
                  <w:tcW w:w="2872" w:type="dxa"/>
                  <w:gridSpan w:val="2"/>
                  <w:vAlign w:val="center"/>
                </w:tcPr>
                <w:p>
                  <w:pPr>
                    <w:jc w:val="center"/>
                    <w:rPr>
                      <w:szCs w:val="21"/>
                    </w:rPr>
                  </w:pPr>
                  <w:r>
                    <w:rPr>
                      <w:rFonts w:hint="eastAsia"/>
                      <w:szCs w:val="21"/>
                    </w:rPr>
                    <w:t>固废类别</w:t>
                  </w:r>
                </w:p>
              </w:tc>
              <w:tc>
                <w:tcPr>
                  <w:tcW w:w="1211" w:type="dxa"/>
                  <w:vAlign w:val="center"/>
                </w:tcPr>
                <w:p>
                  <w:pPr>
                    <w:jc w:val="center"/>
                    <w:rPr>
                      <w:szCs w:val="21"/>
                    </w:rPr>
                  </w:pPr>
                  <w:r>
                    <w:rPr>
                      <w:rFonts w:hint="eastAsia"/>
                      <w:szCs w:val="21"/>
                    </w:rPr>
                    <w:t>规模</w:t>
                  </w:r>
                </w:p>
              </w:tc>
              <w:tc>
                <w:tcPr>
                  <w:tcW w:w="2182" w:type="dxa"/>
                  <w:vAlign w:val="center"/>
                </w:tcPr>
                <w:p>
                  <w:pPr>
                    <w:jc w:val="center"/>
                    <w:rPr>
                      <w:szCs w:val="21"/>
                    </w:rPr>
                  </w:pPr>
                  <w:r>
                    <w:rPr>
                      <w:rFonts w:hint="eastAsia"/>
                      <w:szCs w:val="21"/>
                    </w:rPr>
                    <w:t>计算系数</w:t>
                  </w:r>
                </w:p>
              </w:tc>
              <w:tc>
                <w:tcPr>
                  <w:tcW w:w="1325" w:type="dxa"/>
                  <w:vAlign w:val="center"/>
                </w:tcPr>
                <w:p>
                  <w:pPr>
                    <w:jc w:val="center"/>
                    <w:rPr>
                      <w:szCs w:val="21"/>
                    </w:rPr>
                  </w:pPr>
                  <w:r>
                    <w:rPr>
                      <w:rFonts w:hint="eastAsia"/>
                      <w:szCs w:val="21"/>
                    </w:rPr>
                    <w:t>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0" w:type="dxa"/>
                  <w:vMerge w:val="restart"/>
                  <w:vAlign w:val="center"/>
                </w:tcPr>
                <w:p>
                  <w:pPr>
                    <w:jc w:val="center"/>
                    <w:rPr>
                      <w:szCs w:val="21"/>
                    </w:rPr>
                  </w:pPr>
                  <w:r>
                    <w:rPr>
                      <w:szCs w:val="21"/>
                    </w:rPr>
                    <w:t>1</w:t>
                  </w:r>
                </w:p>
              </w:tc>
              <w:tc>
                <w:tcPr>
                  <w:tcW w:w="1318" w:type="dxa"/>
                  <w:vMerge w:val="restart"/>
                  <w:vAlign w:val="center"/>
                </w:tcPr>
                <w:p>
                  <w:pPr>
                    <w:jc w:val="center"/>
                    <w:rPr>
                      <w:szCs w:val="21"/>
                    </w:rPr>
                  </w:pPr>
                  <w:r>
                    <w:rPr>
                      <w:rFonts w:hint="eastAsia"/>
                      <w:szCs w:val="21"/>
                    </w:rPr>
                    <w:t>沉淀池泥沙</w:t>
                  </w:r>
                </w:p>
              </w:tc>
              <w:tc>
                <w:tcPr>
                  <w:tcW w:w="1554" w:type="dxa"/>
                  <w:vAlign w:val="center"/>
                </w:tcPr>
                <w:p>
                  <w:pPr>
                    <w:jc w:val="center"/>
                    <w:rPr>
                      <w:szCs w:val="21"/>
                    </w:rPr>
                  </w:pPr>
                  <w:r>
                    <w:rPr>
                      <w:rFonts w:hint="eastAsia"/>
                      <w:szCs w:val="21"/>
                    </w:rPr>
                    <w:t>洗砂泥沙</w:t>
                  </w:r>
                </w:p>
              </w:tc>
              <w:tc>
                <w:tcPr>
                  <w:tcW w:w="1211" w:type="dxa"/>
                  <w:vAlign w:val="center"/>
                </w:tcPr>
                <w:p>
                  <w:pPr>
                    <w:jc w:val="center"/>
                    <w:rPr>
                      <w:color w:val="auto"/>
                      <w:szCs w:val="21"/>
                    </w:rPr>
                  </w:pPr>
                  <w:r>
                    <w:rPr>
                      <w:rFonts w:hint="eastAsia"/>
                      <w:color w:val="auto"/>
                      <w:szCs w:val="21"/>
                    </w:rPr>
                    <w:t>/</w:t>
                  </w:r>
                </w:p>
              </w:tc>
              <w:tc>
                <w:tcPr>
                  <w:tcW w:w="2182" w:type="dxa"/>
                  <w:vAlign w:val="center"/>
                </w:tcPr>
                <w:p>
                  <w:pPr>
                    <w:jc w:val="center"/>
                    <w:rPr>
                      <w:color w:val="auto"/>
                      <w:szCs w:val="21"/>
                    </w:rPr>
                  </w:pPr>
                  <w:r>
                    <w:rPr>
                      <w:rFonts w:hint="eastAsia"/>
                      <w:color w:val="auto"/>
                      <w:szCs w:val="21"/>
                    </w:rPr>
                    <w:t>原料含泥率为</w:t>
                  </w:r>
                  <w:r>
                    <w:rPr>
                      <w:rFonts w:hint="eastAsia"/>
                      <w:color w:val="auto"/>
                      <w:szCs w:val="21"/>
                      <w:lang w:val="en-US" w:eastAsia="zh-CN"/>
                    </w:rPr>
                    <w:t>2</w:t>
                  </w:r>
                  <w:r>
                    <w:rPr>
                      <w:rFonts w:hint="eastAsia"/>
                      <w:color w:val="auto"/>
                      <w:szCs w:val="21"/>
                    </w:rPr>
                    <w:t>%</w:t>
                  </w:r>
                </w:p>
              </w:tc>
              <w:tc>
                <w:tcPr>
                  <w:tcW w:w="1325" w:type="dxa"/>
                  <w:vAlign w:val="center"/>
                </w:tcPr>
                <w:p>
                  <w:pPr>
                    <w:jc w:val="center"/>
                    <w:rPr>
                      <w:color w:val="auto"/>
                      <w:szCs w:val="21"/>
                    </w:rPr>
                  </w:pPr>
                  <w:r>
                    <w:rPr>
                      <w:rFonts w:hint="eastAsia"/>
                      <w:color w:val="auto"/>
                      <w:szCs w:val="21"/>
                      <w:lang w:val="en-US" w:eastAsia="zh-CN"/>
                    </w:rPr>
                    <w:t>21000</w:t>
                  </w:r>
                  <w:r>
                    <w:rPr>
                      <w:rFonts w:hint="eastAsia"/>
                      <w:color w:val="auto"/>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0" w:type="dxa"/>
                  <w:vMerge w:val="continue"/>
                  <w:vAlign w:val="center"/>
                </w:tcPr>
                <w:p>
                  <w:pPr>
                    <w:jc w:val="center"/>
                    <w:rPr>
                      <w:szCs w:val="21"/>
                    </w:rPr>
                  </w:pPr>
                </w:p>
              </w:tc>
              <w:tc>
                <w:tcPr>
                  <w:tcW w:w="1318" w:type="dxa"/>
                  <w:vMerge w:val="continue"/>
                  <w:vAlign w:val="center"/>
                </w:tcPr>
                <w:p>
                  <w:pPr>
                    <w:jc w:val="center"/>
                    <w:rPr>
                      <w:szCs w:val="21"/>
                    </w:rPr>
                  </w:pPr>
                </w:p>
              </w:tc>
              <w:tc>
                <w:tcPr>
                  <w:tcW w:w="1554" w:type="dxa"/>
                  <w:vAlign w:val="center"/>
                </w:tcPr>
                <w:p>
                  <w:pPr>
                    <w:jc w:val="center"/>
                    <w:rPr>
                      <w:szCs w:val="21"/>
                    </w:rPr>
                  </w:pPr>
                  <w:r>
                    <w:rPr>
                      <w:rFonts w:hint="eastAsia"/>
                      <w:szCs w:val="21"/>
                    </w:rPr>
                    <w:t>破碎筛分粉尘</w:t>
                  </w:r>
                </w:p>
              </w:tc>
              <w:tc>
                <w:tcPr>
                  <w:tcW w:w="1211" w:type="dxa"/>
                  <w:vAlign w:val="center"/>
                </w:tcPr>
                <w:p>
                  <w:pPr>
                    <w:jc w:val="center"/>
                    <w:rPr>
                      <w:szCs w:val="21"/>
                    </w:rPr>
                  </w:pPr>
                </w:p>
              </w:tc>
              <w:tc>
                <w:tcPr>
                  <w:tcW w:w="2182" w:type="dxa"/>
                  <w:vAlign w:val="center"/>
                </w:tcPr>
                <w:p>
                  <w:pPr>
                    <w:jc w:val="center"/>
                    <w:rPr>
                      <w:szCs w:val="21"/>
                    </w:rPr>
                  </w:pPr>
                  <w:r>
                    <w:rPr>
                      <w:rFonts w:hint="eastAsia"/>
                      <w:szCs w:val="21"/>
                    </w:rPr>
                    <w:t>/</w:t>
                  </w:r>
                </w:p>
              </w:tc>
              <w:tc>
                <w:tcPr>
                  <w:tcW w:w="1325" w:type="dxa"/>
                  <w:vAlign w:val="center"/>
                </w:tcPr>
                <w:p>
                  <w:pPr>
                    <w:jc w:val="center"/>
                    <w:rPr>
                      <w:szCs w:val="21"/>
                    </w:rPr>
                  </w:pPr>
                  <w:r>
                    <w:rPr>
                      <w:rFonts w:hint="eastAsia"/>
                      <w:szCs w:val="21"/>
                    </w:rPr>
                    <w:t>1.4t/a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0" w:type="dxa"/>
                  <w:vAlign w:val="center"/>
                </w:tcPr>
                <w:p>
                  <w:pPr>
                    <w:jc w:val="center"/>
                    <w:rPr>
                      <w:szCs w:val="21"/>
                    </w:rPr>
                  </w:pPr>
                  <w:r>
                    <w:rPr>
                      <w:szCs w:val="21"/>
                    </w:rPr>
                    <w:t>2</w:t>
                  </w:r>
                </w:p>
              </w:tc>
              <w:tc>
                <w:tcPr>
                  <w:tcW w:w="2872" w:type="dxa"/>
                  <w:gridSpan w:val="2"/>
                  <w:vAlign w:val="center"/>
                </w:tcPr>
                <w:p>
                  <w:pPr>
                    <w:jc w:val="center"/>
                    <w:rPr>
                      <w:szCs w:val="21"/>
                    </w:rPr>
                  </w:pPr>
                  <w:r>
                    <w:rPr>
                      <w:rFonts w:hint="eastAsia"/>
                      <w:szCs w:val="21"/>
                    </w:rPr>
                    <w:t>生活垃圾</w:t>
                  </w:r>
                </w:p>
              </w:tc>
              <w:tc>
                <w:tcPr>
                  <w:tcW w:w="1211" w:type="dxa"/>
                  <w:vAlign w:val="center"/>
                </w:tcPr>
                <w:p>
                  <w:pPr>
                    <w:jc w:val="center"/>
                    <w:rPr>
                      <w:szCs w:val="21"/>
                    </w:rPr>
                  </w:pPr>
                  <w:r>
                    <w:rPr>
                      <w:rFonts w:hint="eastAsia"/>
                      <w:szCs w:val="21"/>
                    </w:rPr>
                    <w:t>80人</w:t>
                  </w:r>
                </w:p>
              </w:tc>
              <w:tc>
                <w:tcPr>
                  <w:tcW w:w="2182" w:type="dxa"/>
                  <w:vAlign w:val="center"/>
                </w:tcPr>
                <w:p>
                  <w:pPr>
                    <w:jc w:val="center"/>
                    <w:rPr>
                      <w:szCs w:val="21"/>
                    </w:rPr>
                  </w:pPr>
                  <w:r>
                    <w:rPr>
                      <w:rFonts w:hint="eastAsia"/>
                      <w:szCs w:val="21"/>
                    </w:rPr>
                    <w:t>0.5kg/d.人</w:t>
                  </w:r>
                </w:p>
              </w:tc>
              <w:tc>
                <w:tcPr>
                  <w:tcW w:w="1325" w:type="dxa"/>
                  <w:vAlign w:val="center"/>
                </w:tcPr>
                <w:p>
                  <w:pPr>
                    <w:jc w:val="center"/>
                    <w:rPr>
                      <w:szCs w:val="21"/>
                    </w:rPr>
                  </w:pPr>
                  <w:r>
                    <w:rPr>
                      <w:rFonts w:hint="eastAsia"/>
                      <w:szCs w:val="21"/>
                    </w:rPr>
                    <w:t>1.5t/a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0" w:type="dxa"/>
                  <w:vAlign w:val="center"/>
                </w:tcPr>
                <w:p>
                  <w:pPr>
                    <w:jc w:val="center"/>
                    <w:rPr>
                      <w:szCs w:val="21"/>
                    </w:rPr>
                  </w:pPr>
                  <w:r>
                    <w:rPr>
                      <w:rFonts w:hint="eastAsia"/>
                      <w:szCs w:val="21"/>
                    </w:rPr>
                    <w:t>3</w:t>
                  </w:r>
                </w:p>
              </w:tc>
              <w:tc>
                <w:tcPr>
                  <w:tcW w:w="2872" w:type="dxa"/>
                  <w:gridSpan w:val="2"/>
                  <w:vAlign w:val="center"/>
                </w:tcPr>
                <w:p>
                  <w:pPr>
                    <w:jc w:val="center"/>
                    <w:rPr>
                      <w:szCs w:val="21"/>
                    </w:rPr>
                  </w:pPr>
                  <w:r>
                    <w:rPr>
                      <w:rFonts w:hint="eastAsia"/>
                      <w:szCs w:val="21"/>
                    </w:rPr>
                    <w:t>废抹布（维修）</w:t>
                  </w:r>
                </w:p>
              </w:tc>
              <w:tc>
                <w:tcPr>
                  <w:tcW w:w="1211" w:type="dxa"/>
                  <w:vAlign w:val="center"/>
                </w:tcPr>
                <w:p>
                  <w:pPr>
                    <w:jc w:val="center"/>
                    <w:rPr>
                      <w:szCs w:val="21"/>
                    </w:rPr>
                  </w:pPr>
                  <w:r>
                    <w:rPr>
                      <w:rFonts w:hint="eastAsia"/>
                      <w:szCs w:val="21"/>
                    </w:rPr>
                    <w:t>/</w:t>
                  </w:r>
                </w:p>
              </w:tc>
              <w:tc>
                <w:tcPr>
                  <w:tcW w:w="2182" w:type="dxa"/>
                  <w:vAlign w:val="center"/>
                </w:tcPr>
                <w:p>
                  <w:pPr>
                    <w:jc w:val="center"/>
                    <w:rPr>
                      <w:szCs w:val="21"/>
                    </w:rPr>
                  </w:pPr>
                  <w:r>
                    <w:rPr>
                      <w:rFonts w:hint="eastAsia"/>
                      <w:szCs w:val="21"/>
                    </w:rPr>
                    <w:t>/</w:t>
                  </w:r>
                </w:p>
              </w:tc>
              <w:tc>
                <w:tcPr>
                  <w:tcW w:w="1325" w:type="dxa"/>
                  <w:vAlign w:val="center"/>
                </w:tcPr>
                <w:p>
                  <w:pPr>
                    <w:jc w:val="center"/>
                    <w:rPr>
                      <w:szCs w:val="21"/>
                    </w:rPr>
                  </w:pPr>
                  <w:r>
                    <w:rPr>
                      <w:rFonts w:hint="eastAsia"/>
                      <w:szCs w:val="21"/>
                    </w:rPr>
                    <w:t>0.005t/a</w:t>
                  </w:r>
                </w:p>
              </w:tc>
            </w:tr>
          </w:tbl>
          <w:p>
            <w:pPr>
              <w:spacing w:line="360" w:lineRule="auto"/>
              <w:ind w:firstLine="540" w:firstLineChars="225"/>
              <w:rPr>
                <w:color w:val="FF0000"/>
                <w:sz w:val="24"/>
              </w:rPr>
            </w:pPr>
          </w:p>
        </w:tc>
      </w:tr>
    </w:tbl>
    <w:p>
      <w:pPr>
        <w:rPr>
          <w:rFonts w:eastAsia="黑体"/>
          <w:sz w:val="28"/>
          <w:szCs w:val="28"/>
        </w:rPr>
      </w:pPr>
      <w:r>
        <w:rPr>
          <w:rFonts w:eastAsia="黑体"/>
          <w:color w:val="FF0000"/>
          <w:sz w:val="32"/>
        </w:rPr>
        <w:br w:type="page"/>
      </w:r>
      <w:r>
        <w:rPr>
          <w:rFonts w:hint="eastAsia" w:ascii="宋体" w:hAnsi="宋体" w:cs="宋体"/>
          <w:b/>
          <w:bCs/>
          <w:sz w:val="28"/>
          <w:szCs w:val="28"/>
        </w:rPr>
        <w:t>表六、项目主要污染物产生及预计排放情况</w:t>
      </w:r>
    </w:p>
    <w:tbl>
      <w:tblPr>
        <w:tblStyle w:val="28"/>
        <w:tblW w:w="850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7"/>
        <w:gridCol w:w="934"/>
        <w:gridCol w:w="1084"/>
        <w:gridCol w:w="1506"/>
        <w:gridCol w:w="2537"/>
        <w:gridCol w:w="19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381" w:type="dxa"/>
            <w:gridSpan w:val="2"/>
            <w:vAlign w:val="center"/>
          </w:tcPr>
          <w:p>
            <w:pPr>
              <w:jc w:val="center"/>
              <w:rPr>
                <w:szCs w:val="21"/>
              </w:rPr>
            </w:pPr>
            <w:r>
              <w:rPr>
                <w:szCs w:val="21"/>
              </w:rPr>
              <w:t>内容</w:t>
            </w:r>
          </w:p>
          <w:p>
            <w:pPr>
              <w:jc w:val="center"/>
              <w:rPr>
                <w:szCs w:val="21"/>
              </w:rPr>
            </w:pPr>
            <w:r>
              <w:rPr>
                <w:szCs w:val="21"/>
              </w:rPr>
              <w:t>类型</w:t>
            </w:r>
          </w:p>
        </w:tc>
        <w:tc>
          <w:tcPr>
            <w:tcW w:w="1084" w:type="dxa"/>
            <w:vAlign w:val="center"/>
          </w:tcPr>
          <w:p>
            <w:pPr>
              <w:jc w:val="center"/>
              <w:rPr>
                <w:szCs w:val="21"/>
              </w:rPr>
            </w:pPr>
            <w:r>
              <w:rPr>
                <w:szCs w:val="21"/>
              </w:rPr>
              <w:t>排放源 (编号)</w:t>
            </w:r>
          </w:p>
        </w:tc>
        <w:tc>
          <w:tcPr>
            <w:tcW w:w="1506" w:type="dxa"/>
            <w:vAlign w:val="center"/>
          </w:tcPr>
          <w:p>
            <w:pPr>
              <w:jc w:val="center"/>
              <w:rPr>
                <w:szCs w:val="21"/>
              </w:rPr>
            </w:pPr>
            <w:r>
              <w:rPr>
                <w:szCs w:val="21"/>
              </w:rPr>
              <w:t>污染物名称</w:t>
            </w:r>
          </w:p>
        </w:tc>
        <w:tc>
          <w:tcPr>
            <w:tcW w:w="2537" w:type="dxa"/>
            <w:vAlign w:val="center"/>
          </w:tcPr>
          <w:p>
            <w:pPr>
              <w:pStyle w:val="13"/>
              <w:spacing w:after="0"/>
              <w:jc w:val="center"/>
              <w:rPr>
                <w:sz w:val="21"/>
                <w:szCs w:val="21"/>
              </w:rPr>
            </w:pPr>
            <w:r>
              <w:rPr>
                <w:sz w:val="21"/>
                <w:szCs w:val="21"/>
              </w:rPr>
              <w:t>处理前产生浓度及产生量(单位)</w:t>
            </w:r>
          </w:p>
        </w:tc>
        <w:tc>
          <w:tcPr>
            <w:tcW w:w="1998" w:type="dxa"/>
            <w:vAlign w:val="center"/>
          </w:tcPr>
          <w:p>
            <w:pPr>
              <w:jc w:val="center"/>
              <w:rPr>
                <w:szCs w:val="21"/>
              </w:rPr>
            </w:pPr>
            <w:r>
              <w:rPr>
                <w:szCs w:val="21"/>
              </w:rPr>
              <w:t>排放浓度及排放量</w:t>
            </w:r>
          </w:p>
          <w:p>
            <w:pPr>
              <w:jc w:val="center"/>
              <w:rPr>
                <w:szCs w:val="21"/>
              </w:rPr>
            </w:pPr>
            <w:r>
              <w:rPr>
                <w:szCs w:val="21"/>
              </w:rPr>
              <w:t xml:space="preserve"> (单位)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447" w:type="dxa"/>
            <w:vMerge w:val="restart"/>
            <w:tcBorders>
              <w:top w:val="single" w:color="auto" w:sz="4" w:space="0"/>
            </w:tcBorders>
            <w:vAlign w:val="center"/>
          </w:tcPr>
          <w:p>
            <w:pPr>
              <w:jc w:val="center"/>
              <w:rPr>
                <w:szCs w:val="21"/>
              </w:rPr>
            </w:pPr>
            <w:bookmarkStart w:id="22" w:name="OLE_LINK20" w:colFirst="1" w:colLast="1"/>
            <w:r>
              <w:rPr>
                <w:rFonts w:hint="eastAsia"/>
                <w:szCs w:val="21"/>
              </w:rPr>
              <w:t>营运期</w:t>
            </w:r>
          </w:p>
        </w:tc>
        <w:tc>
          <w:tcPr>
            <w:tcW w:w="934" w:type="dxa"/>
            <w:vMerge w:val="restart"/>
            <w:tcBorders>
              <w:top w:val="single" w:color="auto" w:sz="4" w:space="0"/>
            </w:tcBorders>
            <w:vAlign w:val="center"/>
          </w:tcPr>
          <w:p>
            <w:pPr>
              <w:spacing w:line="360" w:lineRule="auto"/>
              <w:jc w:val="center"/>
              <w:rPr>
                <w:szCs w:val="21"/>
              </w:rPr>
            </w:pPr>
            <w:r>
              <w:rPr>
                <w:rFonts w:hint="eastAsia"/>
                <w:szCs w:val="21"/>
              </w:rPr>
              <w:t>大气污染物</w:t>
            </w:r>
          </w:p>
        </w:tc>
        <w:tc>
          <w:tcPr>
            <w:tcW w:w="1084" w:type="dxa"/>
            <w:tcBorders>
              <w:top w:val="single" w:color="auto" w:sz="4" w:space="0"/>
              <w:right w:val="single" w:color="000000" w:sz="4" w:space="0"/>
            </w:tcBorders>
            <w:vAlign w:val="center"/>
          </w:tcPr>
          <w:p>
            <w:pPr>
              <w:spacing w:line="360" w:lineRule="auto"/>
              <w:jc w:val="center"/>
            </w:pPr>
            <w:r>
              <w:rPr>
                <w:rFonts w:hint="eastAsia"/>
              </w:rPr>
              <w:t>砂石装卸量</w:t>
            </w:r>
          </w:p>
        </w:tc>
        <w:tc>
          <w:tcPr>
            <w:tcW w:w="1506" w:type="dxa"/>
            <w:tcBorders>
              <w:left w:val="single" w:color="000000" w:sz="4" w:space="0"/>
              <w:right w:val="single" w:color="000000" w:sz="4" w:space="0"/>
            </w:tcBorders>
            <w:vAlign w:val="center"/>
          </w:tcPr>
          <w:p>
            <w:pPr>
              <w:spacing w:line="360" w:lineRule="auto"/>
              <w:jc w:val="center"/>
            </w:pPr>
            <w:r>
              <w:rPr>
                <w:rFonts w:hint="eastAsia"/>
                <w:szCs w:val="21"/>
              </w:rPr>
              <w:t>粉尘</w:t>
            </w:r>
          </w:p>
        </w:tc>
        <w:tc>
          <w:tcPr>
            <w:tcW w:w="2537" w:type="dxa"/>
            <w:tcBorders>
              <w:left w:val="single" w:color="000000" w:sz="4" w:space="0"/>
              <w:right w:val="single" w:color="000000" w:sz="4" w:space="0"/>
            </w:tcBorders>
            <w:vAlign w:val="center"/>
          </w:tcPr>
          <w:p>
            <w:pPr>
              <w:spacing w:line="360" w:lineRule="auto"/>
              <w:jc w:val="center"/>
            </w:pPr>
            <w:r>
              <w:rPr>
                <w:rFonts w:hint="eastAsia"/>
                <w:szCs w:val="21"/>
              </w:rPr>
              <w:t>0.06</w:t>
            </w:r>
            <w:r>
              <w:rPr>
                <w:szCs w:val="21"/>
              </w:rPr>
              <w:t>t/a</w:t>
            </w:r>
          </w:p>
        </w:tc>
        <w:tc>
          <w:tcPr>
            <w:tcW w:w="1998" w:type="dxa"/>
            <w:tcBorders>
              <w:left w:val="single" w:color="000000" w:sz="4" w:space="0"/>
            </w:tcBorders>
            <w:vAlign w:val="center"/>
          </w:tcPr>
          <w:p>
            <w:pPr>
              <w:spacing w:line="360" w:lineRule="auto"/>
              <w:jc w:val="center"/>
            </w:pPr>
            <w:r>
              <w:rPr>
                <w:rFonts w:hint="eastAsia"/>
                <w:szCs w:val="21"/>
              </w:rPr>
              <w:t>0.06t/a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3" w:hRule="atLeast"/>
        </w:trPr>
        <w:tc>
          <w:tcPr>
            <w:tcW w:w="447" w:type="dxa"/>
            <w:vMerge w:val="continue"/>
            <w:tcBorders>
              <w:top w:val="single" w:color="auto" w:sz="4" w:space="0"/>
            </w:tcBorders>
            <w:vAlign w:val="center"/>
          </w:tcPr>
          <w:p>
            <w:pPr>
              <w:jc w:val="center"/>
              <w:rPr>
                <w:szCs w:val="21"/>
              </w:rPr>
            </w:pPr>
          </w:p>
        </w:tc>
        <w:tc>
          <w:tcPr>
            <w:tcW w:w="934" w:type="dxa"/>
            <w:vMerge w:val="continue"/>
            <w:vAlign w:val="center"/>
          </w:tcPr>
          <w:p>
            <w:pPr>
              <w:spacing w:line="360" w:lineRule="auto"/>
              <w:jc w:val="center"/>
              <w:rPr>
                <w:szCs w:val="21"/>
              </w:rPr>
            </w:pPr>
          </w:p>
        </w:tc>
        <w:tc>
          <w:tcPr>
            <w:tcW w:w="1084" w:type="dxa"/>
            <w:tcBorders>
              <w:bottom w:val="single" w:color="auto" w:sz="4" w:space="0"/>
              <w:right w:val="single" w:color="000000" w:sz="4" w:space="0"/>
            </w:tcBorders>
            <w:vAlign w:val="center"/>
          </w:tcPr>
          <w:p>
            <w:pPr>
              <w:jc w:val="center"/>
              <w:rPr>
                <w:szCs w:val="21"/>
              </w:rPr>
            </w:pPr>
            <w:r>
              <w:rPr>
                <w:rFonts w:hint="eastAsia"/>
                <w:szCs w:val="21"/>
              </w:rPr>
              <w:t>破碎、筛分</w:t>
            </w:r>
          </w:p>
        </w:tc>
        <w:tc>
          <w:tcPr>
            <w:tcW w:w="1506" w:type="dxa"/>
            <w:tcBorders>
              <w:left w:val="single" w:color="000000" w:sz="4" w:space="0"/>
              <w:bottom w:val="single" w:color="auto" w:sz="4" w:space="0"/>
              <w:right w:val="single" w:color="000000" w:sz="4" w:space="0"/>
            </w:tcBorders>
            <w:vAlign w:val="center"/>
          </w:tcPr>
          <w:p>
            <w:pPr>
              <w:jc w:val="center"/>
              <w:rPr>
                <w:rFonts w:hAnsi="宋体"/>
                <w:szCs w:val="21"/>
              </w:rPr>
            </w:pPr>
            <w:r>
              <w:rPr>
                <w:rFonts w:hint="eastAsia" w:hAnsi="宋体"/>
                <w:szCs w:val="21"/>
              </w:rPr>
              <w:t>粉尘</w:t>
            </w:r>
          </w:p>
        </w:tc>
        <w:tc>
          <w:tcPr>
            <w:tcW w:w="2537" w:type="dxa"/>
            <w:tcBorders>
              <w:left w:val="single" w:color="000000" w:sz="4" w:space="0"/>
              <w:bottom w:val="single" w:color="auto" w:sz="4" w:space="0"/>
              <w:right w:val="single" w:color="000000" w:sz="4" w:space="0"/>
            </w:tcBorders>
            <w:vAlign w:val="center"/>
          </w:tcPr>
          <w:p>
            <w:pPr>
              <w:spacing w:line="360" w:lineRule="auto"/>
              <w:jc w:val="center"/>
              <w:rPr>
                <w:szCs w:val="21"/>
              </w:rPr>
            </w:pPr>
            <w:r>
              <w:rPr>
                <w:rFonts w:hint="eastAsia"/>
                <w:szCs w:val="21"/>
              </w:rPr>
              <w:t>2.2t/a</w:t>
            </w:r>
          </w:p>
        </w:tc>
        <w:tc>
          <w:tcPr>
            <w:tcW w:w="1998" w:type="dxa"/>
            <w:tcBorders>
              <w:left w:val="single" w:color="000000" w:sz="4" w:space="0"/>
              <w:bottom w:val="single" w:color="auto" w:sz="4" w:space="0"/>
            </w:tcBorders>
            <w:vAlign w:val="center"/>
          </w:tcPr>
          <w:p>
            <w:pPr>
              <w:spacing w:line="360" w:lineRule="auto"/>
              <w:jc w:val="center"/>
              <w:rPr>
                <w:szCs w:val="21"/>
              </w:rPr>
            </w:pPr>
            <w:r>
              <w:rPr>
                <w:rFonts w:hint="eastAsia"/>
                <w:szCs w:val="21"/>
              </w:rPr>
              <w:t>0.22t/a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3" w:hRule="atLeast"/>
        </w:trPr>
        <w:tc>
          <w:tcPr>
            <w:tcW w:w="447" w:type="dxa"/>
            <w:vMerge w:val="continue"/>
            <w:tcBorders>
              <w:top w:val="single" w:color="auto" w:sz="4" w:space="0"/>
            </w:tcBorders>
            <w:vAlign w:val="center"/>
          </w:tcPr>
          <w:p>
            <w:pPr>
              <w:jc w:val="center"/>
              <w:rPr>
                <w:szCs w:val="21"/>
              </w:rPr>
            </w:pPr>
          </w:p>
        </w:tc>
        <w:tc>
          <w:tcPr>
            <w:tcW w:w="934" w:type="dxa"/>
            <w:vMerge w:val="continue"/>
            <w:vAlign w:val="center"/>
          </w:tcPr>
          <w:p>
            <w:pPr>
              <w:spacing w:line="360" w:lineRule="auto"/>
              <w:jc w:val="center"/>
              <w:rPr>
                <w:szCs w:val="21"/>
              </w:rPr>
            </w:pPr>
          </w:p>
        </w:tc>
        <w:tc>
          <w:tcPr>
            <w:tcW w:w="1084" w:type="dxa"/>
            <w:tcBorders>
              <w:bottom w:val="single" w:color="auto" w:sz="4" w:space="0"/>
              <w:right w:val="single" w:color="000000" w:sz="4" w:space="0"/>
            </w:tcBorders>
            <w:vAlign w:val="center"/>
          </w:tcPr>
          <w:p>
            <w:pPr>
              <w:jc w:val="center"/>
              <w:rPr>
                <w:szCs w:val="21"/>
              </w:rPr>
            </w:pPr>
            <w:r>
              <w:rPr>
                <w:rFonts w:hint="eastAsia"/>
                <w:szCs w:val="21"/>
              </w:rPr>
              <w:t>运输扬尘</w:t>
            </w:r>
          </w:p>
        </w:tc>
        <w:tc>
          <w:tcPr>
            <w:tcW w:w="1506" w:type="dxa"/>
            <w:tcBorders>
              <w:left w:val="single" w:color="000000" w:sz="4" w:space="0"/>
              <w:bottom w:val="single" w:color="auto" w:sz="4" w:space="0"/>
              <w:right w:val="single" w:color="000000" w:sz="4" w:space="0"/>
            </w:tcBorders>
            <w:vAlign w:val="center"/>
          </w:tcPr>
          <w:p>
            <w:pPr>
              <w:jc w:val="center"/>
              <w:rPr>
                <w:rFonts w:hAnsi="宋体"/>
                <w:szCs w:val="21"/>
              </w:rPr>
            </w:pPr>
            <w:r>
              <w:rPr>
                <w:rFonts w:hint="eastAsia" w:hAnsi="宋体"/>
                <w:szCs w:val="21"/>
              </w:rPr>
              <w:t>粉尘</w:t>
            </w:r>
          </w:p>
        </w:tc>
        <w:tc>
          <w:tcPr>
            <w:tcW w:w="2537" w:type="dxa"/>
            <w:tcBorders>
              <w:left w:val="single" w:color="000000" w:sz="4" w:space="0"/>
              <w:bottom w:val="single" w:color="auto" w:sz="4" w:space="0"/>
              <w:right w:val="single" w:color="000000" w:sz="4" w:space="0"/>
            </w:tcBorders>
            <w:vAlign w:val="center"/>
          </w:tcPr>
          <w:p>
            <w:pPr>
              <w:spacing w:line="360" w:lineRule="auto"/>
              <w:jc w:val="center"/>
              <w:rPr>
                <w:szCs w:val="21"/>
              </w:rPr>
            </w:pPr>
            <w:r>
              <w:rPr>
                <w:rFonts w:hint="eastAsia"/>
                <w:szCs w:val="21"/>
              </w:rPr>
              <w:t>0.84t/a</w:t>
            </w:r>
          </w:p>
        </w:tc>
        <w:tc>
          <w:tcPr>
            <w:tcW w:w="1998" w:type="dxa"/>
            <w:tcBorders>
              <w:left w:val="single" w:color="000000" w:sz="4" w:space="0"/>
              <w:bottom w:val="single" w:color="auto" w:sz="4" w:space="0"/>
            </w:tcBorders>
            <w:vAlign w:val="center"/>
          </w:tcPr>
          <w:p>
            <w:pPr>
              <w:spacing w:line="360" w:lineRule="auto"/>
              <w:jc w:val="center"/>
              <w:rPr>
                <w:szCs w:val="21"/>
              </w:rPr>
            </w:pPr>
            <w:r>
              <w:rPr>
                <w:rFonts w:hint="eastAsia"/>
                <w:szCs w:val="21"/>
              </w:rPr>
              <w:t>0.5t/a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447" w:type="dxa"/>
            <w:vMerge w:val="continue"/>
            <w:tcBorders>
              <w:top w:val="single" w:color="auto" w:sz="4" w:space="0"/>
            </w:tcBorders>
            <w:vAlign w:val="center"/>
          </w:tcPr>
          <w:p>
            <w:pPr>
              <w:jc w:val="center"/>
              <w:rPr>
                <w:szCs w:val="21"/>
              </w:rPr>
            </w:pPr>
          </w:p>
        </w:tc>
        <w:tc>
          <w:tcPr>
            <w:tcW w:w="934" w:type="dxa"/>
            <w:vMerge w:val="continue"/>
            <w:vAlign w:val="center"/>
          </w:tcPr>
          <w:p>
            <w:pPr>
              <w:spacing w:line="360" w:lineRule="auto"/>
              <w:jc w:val="center"/>
              <w:rPr>
                <w:szCs w:val="21"/>
              </w:rPr>
            </w:pPr>
          </w:p>
        </w:tc>
        <w:tc>
          <w:tcPr>
            <w:tcW w:w="1084" w:type="dxa"/>
            <w:tcBorders>
              <w:right w:val="single" w:color="000000" w:sz="4" w:space="0"/>
            </w:tcBorders>
            <w:vAlign w:val="center"/>
          </w:tcPr>
          <w:p>
            <w:pPr>
              <w:jc w:val="center"/>
            </w:pPr>
            <w:r>
              <w:rPr>
                <w:rFonts w:hint="eastAsia"/>
              </w:rPr>
              <w:t>食堂油烟废气</w:t>
            </w:r>
          </w:p>
        </w:tc>
        <w:tc>
          <w:tcPr>
            <w:tcW w:w="1506" w:type="dxa"/>
            <w:tcBorders>
              <w:left w:val="single" w:color="000000" w:sz="4" w:space="0"/>
              <w:right w:val="single" w:color="000000" w:sz="4" w:space="0"/>
            </w:tcBorders>
            <w:vAlign w:val="center"/>
          </w:tcPr>
          <w:p>
            <w:pPr>
              <w:spacing w:line="360" w:lineRule="auto"/>
              <w:jc w:val="center"/>
              <w:rPr>
                <w:szCs w:val="21"/>
              </w:rPr>
            </w:pPr>
            <w:r>
              <w:rPr>
                <w:rFonts w:hint="eastAsia"/>
                <w:szCs w:val="21"/>
              </w:rPr>
              <w:t>油烟</w:t>
            </w:r>
          </w:p>
        </w:tc>
        <w:tc>
          <w:tcPr>
            <w:tcW w:w="2537" w:type="dxa"/>
            <w:tcBorders>
              <w:left w:val="single" w:color="000000" w:sz="4" w:space="0"/>
              <w:right w:val="single" w:color="000000" w:sz="4" w:space="0"/>
            </w:tcBorders>
            <w:vAlign w:val="center"/>
          </w:tcPr>
          <w:p>
            <w:pPr>
              <w:spacing w:line="360" w:lineRule="auto"/>
              <w:jc w:val="center"/>
              <w:rPr>
                <w:szCs w:val="21"/>
              </w:rPr>
            </w:pPr>
            <w:r>
              <w:rPr>
                <w:rFonts w:hint="eastAsia"/>
                <w:szCs w:val="21"/>
                <w:lang w:val="en-US" w:eastAsia="zh-CN"/>
              </w:rPr>
              <w:t>1.2</w:t>
            </w:r>
            <w:r>
              <w:rPr>
                <w:rFonts w:hint="eastAsia"/>
                <w:szCs w:val="21"/>
              </w:rPr>
              <w:t>mg/m</w:t>
            </w:r>
            <w:r>
              <w:rPr>
                <w:rFonts w:hint="eastAsia"/>
                <w:szCs w:val="21"/>
                <w:vertAlign w:val="superscript"/>
              </w:rPr>
              <w:t>3</w:t>
            </w:r>
            <w:r>
              <w:rPr>
                <w:rFonts w:hint="eastAsia"/>
                <w:szCs w:val="21"/>
              </w:rPr>
              <w:t>，</w:t>
            </w:r>
            <w:r>
              <w:rPr>
                <w:rFonts w:hint="eastAsia"/>
                <w:szCs w:val="21"/>
                <w:lang w:val="en-US" w:eastAsia="zh-CN"/>
              </w:rPr>
              <w:t>1.8</w:t>
            </w:r>
            <w:r>
              <w:rPr>
                <w:rFonts w:hint="eastAsia"/>
                <w:szCs w:val="21"/>
              </w:rPr>
              <w:t>kg/a</w:t>
            </w:r>
          </w:p>
        </w:tc>
        <w:tc>
          <w:tcPr>
            <w:tcW w:w="1998" w:type="dxa"/>
            <w:tcBorders>
              <w:left w:val="single" w:color="000000" w:sz="4" w:space="0"/>
            </w:tcBorders>
            <w:vAlign w:val="center"/>
          </w:tcPr>
          <w:p>
            <w:pPr>
              <w:spacing w:line="360" w:lineRule="auto"/>
              <w:jc w:val="center"/>
              <w:rPr>
                <w:szCs w:val="21"/>
              </w:rPr>
            </w:pPr>
            <w:r>
              <w:rPr>
                <w:rFonts w:hint="eastAsia"/>
                <w:szCs w:val="21"/>
                <w:lang w:val="en-US" w:eastAsia="zh-CN"/>
              </w:rPr>
              <w:t>0.18</w:t>
            </w:r>
            <w:r>
              <w:rPr>
                <w:rFonts w:hint="eastAsia"/>
                <w:szCs w:val="21"/>
              </w:rPr>
              <w:t>mg/m</w:t>
            </w:r>
            <w:r>
              <w:rPr>
                <w:rFonts w:hint="eastAsia"/>
                <w:szCs w:val="21"/>
                <w:vertAlign w:val="superscript"/>
              </w:rPr>
              <w:t>3</w:t>
            </w:r>
            <w:r>
              <w:rPr>
                <w:rFonts w:hint="eastAsia"/>
                <w:szCs w:val="21"/>
              </w:rPr>
              <w:t>，</w:t>
            </w:r>
            <w:r>
              <w:rPr>
                <w:rFonts w:hint="eastAsia"/>
                <w:szCs w:val="21"/>
                <w:lang w:val="en-US" w:eastAsia="zh-CN"/>
              </w:rPr>
              <w:t>0.27</w:t>
            </w:r>
            <w:r>
              <w:rPr>
                <w:rFonts w:hint="eastAsia"/>
                <w:szCs w:val="21"/>
              </w:rPr>
              <w:t>kg/a</w:t>
            </w:r>
          </w:p>
        </w:tc>
      </w:tr>
      <w:bookmarkEnd w:id="22"/>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447" w:type="dxa"/>
            <w:vMerge w:val="continue"/>
            <w:vAlign w:val="center"/>
          </w:tcPr>
          <w:p>
            <w:pPr>
              <w:jc w:val="center"/>
              <w:rPr>
                <w:color w:val="FF0000"/>
                <w:szCs w:val="21"/>
              </w:rPr>
            </w:pPr>
          </w:p>
        </w:tc>
        <w:tc>
          <w:tcPr>
            <w:tcW w:w="934" w:type="dxa"/>
            <w:vMerge w:val="restart"/>
            <w:vAlign w:val="center"/>
          </w:tcPr>
          <w:p>
            <w:pPr>
              <w:spacing w:line="360" w:lineRule="auto"/>
              <w:jc w:val="center"/>
              <w:rPr>
                <w:szCs w:val="21"/>
              </w:rPr>
            </w:pPr>
            <w:r>
              <w:rPr>
                <w:rFonts w:hint="eastAsia"/>
                <w:szCs w:val="21"/>
              </w:rPr>
              <w:t>水污</w:t>
            </w:r>
          </w:p>
          <w:p>
            <w:pPr>
              <w:spacing w:line="360" w:lineRule="auto"/>
              <w:jc w:val="center"/>
              <w:rPr>
                <w:szCs w:val="21"/>
              </w:rPr>
            </w:pPr>
            <w:r>
              <w:rPr>
                <w:rFonts w:hint="eastAsia"/>
                <w:szCs w:val="21"/>
              </w:rPr>
              <w:t>染物</w:t>
            </w:r>
          </w:p>
        </w:tc>
        <w:tc>
          <w:tcPr>
            <w:tcW w:w="1084" w:type="dxa"/>
            <w:vMerge w:val="restart"/>
            <w:tcBorders>
              <w:right w:val="single" w:color="000000" w:sz="4" w:space="0"/>
            </w:tcBorders>
            <w:vAlign w:val="center"/>
          </w:tcPr>
          <w:p>
            <w:pPr>
              <w:spacing w:line="360" w:lineRule="auto"/>
              <w:jc w:val="center"/>
              <w:rPr>
                <w:szCs w:val="22"/>
              </w:rPr>
            </w:pPr>
            <w:r>
              <w:rPr>
                <w:rFonts w:hint="eastAsia"/>
                <w:szCs w:val="22"/>
              </w:rPr>
              <w:t>洗砂废水</w:t>
            </w:r>
          </w:p>
        </w:tc>
        <w:tc>
          <w:tcPr>
            <w:tcW w:w="1506" w:type="dxa"/>
            <w:tcBorders>
              <w:left w:val="single" w:color="000000" w:sz="4" w:space="0"/>
              <w:bottom w:val="single" w:color="auto" w:sz="4" w:space="0"/>
              <w:right w:val="single" w:color="000000" w:sz="4" w:space="0"/>
            </w:tcBorders>
            <w:vAlign w:val="center"/>
          </w:tcPr>
          <w:p>
            <w:pPr>
              <w:spacing w:line="360" w:lineRule="auto"/>
              <w:jc w:val="center"/>
              <w:rPr>
                <w:szCs w:val="21"/>
              </w:rPr>
            </w:pPr>
            <w:r>
              <w:rPr>
                <w:rFonts w:hint="eastAsia"/>
                <w:szCs w:val="21"/>
              </w:rPr>
              <w:t>废水量</w:t>
            </w:r>
          </w:p>
        </w:tc>
        <w:tc>
          <w:tcPr>
            <w:tcW w:w="2537" w:type="dxa"/>
            <w:tcBorders>
              <w:left w:val="single" w:color="000000" w:sz="4" w:space="0"/>
              <w:bottom w:val="single" w:color="auto" w:sz="4" w:space="0"/>
              <w:right w:val="single" w:color="000000" w:sz="4" w:space="0"/>
            </w:tcBorders>
            <w:vAlign w:val="center"/>
          </w:tcPr>
          <w:p>
            <w:pPr>
              <w:spacing w:line="360" w:lineRule="auto"/>
              <w:jc w:val="center"/>
              <w:rPr>
                <w:szCs w:val="21"/>
              </w:rPr>
            </w:pPr>
            <w:r>
              <w:rPr>
                <w:rFonts w:hint="eastAsia"/>
                <w:szCs w:val="21"/>
              </w:rPr>
              <w:t>990m</w:t>
            </w:r>
            <w:r>
              <w:rPr>
                <w:rFonts w:hint="eastAsia"/>
                <w:szCs w:val="21"/>
                <w:vertAlign w:val="superscript"/>
              </w:rPr>
              <w:t>3</w:t>
            </w:r>
            <w:r>
              <w:rPr>
                <w:rFonts w:hint="eastAsia"/>
                <w:szCs w:val="21"/>
              </w:rPr>
              <w:t>/d</w:t>
            </w:r>
          </w:p>
        </w:tc>
        <w:tc>
          <w:tcPr>
            <w:tcW w:w="1998" w:type="dxa"/>
            <w:tcBorders>
              <w:left w:val="single" w:color="000000" w:sz="4" w:space="0"/>
              <w:bottom w:val="single" w:color="auto" w:sz="4" w:space="0"/>
            </w:tcBorders>
            <w:vAlign w:val="center"/>
          </w:tcPr>
          <w:p>
            <w:pPr>
              <w:jc w:val="center"/>
              <w:rPr>
                <w:szCs w:val="21"/>
              </w:rPr>
            </w:pPr>
            <w:r>
              <w:rPr>
                <w:rFonts w:hint="eastAsia" w:hAnsi="宋体"/>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vMerge w:val="continue"/>
            <w:tcBorders>
              <w:bottom w:val="single" w:color="auto" w:sz="4" w:space="0"/>
              <w:right w:val="single" w:color="000000" w:sz="4" w:space="0"/>
            </w:tcBorders>
            <w:vAlign w:val="center"/>
          </w:tcPr>
          <w:p>
            <w:pPr>
              <w:spacing w:line="360" w:lineRule="auto"/>
              <w:jc w:val="center"/>
              <w:rPr>
                <w:szCs w:val="22"/>
              </w:rPr>
            </w:pPr>
          </w:p>
        </w:tc>
        <w:tc>
          <w:tcPr>
            <w:tcW w:w="1506" w:type="dxa"/>
            <w:tcBorders>
              <w:top w:val="single" w:color="auto" w:sz="4" w:space="0"/>
              <w:left w:val="single" w:color="000000" w:sz="4" w:space="0"/>
              <w:bottom w:val="single" w:color="auto" w:sz="4" w:space="0"/>
              <w:right w:val="single" w:color="000000" w:sz="4" w:space="0"/>
            </w:tcBorders>
            <w:vAlign w:val="center"/>
          </w:tcPr>
          <w:p>
            <w:pPr>
              <w:spacing w:line="360" w:lineRule="auto"/>
              <w:jc w:val="center"/>
              <w:rPr>
                <w:szCs w:val="21"/>
              </w:rPr>
            </w:pPr>
            <w:r>
              <w:rPr>
                <w:rFonts w:hint="eastAsia"/>
                <w:szCs w:val="21"/>
              </w:rPr>
              <w:t>SS</w:t>
            </w:r>
          </w:p>
        </w:tc>
        <w:tc>
          <w:tcPr>
            <w:tcW w:w="2537" w:type="dxa"/>
            <w:tcBorders>
              <w:top w:val="single" w:color="auto" w:sz="4" w:space="0"/>
              <w:left w:val="single" w:color="000000" w:sz="4" w:space="0"/>
              <w:bottom w:val="single" w:color="auto" w:sz="4" w:space="0"/>
              <w:right w:val="single" w:color="000000" w:sz="4" w:space="0"/>
            </w:tcBorders>
            <w:vAlign w:val="center"/>
          </w:tcPr>
          <w:p>
            <w:pPr>
              <w:spacing w:line="360" w:lineRule="auto"/>
              <w:jc w:val="center"/>
              <w:rPr>
                <w:szCs w:val="21"/>
              </w:rPr>
            </w:pPr>
            <w:r>
              <w:rPr>
                <w:rFonts w:hint="eastAsia"/>
                <w:szCs w:val="21"/>
              </w:rPr>
              <w:t>2000mg/m</w:t>
            </w:r>
            <w:r>
              <w:rPr>
                <w:rFonts w:hint="eastAsia"/>
                <w:szCs w:val="21"/>
                <w:vertAlign w:val="superscript"/>
              </w:rPr>
              <w:t>3</w:t>
            </w:r>
            <w:r>
              <w:rPr>
                <w:rFonts w:hint="eastAsia"/>
                <w:szCs w:val="21"/>
              </w:rPr>
              <w:t>，1.98t/d</w:t>
            </w:r>
          </w:p>
        </w:tc>
        <w:tc>
          <w:tcPr>
            <w:tcW w:w="1998" w:type="dxa"/>
            <w:tcBorders>
              <w:top w:val="single" w:color="auto" w:sz="4" w:space="0"/>
              <w:left w:val="single" w:color="000000" w:sz="4" w:space="0"/>
              <w:bottom w:val="single" w:color="auto" w:sz="4" w:space="0"/>
            </w:tcBorders>
            <w:vAlign w:val="center"/>
          </w:tcPr>
          <w:p>
            <w:pPr>
              <w:jc w:val="center"/>
              <w:rPr>
                <w:rFonts w:hAnsi="宋体"/>
                <w:szCs w:val="21"/>
              </w:rPr>
            </w:pPr>
            <w:r>
              <w:rPr>
                <w:rFonts w:hint="eastAsia"/>
                <w:sz w:val="24"/>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tcBorders>
              <w:top w:val="single" w:color="auto" w:sz="4" w:space="0"/>
              <w:right w:val="single" w:color="000000" w:sz="4" w:space="0"/>
            </w:tcBorders>
            <w:vAlign w:val="center"/>
          </w:tcPr>
          <w:p>
            <w:pPr>
              <w:spacing w:line="360" w:lineRule="auto"/>
              <w:jc w:val="center"/>
              <w:rPr>
                <w:szCs w:val="22"/>
              </w:rPr>
            </w:pPr>
            <w:r>
              <w:rPr>
                <w:rFonts w:hint="eastAsia"/>
                <w:szCs w:val="22"/>
              </w:rPr>
              <w:t>抑尘废水</w:t>
            </w:r>
          </w:p>
        </w:tc>
        <w:tc>
          <w:tcPr>
            <w:tcW w:w="1506" w:type="dxa"/>
            <w:tcBorders>
              <w:top w:val="single" w:color="auto" w:sz="4" w:space="0"/>
              <w:left w:val="single" w:color="000000" w:sz="4" w:space="0"/>
              <w:bottom w:val="single" w:color="auto" w:sz="4" w:space="0"/>
              <w:right w:val="single" w:color="000000" w:sz="4" w:space="0"/>
            </w:tcBorders>
            <w:vAlign w:val="center"/>
          </w:tcPr>
          <w:p>
            <w:pPr>
              <w:spacing w:line="360" w:lineRule="auto"/>
              <w:jc w:val="center"/>
              <w:rPr>
                <w:szCs w:val="21"/>
              </w:rPr>
            </w:pPr>
            <w:r>
              <w:rPr>
                <w:rFonts w:hint="eastAsia"/>
                <w:szCs w:val="21"/>
              </w:rPr>
              <w:t>废水量</w:t>
            </w:r>
          </w:p>
        </w:tc>
        <w:tc>
          <w:tcPr>
            <w:tcW w:w="2537" w:type="dxa"/>
            <w:tcBorders>
              <w:top w:val="single" w:color="auto" w:sz="4" w:space="0"/>
              <w:left w:val="single" w:color="000000" w:sz="4" w:space="0"/>
              <w:bottom w:val="single" w:color="auto" w:sz="4" w:space="0"/>
              <w:right w:val="single" w:color="000000" w:sz="4" w:space="0"/>
            </w:tcBorders>
            <w:vAlign w:val="center"/>
          </w:tcPr>
          <w:p>
            <w:pPr>
              <w:jc w:val="center"/>
              <w:rPr>
                <w:szCs w:val="21"/>
              </w:rPr>
            </w:pPr>
            <w:r>
              <w:rPr>
                <w:rFonts w:hint="eastAsia"/>
                <w:szCs w:val="21"/>
              </w:rPr>
              <w:t>600</w:t>
            </w:r>
            <w:r>
              <w:rPr>
                <w:rFonts w:hint="eastAsia" w:hAnsi="宋体"/>
                <w:szCs w:val="21"/>
              </w:rPr>
              <w:t>m</w:t>
            </w:r>
            <w:r>
              <w:rPr>
                <w:rFonts w:hint="eastAsia" w:hAnsi="宋体"/>
                <w:szCs w:val="21"/>
                <w:vertAlign w:val="superscript"/>
              </w:rPr>
              <w:t>3</w:t>
            </w:r>
            <w:r>
              <w:rPr>
                <w:rFonts w:hint="eastAsia" w:hAnsi="宋体"/>
                <w:szCs w:val="21"/>
              </w:rPr>
              <w:t>/a</w:t>
            </w:r>
          </w:p>
        </w:tc>
        <w:tc>
          <w:tcPr>
            <w:tcW w:w="1998" w:type="dxa"/>
            <w:tcBorders>
              <w:top w:val="single" w:color="auto" w:sz="4" w:space="0"/>
              <w:left w:val="single" w:color="000000" w:sz="4" w:space="0"/>
              <w:bottom w:val="single" w:color="auto" w:sz="4" w:space="0"/>
            </w:tcBorders>
            <w:vAlign w:val="center"/>
          </w:tcPr>
          <w:p>
            <w:pPr>
              <w:jc w:val="center"/>
              <w:rPr>
                <w:rFonts w:hAnsi="宋体"/>
                <w:szCs w:val="21"/>
              </w:rPr>
            </w:pPr>
            <w:r>
              <w:rPr>
                <w:rFonts w:hint="eastAsia" w:hAnsi="宋体"/>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vMerge w:val="restart"/>
            <w:tcBorders>
              <w:top w:val="single" w:color="auto" w:sz="4" w:space="0"/>
              <w:right w:val="single" w:color="000000" w:sz="4" w:space="0"/>
            </w:tcBorders>
            <w:vAlign w:val="center"/>
          </w:tcPr>
          <w:p>
            <w:pPr>
              <w:spacing w:line="360" w:lineRule="auto"/>
              <w:jc w:val="center"/>
              <w:rPr>
                <w:sz w:val="18"/>
                <w:szCs w:val="18"/>
              </w:rPr>
            </w:pPr>
            <w:r>
              <w:rPr>
                <w:rFonts w:hint="eastAsia"/>
                <w:szCs w:val="21"/>
              </w:rPr>
              <w:t>生活废水</w:t>
            </w:r>
          </w:p>
        </w:tc>
        <w:tc>
          <w:tcPr>
            <w:tcW w:w="1506" w:type="dxa"/>
            <w:tcBorders>
              <w:top w:val="single" w:color="auto" w:sz="4" w:space="0"/>
              <w:left w:val="single" w:color="000000" w:sz="4" w:space="0"/>
              <w:bottom w:val="single" w:color="auto" w:sz="4" w:space="0"/>
              <w:right w:val="single" w:color="000000" w:sz="4" w:space="0"/>
            </w:tcBorders>
            <w:vAlign w:val="center"/>
          </w:tcPr>
          <w:p>
            <w:pPr>
              <w:spacing w:line="360" w:lineRule="auto"/>
              <w:jc w:val="center"/>
              <w:rPr>
                <w:szCs w:val="21"/>
              </w:rPr>
            </w:pPr>
            <w:r>
              <w:rPr>
                <w:rFonts w:hint="eastAsia"/>
                <w:szCs w:val="21"/>
              </w:rPr>
              <w:t>废水量</w:t>
            </w:r>
          </w:p>
        </w:tc>
        <w:tc>
          <w:tcPr>
            <w:tcW w:w="2537" w:type="dxa"/>
            <w:tcBorders>
              <w:top w:val="single" w:color="auto" w:sz="4" w:space="0"/>
              <w:left w:val="single" w:color="000000" w:sz="4" w:space="0"/>
              <w:right w:val="single" w:color="000000" w:sz="4" w:space="0"/>
            </w:tcBorders>
            <w:vAlign w:val="center"/>
          </w:tcPr>
          <w:p>
            <w:pPr>
              <w:jc w:val="center"/>
              <w:rPr>
                <w:szCs w:val="21"/>
              </w:rPr>
            </w:pPr>
            <w:r>
              <w:rPr>
                <w:rFonts w:hint="eastAsia"/>
                <w:szCs w:val="21"/>
                <w:lang w:val="en-US" w:eastAsia="zh-CN"/>
              </w:rPr>
              <w:t>326</w:t>
            </w:r>
            <w:r>
              <w:rPr>
                <w:rFonts w:hint="eastAsia" w:hAnsi="宋体"/>
                <w:szCs w:val="21"/>
              </w:rPr>
              <w:t>m</w:t>
            </w:r>
            <w:r>
              <w:rPr>
                <w:rFonts w:hint="eastAsia" w:hAnsi="宋体"/>
                <w:szCs w:val="21"/>
                <w:vertAlign w:val="superscript"/>
              </w:rPr>
              <w:t>3</w:t>
            </w:r>
            <w:r>
              <w:rPr>
                <w:rFonts w:hint="eastAsia" w:hAnsi="宋体"/>
                <w:szCs w:val="21"/>
              </w:rPr>
              <w:t>/a</w:t>
            </w:r>
          </w:p>
        </w:tc>
        <w:tc>
          <w:tcPr>
            <w:tcW w:w="1998" w:type="dxa"/>
            <w:tcBorders>
              <w:top w:val="single" w:color="auto" w:sz="4" w:space="0"/>
              <w:left w:val="single" w:color="000000" w:sz="4" w:space="0"/>
              <w:bottom w:val="single" w:color="auto" w:sz="4" w:space="0"/>
            </w:tcBorders>
            <w:vAlign w:val="center"/>
          </w:tcPr>
          <w:p>
            <w:pPr>
              <w:jc w:val="center"/>
              <w:rPr>
                <w:rFonts w:hAnsi="宋体"/>
                <w:szCs w:val="21"/>
              </w:rPr>
            </w:pPr>
            <w:r>
              <w:rPr>
                <w:rFonts w:hint="eastAsia" w:hAnsi="宋体"/>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vMerge w:val="continue"/>
            <w:tcBorders>
              <w:right w:val="single" w:color="000000" w:sz="4" w:space="0"/>
            </w:tcBorders>
            <w:vAlign w:val="center"/>
          </w:tcPr>
          <w:p>
            <w:pPr>
              <w:spacing w:line="360" w:lineRule="auto"/>
              <w:jc w:val="center"/>
            </w:pPr>
          </w:p>
        </w:tc>
        <w:tc>
          <w:tcPr>
            <w:tcW w:w="1506" w:type="dxa"/>
            <w:tcBorders>
              <w:top w:val="single" w:color="auto" w:sz="4" w:space="0"/>
              <w:left w:val="single" w:color="000000" w:sz="4" w:space="0"/>
              <w:right w:val="single" w:color="000000" w:sz="4" w:space="0"/>
            </w:tcBorders>
            <w:vAlign w:val="center"/>
          </w:tcPr>
          <w:p>
            <w:pPr>
              <w:jc w:val="center"/>
              <w:rPr>
                <w:szCs w:val="21"/>
              </w:rPr>
            </w:pPr>
            <w:r>
              <w:rPr>
                <w:szCs w:val="21"/>
              </w:rPr>
              <w:t>CODcr</w:t>
            </w:r>
          </w:p>
        </w:tc>
        <w:tc>
          <w:tcPr>
            <w:tcW w:w="2537" w:type="dxa"/>
            <w:tcBorders>
              <w:top w:val="single" w:color="auto" w:sz="4" w:space="0"/>
              <w:left w:val="single" w:color="000000" w:sz="4" w:space="0"/>
              <w:bottom w:val="single" w:color="auto" w:sz="4" w:space="0"/>
              <w:right w:val="single" w:color="000000" w:sz="4" w:space="0"/>
            </w:tcBorders>
            <w:vAlign w:val="center"/>
          </w:tcPr>
          <w:p>
            <w:pPr>
              <w:jc w:val="center"/>
              <w:rPr>
                <w:szCs w:val="21"/>
              </w:rPr>
            </w:pPr>
            <w:r>
              <w:rPr>
                <w:rFonts w:hint="eastAsia"/>
                <w:szCs w:val="21"/>
              </w:rPr>
              <w:t>350</w:t>
            </w:r>
            <w:r>
              <w:rPr>
                <w:szCs w:val="21"/>
              </w:rPr>
              <w:t>mg/</w:t>
            </w:r>
            <w:r>
              <w:rPr>
                <w:rFonts w:hint="eastAsia"/>
                <w:szCs w:val="21"/>
              </w:rPr>
              <w:t>L，0</w:t>
            </w:r>
            <w:r>
              <w:rPr>
                <w:rFonts w:hint="eastAsia"/>
                <w:szCs w:val="21"/>
                <w:lang w:val="en-US" w:eastAsia="zh-CN"/>
              </w:rPr>
              <w:t>.11</w:t>
            </w:r>
            <w:r>
              <w:rPr>
                <w:szCs w:val="21"/>
              </w:rPr>
              <w:t>t/a</w:t>
            </w:r>
          </w:p>
        </w:tc>
        <w:tc>
          <w:tcPr>
            <w:tcW w:w="1998" w:type="dxa"/>
            <w:tcBorders>
              <w:top w:val="single" w:color="auto" w:sz="4" w:space="0"/>
              <w:left w:val="single" w:color="000000" w:sz="4" w:space="0"/>
              <w:bottom w:val="single" w:color="auto" w:sz="4" w:space="0"/>
            </w:tcBorders>
            <w:vAlign w:val="center"/>
          </w:tcPr>
          <w:p>
            <w:pPr>
              <w:jc w:val="center"/>
              <w:rPr>
                <w:szCs w:val="21"/>
              </w:rPr>
            </w:pPr>
            <w:r>
              <w:rPr>
                <w:rFonts w:hint="eastAsia"/>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vMerge w:val="continue"/>
            <w:tcBorders>
              <w:right w:val="single" w:color="000000" w:sz="4" w:space="0"/>
            </w:tcBorders>
            <w:vAlign w:val="center"/>
          </w:tcPr>
          <w:p>
            <w:pPr>
              <w:spacing w:line="360" w:lineRule="auto"/>
              <w:jc w:val="center"/>
            </w:pPr>
          </w:p>
        </w:tc>
        <w:tc>
          <w:tcPr>
            <w:tcW w:w="1506" w:type="dxa"/>
            <w:tcBorders>
              <w:left w:val="single" w:color="000000" w:sz="4" w:space="0"/>
              <w:right w:val="single" w:color="000000" w:sz="4" w:space="0"/>
            </w:tcBorders>
            <w:vAlign w:val="center"/>
          </w:tcPr>
          <w:p>
            <w:pPr>
              <w:jc w:val="center"/>
              <w:rPr>
                <w:szCs w:val="21"/>
              </w:rPr>
            </w:pPr>
            <w:r>
              <w:rPr>
                <w:rFonts w:hint="eastAsia"/>
                <w:szCs w:val="21"/>
              </w:rPr>
              <w:t>BOD</w:t>
            </w:r>
            <w:r>
              <w:rPr>
                <w:rFonts w:hint="eastAsia"/>
                <w:szCs w:val="21"/>
                <w:vertAlign w:val="subscript"/>
              </w:rPr>
              <w:t>5</w:t>
            </w:r>
          </w:p>
        </w:tc>
        <w:tc>
          <w:tcPr>
            <w:tcW w:w="2537" w:type="dxa"/>
            <w:tcBorders>
              <w:top w:val="single" w:color="auto" w:sz="4" w:space="0"/>
              <w:left w:val="single" w:color="000000" w:sz="4" w:space="0"/>
              <w:bottom w:val="single" w:color="auto" w:sz="4" w:space="0"/>
              <w:right w:val="single" w:color="000000" w:sz="4" w:space="0"/>
            </w:tcBorders>
            <w:vAlign w:val="center"/>
          </w:tcPr>
          <w:p>
            <w:pPr>
              <w:jc w:val="center"/>
              <w:rPr>
                <w:szCs w:val="21"/>
              </w:rPr>
            </w:pPr>
            <w:r>
              <w:rPr>
                <w:rFonts w:hint="eastAsia"/>
                <w:szCs w:val="21"/>
              </w:rPr>
              <w:t>200</w:t>
            </w:r>
            <w:r>
              <w:rPr>
                <w:szCs w:val="21"/>
              </w:rPr>
              <w:t>mg/</w:t>
            </w:r>
            <w:r>
              <w:rPr>
                <w:rFonts w:hint="eastAsia"/>
                <w:szCs w:val="21"/>
              </w:rPr>
              <w:t>L，0.0</w:t>
            </w:r>
            <w:r>
              <w:rPr>
                <w:rFonts w:hint="eastAsia"/>
                <w:szCs w:val="21"/>
                <w:lang w:val="en-US" w:eastAsia="zh-CN"/>
              </w:rPr>
              <w:t>6</w:t>
            </w:r>
            <w:r>
              <w:rPr>
                <w:szCs w:val="21"/>
              </w:rPr>
              <w:t>t/a</w:t>
            </w:r>
          </w:p>
        </w:tc>
        <w:tc>
          <w:tcPr>
            <w:tcW w:w="1998" w:type="dxa"/>
            <w:tcBorders>
              <w:top w:val="single" w:color="auto" w:sz="4" w:space="0"/>
              <w:left w:val="single" w:color="000000" w:sz="4" w:space="0"/>
              <w:bottom w:val="single" w:color="auto" w:sz="4" w:space="0"/>
            </w:tcBorders>
            <w:vAlign w:val="center"/>
          </w:tcPr>
          <w:p>
            <w:pPr>
              <w:jc w:val="center"/>
              <w:rPr>
                <w:szCs w:val="21"/>
              </w:rPr>
            </w:pPr>
            <w:r>
              <w:rPr>
                <w:rFonts w:hint="eastAsia"/>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vMerge w:val="continue"/>
            <w:tcBorders>
              <w:right w:val="single" w:color="000000" w:sz="4" w:space="0"/>
            </w:tcBorders>
            <w:vAlign w:val="center"/>
          </w:tcPr>
          <w:p>
            <w:pPr>
              <w:spacing w:line="360" w:lineRule="auto"/>
              <w:jc w:val="center"/>
            </w:pPr>
          </w:p>
        </w:tc>
        <w:tc>
          <w:tcPr>
            <w:tcW w:w="1506" w:type="dxa"/>
            <w:tcBorders>
              <w:left w:val="single" w:color="000000" w:sz="4" w:space="0"/>
              <w:right w:val="single" w:color="000000" w:sz="4" w:space="0"/>
            </w:tcBorders>
            <w:vAlign w:val="center"/>
          </w:tcPr>
          <w:p>
            <w:pPr>
              <w:jc w:val="center"/>
              <w:rPr>
                <w:szCs w:val="21"/>
              </w:rPr>
            </w:pPr>
            <w:r>
              <w:rPr>
                <w:rFonts w:hint="eastAsia" w:hAnsi="宋体"/>
                <w:szCs w:val="21"/>
              </w:rPr>
              <w:t>NH</w:t>
            </w:r>
            <w:r>
              <w:rPr>
                <w:rFonts w:hint="eastAsia" w:hAnsi="宋体"/>
                <w:szCs w:val="21"/>
                <w:vertAlign w:val="subscript"/>
              </w:rPr>
              <w:t>3</w:t>
            </w:r>
            <w:r>
              <w:rPr>
                <w:rFonts w:hint="eastAsia" w:hAnsi="宋体"/>
                <w:szCs w:val="21"/>
              </w:rPr>
              <w:t>-N</w:t>
            </w:r>
          </w:p>
        </w:tc>
        <w:tc>
          <w:tcPr>
            <w:tcW w:w="2537" w:type="dxa"/>
            <w:tcBorders>
              <w:top w:val="single" w:color="auto" w:sz="4" w:space="0"/>
              <w:left w:val="single" w:color="000000" w:sz="4" w:space="0"/>
              <w:bottom w:val="single" w:color="auto" w:sz="4" w:space="0"/>
              <w:right w:val="single" w:color="000000" w:sz="4" w:space="0"/>
            </w:tcBorders>
            <w:vAlign w:val="center"/>
          </w:tcPr>
          <w:p>
            <w:pPr>
              <w:jc w:val="center"/>
              <w:rPr>
                <w:szCs w:val="21"/>
              </w:rPr>
            </w:pPr>
            <w:r>
              <w:rPr>
                <w:rFonts w:hint="eastAsia"/>
                <w:szCs w:val="21"/>
              </w:rPr>
              <w:t xml:space="preserve"> 30</w:t>
            </w:r>
            <w:r>
              <w:rPr>
                <w:szCs w:val="21"/>
              </w:rPr>
              <w:t>mg/</w:t>
            </w:r>
            <w:r>
              <w:rPr>
                <w:rFonts w:hint="eastAsia"/>
                <w:szCs w:val="21"/>
              </w:rPr>
              <w:t>L，0.00</w:t>
            </w:r>
            <w:r>
              <w:rPr>
                <w:rFonts w:hint="eastAsia"/>
                <w:szCs w:val="21"/>
                <w:lang w:val="en-US" w:eastAsia="zh-CN"/>
              </w:rPr>
              <w:t>98</w:t>
            </w:r>
            <w:r>
              <w:rPr>
                <w:szCs w:val="21"/>
              </w:rPr>
              <w:t>t/a</w:t>
            </w:r>
          </w:p>
        </w:tc>
        <w:tc>
          <w:tcPr>
            <w:tcW w:w="1998" w:type="dxa"/>
            <w:tcBorders>
              <w:top w:val="single" w:color="auto" w:sz="4" w:space="0"/>
              <w:left w:val="single" w:color="000000" w:sz="4" w:space="0"/>
              <w:bottom w:val="single" w:color="auto" w:sz="4" w:space="0"/>
            </w:tcBorders>
            <w:vAlign w:val="center"/>
          </w:tcPr>
          <w:p>
            <w:pPr>
              <w:rPr>
                <w:szCs w:val="21"/>
              </w:rPr>
            </w:pPr>
            <w:r>
              <w:rPr>
                <w:rFonts w:hint="eastAsia"/>
                <w:szCs w:val="21"/>
              </w:rPr>
              <w:t xml:space="preserve">       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vMerge w:val="continue"/>
            <w:tcBorders>
              <w:right w:val="single" w:color="000000" w:sz="4" w:space="0"/>
            </w:tcBorders>
            <w:vAlign w:val="center"/>
          </w:tcPr>
          <w:p>
            <w:pPr>
              <w:spacing w:line="360" w:lineRule="auto"/>
              <w:jc w:val="center"/>
            </w:pPr>
          </w:p>
        </w:tc>
        <w:tc>
          <w:tcPr>
            <w:tcW w:w="1506" w:type="dxa"/>
            <w:tcBorders>
              <w:left w:val="single" w:color="000000" w:sz="4" w:space="0"/>
              <w:right w:val="single" w:color="000000" w:sz="4" w:space="0"/>
            </w:tcBorders>
            <w:vAlign w:val="center"/>
          </w:tcPr>
          <w:p>
            <w:pPr>
              <w:jc w:val="center"/>
              <w:rPr>
                <w:szCs w:val="21"/>
              </w:rPr>
            </w:pPr>
            <w:r>
              <w:rPr>
                <w:rFonts w:hint="eastAsia"/>
                <w:szCs w:val="21"/>
              </w:rPr>
              <w:t>SS</w:t>
            </w:r>
          </w:p>
        </w:tc>
        <w:tc>
          <w:tcPr>
            <w:tcW w:w="2537" w:type="dxa"/>
            <w:tcBorders>
              <w:top w:val="single" w:color="auto" w:sz="4" w:space="0"/>
              <w:left w:val="single" w:color="000000" w:sz="4" w:space="0"/>
              <w:right w:val="single" w:color="000000" w:sz="4" w:space="0"/>
            </w:tcBorders>
            <w:vAlign w:val="center"/>
          </w:tcPr>
          <w:p>
            <w:pPr>
              <w:jc w:val="center"/>
              <w:rPr>
                <w:szCs w:val="21"/>
              </w:rPr>
            </w:pPr>
            <w:r>
              <w:rPr>
                <w:rFonts w:hint="eastAsia"/>
                <w:szCs w:val="21"/>
              </w:rPr>
              <w:t>150</w:t>
            </w:r>
            <w:r>
              <w:rPr>
                <w:rFonts w:eastAsia="Batang"/>
                <w:szCs w:val="21"/>
              </w:rPr>
              <w:t>mg/L</w:t>
            </w:r>
            <w:r>
              <w:rPr>
                <w:rFonts w:hint="eastAsia"/>
                <w:szCs w:val="21"/>
              </w:rPr>
              <w:t>，0.0</w:t>
            </w:r>
            <w:r>
              <w:rPr>
                <w:rFonts w:hint="eastAsia"/>
                <w:szCs w:val="21"/>
                <w:lang w:val="en-US" w:eastAsia="zh-CN"/>
              </w:rPr>
              <w:t>5</w:t>
            </w:r>
            <w:r>
              <w:rPr>
                <w:szCs w:val="21"/>
              </w:rPr>
              <w:t>t/a</w:t>
            </w:r>
          </w:p>
        </w:tc>
        <w:tc>
          <w:tcPr>
            <w:tcW w:w="1998" w:type="dxa"/>
            <w:tcBorders>
              <w:top w:val="single" w:color="auto" w:sz="4" w:space="0"/>
              <w:left w:val="single" w:color="000000" w:sz="4" w:space="0"/>
            </w:tcBorders>
            <w:vAlign w:val="center"/>
          </w:tcPr>
          <w:p>
            <w:pPr>
              <w:jc w:val="center"/>
              <w:rPr>
                <w:szCs w:val="21"/>
              </w:rPr>
            </w:pPr>
            <w:r>
              <w:rPr>
                <w:rFonts w:hint="eastAsia"/>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447" w:type="dxa"/>
            <w:vMerge w:val="continue"/>
            <w:vAlign w:val="center"/>
          </w:tcPr>
          <w:p>
            <w:pPr>
              <w:jc w:val="center"/>
              <w:rPr>
                <w:color w:val="FF0000"/>
                <w:szCs w:val="21"/>
              </w:rPr>
            </w:pPr>
            <w:bookmarkStart w:id="23" w:name="OLE_LINK21" w:colFirst="3" w:colLast="3"/>
          </w:p>
        </w:tc>
        <w:tc>
          <w:tcPr>
            <w:tcW w:w="934" w:type="dxa"/>
            <w:vMerge w:val="restart"/>
            <w:tcBorders>
              <w:top w:val="single" w:color="auto" w:sz="4" w:space="0"/>
            </w:tcBorders>
            <w:vAlign w:val="center"/>
          </w:tcPr>
          <w:p>
            <w:pPr>
              <w:spacing w:line="360" w:lineRule="auto"/>
              <w:jc w:val="center"/>
              <w:rPr>
                <w:szCs w:val="21"/>
              </w:rPr>
            </w:pPr>
            <w:r>
              <w:rPr>
                <w:rFonts w:hint="eastAsia"/>
                <w:szCs w:val="21"/>
              </w:rPr>
              <w:t>固体</w:t>
            </w:r>
          </w:p>
          <w:p>
            <w:pPr>
              <w:spacing w:line="360" w:lineRule="auto"/>
              <w:jc w:val="center"/>
              <w:rPr>
                <w:szCs w:val="21"/>
              </w:rPr>
            </w:pPr>
            <w:r>
              <w:rPr>
                <w:rFonts w:hint="eastAsia"/>
                <w:szCs w:val="21"/>
              </w:rPr>
              <w:t>废物</w:t>
            </w:r>
          </w:p>
        </w:tc>
        <w:tc>
          <w:tcPr>
            <w:tcW w:w="1084" w:type="dxa"/>
            <w:vMerge w:val="restart"/>
            <w:tcBorders>
              <w:right w:val="single" w:color="000000" w:sz="4" w:space="0"/>
            </w:tcBorders>
            <w:vAlign w:val="center"/>
          </w:tcPr>
          <w:p>
            <w:pPr>
              <w:spacing w:line="360" w:lineRule="auto"/>
              <w:jc w:val="center"/>
            </w:pPr>
            <w:r>
              <w:rPr>
                <w:rFonts w:hint="eastAsia"/>
              </w:rPr>
              <w:t>沉淀池泥沙</w:t>
            </w:r>
          </w:p>
        </w:tc>
        <w:tc>
          <w:tcPr>
            <w:tcW w:w="1506" w:type="dxa"/>
            <w:tcBorders>
              <w:left w:val="single" w:color="000000" w:sz="4" w:space="0"/>
              <w:right w:val="single" w:color="000000" w:sz="4" w:space="0"/>
            </w:tcBorders>
            <w:vAlign w:val="center"/>
          </w:tcPr>
          <w:p>
            <w:pPr>
              <w:jc w:val="center"/>
            </w:pPr>
            <w:r>
              <w:rPr>
                <w:rFonts w:hint="eastAsia"/>
              </w:rPr>
              <w:t>洗砂泥沙</w:t>
            </w:r>
          </w:p>
        </w:tc>
        <w:tc>
          <w:tcPr>
            <w:tcW w:w="2537" w:type="dxa"/>
            <w:tcBorders>
              <w:left w:val="single" w:color="000000" w:sz="4" w:space="0"/>
              <w:right w:val="single" w:color="000000" w:sz="4" w:space="0"/>
            </w:tcBorders>
            <w:vAlign w:val="center"/>
          </w:tcPr>
          <w:p>
            <w:pPr>
              <w:spacing w:line="360" w:lineRule="auto"/>
              <w:jc w:val="center"/>
            </w:pPr>
            <w:r>
              <w:rPr>
                <w:rFonts w:hint="eastAsia"/>
                <w:lang w:val="en-US" w:eastAsia="zh-CN"/>
              </w:rPr>
              <w:t>21000</w:t>
            </w:r>
            <w:r>
              <w:rPr>
                <w:rFonts w:hint="eastAsia"/>
              </w:rPr>
              <w:t>t/a</w:t>
            </w:r>
          </w:p>
        </w:tc>
        <w:tc>
          <w:tcPr>
            <w:tcW w:w="1998" w:type="dxa"/>
            <w:tcBorders>
              <w:left w:val="single" w:color="000000" w:sz="4" w:space="0"/>
            </w:tcBorders>
            <w:vAlign w:val="center"/>
          </w:tcPr>
          <w:p>
            <w:pPr>
              <w:spacing w:line="360" w:lineRule="auto"/>
              <w:jc w:val="center"/>
            </w:pPr>
            <w:r>
              <w:rPr>
                <w:rFonts w:hint="eastAsia"/>
                <w:szCs w:val="21"/>
              </w:rPr>
              <w:t>0收集后出售</w:t>
            </w:r>
          </w:p>
        </w:tc>
      </w:tr>
      <w:bookmarkEnd w:id="23"/>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vMerge w:val="continue"/>
            <w:tcBorders>
              <w:right w:val="single" w:color="000000" w:sz="4" w:space="0"/>
            </w:tcBorders>
            <w:vAlign w:val="center"/>
          </w:tcPr>
          <w:p>
            <w:pPr>
              <w:spacing w:line="360" w:lineRule="auto"/>
              <w:jc w:val="center"/>
            </w:pPr>
          </w:p>
        </w:tc>
        <w:tc>
          <w:tcPr>
            <w:tcW w:w="1506" w:type="dxa"/>
            <w:tcBorders>
              <w:left w:val="single" w:color="000000" w:sz="4" w:space="0"/>
              <w:right w:val="single" w:color="000000" w:sz="4" w:space="0"/>
            </w:tcBorders>
            <w:vAlign w:val="center"/>
          </w:tcPr>
          <w:p>
            <w:pPr>
              <w:spacing w:line="360" w:lineRule="auto"/>
              <w:jc w:val="center"/>
            </w:pPr>
            <w:r>
              <w:rPr>
                <w:rFonts w:hint="eastAsia"/>
                <w:szCs w:val="21"/>
              </w:rPr>
              <w:t>破碎筛分粉尘</w:t>
            </w:r>
          </w:p>
        </w:tc>
        <w:tc>
          <w:tcPr>
            <w:tcW w:w="2537" w:type="dxa"/>
            <w:tcBorders>
              <w:left w:val="single" w:color="000000" w:sz="4" w:space="0"/>
              <w:right w:val="single" w:color="000000" w:sz="4" w:space="0"/>
            </w:tcBorders>
            <w:vAlign w:val="center"/>
          </w:tcPr>
          <w:p>
            <w:pPr>
              <w:spacing w:line="360" w:lineRule="auto"/>
              <w:jc w:val="center"/>
            </w:pPr>
            <w:r>
              <w:rPr>
                <w:rFonts w:hint="eastAsia"/>
              </w:rPr>
              <w:t>1.4t/a</w:t>
            </w:r>
          </w:p>
        </w:tc>
        <w:tc>
          <w:tcPr>
            <w:tcW w:w="1998" w:type="dxa"/>
            <w:tcBorders>
              <w:left w:val="single" w:color="000000" w:sz="4" w:space="0"/>
            </w:tcBorders>
            <w:vAlign w:val="center"/>
          </w:tcPr>
          <w:p>
            <w:pPr>
              <w:jc w:val="center"/>
            </w:pPr>
            <w:r>
              <w:rPr>
                <w:rFonts w:hint="eastAsia"/>
                <w:szCs w:val="21"/>
              </w:rPr>
              <w:t>0收集后出售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tcBorders>
              <w:right w:val="single" w:color="000000" w:sz="4" w:space="0"/>
            </w:tcBorders>
            <w:vAlign w:val="center"/>
          </w:tcPr>
          <w:p>
            <w:pPr>
              <w:spacing w:line="360" w:lineRule="auto"/>
              <w:jc w:val="center"/>
            </w:pPr>
            <w:r>
              <w:rPr>
                <w:rFonts w:hint="eastAsia"/>
              </w:rPr>
              <w:t>员工生活</w:t>
            </w:r>
          </w:p>
        </w:tc>
        <w:tc>
          <w:tcPr>
            <w:tcW w:w="1506" w:type="dxa"/>
            <w:tcBorders>
              <w:left w:val="single" w:color="000000" w:sz="4" w:space="0"/>
              <w:right w:val="single" w:color="000000" w:sz="4" w:space="0"/>
            </w:tcBorders>
            <w:vAlign w:val="center"/>
          </w:tcPr>
          <w:p>
            <w:pPr>
              <w:spacing w:line="360" w:lineRule="auto"/>
              <w:jc w:val="center"/>
            </w:pPr>
            <w:r>
              <w:rPr>
                <w:rFonts w:hint="eastAsia"/>
              </w:rPr>
              <w:t>生活垃圾</w:t>
            </w:r>
          </w:p>
        </w:tc>
        <w:tc>
          <w:tcPr>
            <w:tcW w:w="2537" w:type="dxa"/>
            <w:tcBorders>
              <w:left w:val="single" w:color="000000" w:sz="4" w:space="0"/>
              <w:right w:val="single" w:color="000000" w:sz="4" w:space="0"/>
            </w:tcBorders>
            <w:vAlign w:val="center"/>
          </w:tcPr>
          <w:p>
            <w:pPr>
              <w:spacing w:line="360" w:lineRule="auto"/>
              <w:jc w:val="center"/>
            </w:pPr>
            <w:r>
              <w:rPr>
                <w:rFonts w:hint="eastAsia"/>
              </w:rPr>
              <w:t>1.5t/a</w:t>
            </w:r>
          </w:p>
        </w:tc>
        <w:tc>
          <w:tcPr>
            <w:tcW w:w="1998" w:type="dxa"/>
            <w:tcBorders>
              <w:left w:val="single" w:color="000000" w:sz="4" w:space="0"/>
            </w:tcBorders>
            <w:vAlign w:val="center"/>
          </w:tcPr>
          <w:p>
            <w:pPr>
              <w:jc w:val="center"/>
              <w:rPr>
                <w:rFonts w:hAnsi="宋体"/>
                <w:szCs w:val="21"/>
              </w:rPr>
            </w:pPr>
            <w:r>
              <w:rPr>
                <w:rFonts w:hint="eastAsia"/>
              </w:rPr>
              <w:t>0（运至生活垃圾处理中心）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447" w:type="dxa"/>
            <w:vMerge w:val="continue"/>
            <w:vAlign w:val="center"/>
          </w:tcPr>
          <w:p>
            <w:pPr>
              <w:jc w:val="center"/>
              <w:rPr>
                <w:color w:val="FF0000"/>
                <w:szCs w:val="21"/>
              </w:rPr>
            </w:pPr>
          </w:p>
        </w:tc>
        <w:tc>
          <w:tcPr>
            <w:tcW w:w="934" w:type="dxa"/>
            <w:vMerge w:val="continue"/>
            <w:vAlign w:val="center"/>
          </w:tcPr>
          <w:p>
            <w:pPr>
              <w:spacing w:line="360" w:lineRule="auto"/>
              <w:jc w:val="center"/>
              <w:rPr>
                <w:szCs w:val="21"/>
              </w:rPr>
            </w:pPr>
          </w:p>
        </w:tc>
        <w:tc>
          <w:tcPr>
            <w:tcW w:w="1084" w:type="dxa"/>
            <w:tcBorders>
              <w:right w:val="single" w:color="000000" w:sz="4" w:space="0"/>
            </w:tcBorders>
            <w:vAlign w:val="center"/>
          </w:tcPr>
          <w:p>
            <w:pPr>
              <w:spacing w:line="360" w:lineRule="auto"/>
              <w:jc w:val="center"/>
            </w:pPr>
            <w:r>
              <w:rPr>
                <w:rFonts w:hint="eastAsia"/>
              </w:rPr>
              <w:t>维修</w:t>
            </w:r>
          </w:p>
        </w:tc>
        <w:tc>
          <w:tcPr>
            <w:tcW w:w="1506" w:type="dxa"/>
            <w:tcBorders>
              <w:left w:val="single" w:color="000000" w:sz="4" w:space="0"/>
              <w:right w:val="single" w:color="000000" w:sz="4" w:space="0"/>
            </w:tcBorders>
            <w:vAlign w:val="center"/>
          </w:tcPr>
          <w:p>
            <w:pPr>
              <w:spacing w:line="360" w:lineRule="auto"/>
              <w:jc w:val="center"/>
            </w:pPr>
            <w:r>
              <w:rPr>
                <w:rFonts w:hint="eastAsia"/>
              </w:rPr>
              <w:t>废机油抹布</w:t>
            </w:r>
          </w:p>
        </w:tc>
        <w:tc>
          <w:tcPr>
            <w:tcW w:w="2537" w:type="dxa"/>
            <w:tcBorders>
              <w:left w:val="single" w:color="000000" w:sz="4" w:space="0"/>
              <w:right w:val="single" w:color="000000" w:sz="4" w:space="0"/>
            </w:tcBorders>
            <w:vAlign w:val="center"/>
          </w:tcPr>
          <w:p>
            <w:pPr>
              <w:spacing w:line="360" w:lineRule="auto"/>
              <w:jc w:val="center"/>
              <w:rPr>
                <w:szCs w:val="22"/>
              </w:rPr>
            </w:pPr>
            <w:r>
              <w:rPr>
                <w:rFonts w:hint="eastAsia"/>
                <w:szCs w:val="22"/>
              </w:rPr>
              <w:t>0.005t/a</w:t>
            </w:r>
          </w:p>
        </w:tc>
        <w:tc>
          <w:tcPr>
            <w:tcW w:w="1998" w:type="dxa"/>
            <w:tcBorders>
              <w:left w:val="single" w:color="000000" w:sz="4" w:space="0"/>
            </w:tcBorders>
            <w:vAlign w:val="center"/>
          </w:tcPr>
          <w:p>
            <w:pPr>
              <w:spacing w:line="360" w:lineRule="auto"/>
              <w:jc w:val="center"/>
              <w:rPr>
                <w:szCs w:val="22"/>
              </w:rPr>
            </w:pPr>
            <w:r>
              <w:rPr>
                <w:rFonts w:hint="eastAsia"/>
                <w:szCs w:val="22"/>
              </w:rPr>
              <w:t>0与生活垃圾一起交由环卫部门清运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447" w:type="dxa"/>
            <w:vMerge w:val="continue"/>
            <w:vAlign w:val="center"/>
          </w:tcPr>
          <w:p>
            <w:pPr>
              <w:jc w:val="center"/>
              <w:rPr>
                <w:color w:val="FF0000"/>
                <w:szCs w:val="21"/>
              </w:rPr>
            </w:pPr>
          </w:p>
        </w:tc>
        <w:tc>
          <w:tcPr>
            <w:tcW w:w="934" w:type="dxa"/>
            <w:tcBorders>
              <w:top w:val="single" w:color="auto" w:sz="4" w:space="0"/>
            </w:tcBorders>
            <w:vAlign w:val="center"/>
          </w:tcPr>
          <w:p>
            <w:pPr>
              <w:spacing w:line="360" w:lineRule="auto"/>
              <w:jc w:val="center"/>
              <w:rPr>
                <w:szCs w:val="21"/>
              </w:rPr>
            </w:pPr>
            <w:r>
              <w:rPr>
                <w:szCs w:val="21"/>
              </w:rPr>
              <w:t>噪声</w:t>
            </w:r>
          </w:p>
        </w:tc>
        <w:tc>
          <w:tcPr>
            <w:tcW w:w="7125" w:type="dxa"/>
            <w:gridSpan w:val="4"/>
            <w:vAlign w:val="center"/>
          </w:tcPr>
          <w:p>
            <w:pPr>
              <w:pStyle w:val="27"/>
              <w:widowControl/>
              <w:overflowPunct/>
              <w:autoSpaceDE/>
              <w:autoSpaceDN/>
              <w:adjustRightInd/>
              <w:ind w:firstLine="420"/>
              <w:jc w:val="left"/>
              <w:rPr>
                <w:sz w:val="21"/>
                <w:szCs w:val="21"/>
              </w:rPr>
            </w:pPr>
            <w:r>
              <w:rPr>
                <w:sz w:val="21"/>
                <w:szCs w:val="21"/>
              </w:rPr>
              <w:t>运营期</w:t>
            </w:r>
            <w:r>
              <w:rPr>
                <w:rFonts w:hint="eastAsia"/>
                <w:sz w:val="21"/>
                <w:szCs w:val="21"/>
              </w:rPr>
              <w:t>厂区设备噪声</w:t>
            </w:r>
            <w:r>
              <w:rPr>
                <w:sz w:val="21"/>
                <w:szCs w:val="21"/>
              </w:rPr>
              <w:t>7</w:t>
            </w:r>
            <w:r>
              <w:rPr>
                <w:rFonts w:hint="eastAsia"/>
                <w:sz w:val="21"/>
                <w:szCs w:val="21"/>
              </w:rPr>
              <w:t>0</w:t>
            </w:r>
            <w:r>
              <w:rPr>
                <w:sz w:val="21"/>
                <w:szCs w:val="21"/>
              </w:rPr>
              <w:t>～</w:t>
            </w:r>
            <w:r>
              <w:rPr>
                <w:rFonts w:hint="eastAsia"/>
                <w:sz w:val="21"/>
                <w:szCs w:val="21"/>
              </w:rPr>
              <w:t>95</w:t>
            </w:r>
            <w:r>
              <w:rPr>
                <w:sz w:val="21"/>
                <w:szCs w:val="21"/>
              </w:rPr>
              <w:t>dB（A），经</w:t>
            </w:r>
            <w:r>
              <w:rPr>
                <w:rFonts w:hint="eastAsia"/>
                <w:sz w:val="21"/>
                <w:szCs w:val="21"/>
              </w:rPr>
              <w:t>隔声减振等</w:t>
            </w:r>
            <w:r>
              <w:rPr>
                <w:sz w:val="21"/>
                <w:szCs w:val="21"/>
              </w:rPr>
              <w:t>环保措施治理，并通过禁止汽车鸣笛，大声喧哗，设置警示标语</w:t>
            </w:r>
            <w:r>
              <w:rPr>
                <w:rFonts w:hint="eastAsia"/>
                <w:sz w:val="21"/>
                <w:szCs w:val="21"/>
              </w:rPr>
              <w:t>，采用低噪音设备</w:t>
            </w:r>
            <w:r>
              <w:rPr>
                <w:sz w:val="21"/>
                <w:szCs w:val="21"/>
              </w:rPr>
              <w:t>等措施，项目边界噪声可达到</w:t>
            </w:r>
            <w:r>
              <w:rPr>
                <w:rFonts w:hint="eastAsia"/>
                <w:sz w:val="21"/>
                <w:szCs w:val="21"/>
              </w:rPr>
              <w:t>《工业企业厂界环境噪声排放标准》（GB12348-2008）2类标准。</w:t>
            </w:r>
            <w:r>
              <w:rPr>
                <w:rFonts w:hint="eastAsia"/>
                <w:kern w:val="2"/>
                <w:sz w:val="21"/>
                <w:szCs w:val="21"/>
              </w:rPr>
              <w:t>项目建成后，路面得到恢复与平整，加强了道路两侧绿化，在车流量及行车速度不变的情况下，机动车辆采取</w:t>
            </w:r>
            <w:r>
              <w:rPr>
                <w:sz w:val="21"/>
                <w:szCs w:val="21"/>
              </w:rPr>
              <w:t>装有消声器和符合规定的喇叭，并保持性能良好</w:t>
            </w:r>
            <w:r>
              <w:rPr>
                <w:rFonts w:hint="eastAsia"/>
                <w:kern w:val="2"/>
                <w:sz w:val="21"/>
                <w:szCs w:val="21"/>
              </w:rPr>
              <w:t>。通过加强道路的管理维护，声环境质量可达《</w:t>
            </w:r>
            <w:r>
              <w:rPr>
                <w:rFonts w:hAnsi="宋体"/>
                <w:sz w:val="21"/>
                <w:szCs w:val="21"/>
              </w:rPr>
              <w:t>声环境质量标准</w:t>
            </w:r>
            <w:r>
              <w:rPr>
                <w:rFonts w:hint="eastAsia"/>
                <w:sz w:val="21"/>
                <w:szCs w:val="21"/>
              </w:rPr>
              <w:t>》（</w:t>
            </w:r>
            <w:r>
              <w:rPr>
                <w:sz w:val="21"/>
                <w:szCs w:val="21"/>
              </w:rPr>
              <w:t>GB3096-</w:t>
            </w:r>
            <w:r>
              <w:rPr>
                <w:rFonts w:hint="eastAsia"/>
                <w:sz w:val="21"/>
                <w:szCs w:val="21"/>
              </w:rPr>
              <w:t>2008）</w:t>
            </w:r>
            <w:r>
              <w:rPr>
                <w:rFonts w:hint="eastAsia"/>
                <w:kern w:val="2"/>
                <w:sz w:val="21"/>
                <w:szCs w:val="21"/>
              </w:rPr>
              <w:t>中2类标准。因此</w:t>
            </w:r>
            <w:r>
              <w:rPr>
                <w:kern w:val="2"/>
                <w:sz w:val="21"/>
                <w:szCs w:val="21"/>
              </w:rPr>
              <w:t>，本项目运营期</w:t>
            </w:r>
            <w:r>
              <w:rPr>
                <w:rFonts w:hint="eastAsia"/>
                <w:kern w:val="2"/>
                <w:sz w:val="21"/>
                <w:szCs w:val="21"/>
              </w:rPr>
              <w:t>不会</w:t>
            </w:r>
            <w:r>
              <w:rPr>
                <w:kern w:val="2"/>
                <w:sz w:val="21"/>
                <w:szCs w:val="21"/>
              </w:rPr>
              <w:t>对沿线</w:t>
            </w:r>
            <w:r>
              <w:rPr>
                <w:rFonts w:hint="eastAsia"/>
                <w:kern w:val="2"/>
                <w:sz w:val="21"/>
                <w:szCs w:val="21"/>
              </w:rPr>
              <w:t>敏感点产生较</w:t>
            </w:r>
            <w:r>
              <w:rPr>
                <w:rFonts w:hint="eastAsia"/>
                <w:sz w:val="21"/>
                <w:szCs w:val="21"/>
              </w:rPr>
              <w:t>大影响。</w:t>
            </w:r>
          </w:p>
          <w:p>
            <w:pPr>
              <w:spacing w:line="360" w:lineRule="auto"/>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381" w:type="dxa"/>
            <w:gridSpan w:val="2"/>
            <w:vAlign w:val="center"/>
          </w:tcPr>
          <w:p>
            <w:pPr>
              <w:adjustRightInd w:val="0"/>
              <w:snapToGrid w:val="0"/>
              <w:jc w:val="center"/>
              <w:rPr>
                <w:szCs w:val="21"/>
              </w:rPr>
            </w:pPr>
            <w:r>
              <w:rPr>
                <w:szCs w:val="21"/>
              </w:rPr>
              <w:t>其他</w:t>
            </w:r>
          </w:p>
        </w:tc>
        <w:tc>
          <w:tcPr>
            <w:tcW w:w="7125" w:type="dxa"/>
            <w:gridSpan w:val="4"/>
            <w:vAlign w:val="center"/>
          </w:tcPr>
          <w:p>
            <w:pPr>
              <w:adjustRightInd w:val="0"/>
              <w:snapToGrid w:val="0"/>
              <w:jc w:val="center"/>
              <w:rPr>
                <w:kern w:val="0"/>
                <w:szCs w:val="21"/>
              </w:rPr>
            </w:pPr>
            <w:r>
              <w:rPr>
                <w:kern w:val="0"/>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8506" w:type="dxa"/>
            <w:gridSpan w:val="6"/>
            <w:vAlign w:val="center"/>
          </w:tcPr>
          <w:p>
            <w:pPr>
              <w:spacing w:line="360" w:lineRule="auto"/>
              <w:jc w:val="left"/>
              <w:rPr>
                <w:b/>
                <w:szCs w:val="21"/>
              </w:rPr>
            </w:pPr>
            <w:r>
              <w:rPr>
                <w:b/>
                <w:szCs w:val="21"/>
              </w:rPr>
              <w:t>主要生态影响：</w:t>
            </w:r>
          </w:p>
          <w:p>
            <w:pPr>
              <w:spacing w:line="360" w:lineRule="auto"/>
              <w:ind w:firstLine="435"/>
              <w:rPr>
                <w:color w:val="FF0000"/>
                <w:szCs w:val="21"/>
              </w:rPr>
            </w:pPr>
            <w:r>
              <w:rPr>
                <w:rFonts w:hint="eastAsia"/>
                <w:szCs w:val="21"/>
              </w:rPr>
              <w:t>经调查，本项且区域未见珍稀野生动植物及国家法定保护的野生动植物，不涉及自然保护区、风名胜区区，不在生态保护红线内。本项且场地为租赁场地，厂区内部分厂房及办公楼已建，地面已得到硬化。项目建设期及营运期对生态环境影响较小，项且建设破坏的植被可通过绿化等措施补偿。</w:t>
            </w:r>
          </w:p>
        </w:tc>
      </w:tr>
    </w:tbl>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color w:val="FF0000"/>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r>
        <w:rPr>
          <w:rFonts w:hint="eastAsia" w:ascii="宋体" w:hAnsi="宋体" w:cs="宋体"/>
          <w:b/>
          <w:bCs/>
          <w:sz w:val="28"/>
          <w:szCs w:val="28"/>
        </w:rPr>
        <w:t>表七、环境影响分析</w:t>
      </w:r>
    </w:p>
    <w:tbl>
      <w:tblPr>
        <w:tblStyle w:val="28"/>
        <w:tblW w:w="8603"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60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72" w:hRule="atLeast"/>
          <w:jc w:val="center"/>
        </w:trPr>
        <w:tc>
          <w:tcPr>
            <w:tcW w:w="8603" w:type="dxa"/>
          </w:tcPr>
          <w:p>
            <w:pPr>
              <w:spacing w:line="360" w:lineRule="auto"/>
              <w:rPr>
                <w:b/>
                <w:sz w:val="28"/>
                <w:szCs w:val="28"/>
              </w:rPr>
            </w:pPr>
            <w:r>
              <w:rPr>
                <w:rFonts w:hint="eastAsia"/>
                <w:b/>
                <w:sz w:val="28"/>
                <w:szCs w:val="28"/>
              </w:rPr>
              <w:t>施工期环境影响分析：</w:t>
            </w:r>
          </w:p>
          <w:p>
            <w:pPr>
              <w:pStyle w:val="27"/>
              <w:spacing w:after="0"/>
              <w:ind w:firstLine="480" w:firstLineChars="200"/>
              <w:rPr>
                <w:sz w:val="24"/>
                <w:szCs w:val="20"/>
              </w:rPr>
            </w:pPr>
            <w:r>
              <w:rPr>
                <w:sz w:val="24"/>
                <w:szCs w:val="20"/>
              </w:rPr>
              <w:t>本项目为</w:t>
            </w:r>
            <w:r>
              <w:rPr>
                <w:rFonts w:hint="eastAsia"/>
                <w:sz w:val="24"/>
                <w:szCs w:val="20"/>
              </w:rPr>
              <w:t>新建</w:t>
            </w:r>
            <w:r>
              <w:rPr>
                <w:sz w:val="24"/>
                <w:szCs w:val="20"/>
              </w:rPr>
              <w:t>项目，</w:t>
            </w:r>
            <w:r>
              <w:rPr>
                <w:rFonts w:hint="eastAsia" w:ascii="宋体" w:hAnsi="宋体"/>
                <w:sz w:val="24"/>
                <w:szCs w:val="20"/>
              </w:rPr>
              <w:t>项目施工主要为生产区设备安装及成品堆场建设开挖</w:t>
            </w:r>
            <w:r>
              <w:rPr>
                <w:sz w:val="24"/>
                <w:szCs w:val="20"/>
              </w:rPr>
              <w:t>项目施工的工程量较小</w:t>
            </w:r>
            <w:r>
              <w:rPr>
                <w:rFonts w:hint="eastAsia"/>
                <w:sz w:val="24"/>
                <w:szCs w:val="20"/>
              </w:rPr>
              <w:t>，项目施工时间短</w:t>
            </w:r>
            <w:r>
              <w:rPr>
                <w:sz w:val="24"/>
                <w:szCs w:val="20"/>
              </w:rPr>
              <w:t>，且无须土地平整，基本无渣土外运，</w:t>
            </w:r>
            <w:r>
              <w:rPr>
                <w:rFonts w:hAnsi="宋体"/>
                <w:sz w:val="24"/>
                <w:szCs w:val="20"/>
              </w:rPr>
              <w:t>施工过程中产生的废水、废气、噪声对环境影响较小。</w:t>
            </w:r>
          </w:p>
          <w:p>
            <w:pPr>
              <w:spacing w:line="360" w:lineRule="auto"/>
              <w:ind w:firstLine="482" w:firstLineChars="200"/>
              <w:rPr>
                <w:b/>
                <w:bCs/>
                <w:sz w:val="24"/>
              </w:rPr>
            </w:pPr>
            <w:r>
              <w:rPr>
                <w:b/>
                <w:bCs/>
                <w:sz w:val="24"/>
              </w:rPr>
              <w:t>1.</w:t>
            </w:r>
            <w:r>
              <w:rPr>
                <w:rFonts w:hint="eastAsia" w:hAnsi="宋体"/>
                <w:b/>
                <w:bCs/>
                <w:sz w:val="24"/>
              </w:rPr>
              <w:t>施工期大气环境影响分析</w:t>
            </w:r>
          </w:p>
          <w:p>
            <w:pPr>
              <w:autoSpaceDE w:val="0"/>
              <w:autoSpaceDN w:val="0"/>
              <w:spacing w:line="360" w:lineRule="auto"/>
              <w:ind w:firstLine="480" w:firstLineChars="200"/>
              <w:rPr>
                <w:sz w:val="24"/>
              </w:rPr>
            </w:pPr>
            <w:r>
              <w:rPr>
                <w:rFonts w:hint="eastAsia"/>
                <w:sz w:val="24"/>
              </w:rPr>
              <w:t>本项目施工期对大气的污染主要表现在建筑材料运输过程中产生的施工粉尘和装修阶段产生的油漆废气。项目施工期大气环境影响主要考虑物料运输过程中车辆在裸露地表上行驶时带起的扬尘对沿线区域环境的影响。</w:t>
            </w:r>
          </w:p>
          <w:p>
            <w:pPr>
              <w:autoSpaceDE w:val="0"/>
              <w:autoSpaceDN w:val="0"/>
              <w:spacing w:line="360" w:lineRule="auto"/>
              <w:ind w:firstLine="480" w:firstLineChars="200"/>
              <w:rPr>
                <w:kern w:val="0"/>
                <w:sz w:val="24"/>
              </w:rPr>
            </w:pPr>
            <w:r>
              <w:rPr>
                <w:rFonts w:hint="eastAsia"/>
                <w:kern w:val="0"/>
                <w:sz w:val="24"/>
              </w:rPr>
              <w:t>建设期间的大气污染因子建筑扬尘比重较大，沉降较快，影响范围一般较小，仅局限建设项目的周边地区，因此采取有效的控制措施减少施工扬尘，对减轻施工扬尘对周边居民，</w:t>
            </w:r>
            <w:r>
              <w:rPr>
                <w:rFonts w:hint="eastAsia"/>
                <w:sz w:val="24"/>
              </w:rPr>
              <w:t>本环评建议扬尘控制与治理措施如下：</w:t>
            </w:r>
          </w:p>
          <w:p>
            <w:pPr>
              <w:autoSpaceDE w:val="0"/>
              <w:autoSpaceDN w:val="0"/>
              <w:spacing w:line="360" w:lineRule="auto"/>
              <w:ind w:firstLine="480" w:firstLineChars="200"/>
              <w:rPr>
                <w:sz w:val="24"/>
              </w:rPr>
            </w:pPr>
            <w:r>
              <w:rPr>
                <w:rFonts w:hint="eastAsia"/>
                <w:sz w:val="24"/>
              </w:rPr>
              <w:t>（</w:t>
            </w:r>
            <w:r>
              <w:rPr>
                <w:sz w:val="24"/>
              </w:rPr>
              <w:t>1</w:t>
            </w:r>
            <w:r>
              <w:rPr>
                <w:rFonts w:hint="eastAsia"/>
                <w:sz w:val="24"/>
              </w:rPr>
              <w:t>）加强施工管理，必须注意文明施工，定时对施工场地特别是扬尘产生较多的区域洒水，尽量减少泥土带出现场，可减轻粉尘对周围大气环境的影响。</w:t>
            </w:r>
          </w:p>
          <w:p>
            <w:pPr>
              <w:autoSpaceDE w:val="0"/>
              <w:autoSpaceDN w:val="0"/>
              <w:spacing w:line="360" w:lineRule="auto"/>
              <w:ind w:firstLine="480" w:firstLineChars="200"/>
              <w:rPr>
                <w:sz w:val="24"/>
              </w:rPr>
            </w:pPr>
            <w:r>
              <w:rPr>
                <w:rFonts w:hint="eastAsia"/>
                <w:sz w:val="24"/>
              </w:rPr>
              <w:t>（</w:t>
            </w:r>
            <w:r>
              <w:rPr>
                <w:sz w:val="24"/>
              </w:rPr>
              <w:t>2</w:t>
            </w:r>
            <w:r>
              <w:rPr>
                <w:rFonts w:hint="eastAsia"/>
                <w:sz w:val="24"/>
              </w:rPr>
              <w:t>）施工工地内，水泥、灰土、砂石等易产生扬尘的物料堆放，应在其周围设置不低于堆放物高度的封闭性硬质围栏围挡，施工场地的水泥堆垛必须加盖蓬布。</w:t>
            </w:r>
          </w:p>
          <w:p>
            <w:pPr>
              <w:autoSpaceDE w:val="0"/>
              <w:autoSpaceDN w:val="0"/>
              <w:spacing w:line="360" w:lineRule="auto"/>
              <w:ind w:firstLine="480" w:firstLineChars="200"/>
              <w:rPr>
                <w:sz w:val="24"/>
              </w:rPr>
            </w:pPr>
            <w:r>
              <w:rPr>
                <w:rFonts w:hint="eastAsia"/>
                <w:sz w:val="24"/>
              </w:rPr>
              <w:t>（</w:t>
            </w:r>
            <w:r>
              <w:rPr>
                <w:sz w:val="24"/>
              </w:rPr>
              <w:t>3</w:t>
            </w:r>
            <w:r>
              <w:rPr>
                <w:rFonts w:hint="eastAsia"/>
                <w:sz w:val="24"/>
              </w:rPr>
              <w:t>）合理选择建筑材料的运输线路，易产生扬尘的散装物料、渣土和建筑垃圾的运输必须进行密闭式运输。</w:t>
            </w:r>
          </w:p>
          <w:p>
            <w:pPr>
              <w:autoSpaceDE w:val="0"/>
              <w:autoSpaceDN w:val="0"/>
              <w:spacing w:line="360" w:lineRule="auto"/>
              <w:ind w:firstLine="480" w:firstLineChars="200"/>
              <w:rPr>
                <w:sz w:val="24"/>
              </w:rPr>
            </w:pPr>
            <w:r>
              <w:rPr>
                <w:rFonts w:hint="eastAsia"/>
                <w:sz w:val="24"/>
              </w:rPr>
              <w:t>（</w:t>
            </w:r>
            <w:r>
              <w:rPr>
                <w:sz w:val="24"/>
              </w:rPr>
              <w:t>4</w:t>
            </w:r>
            <w:r>
              <w:rPr>
                <w:rFonts w:hint="eastAsia"/>
                <w:sz w:val="24"/>
              </w:rPr>
              <w:t>）运送粉状建筑材料采用渣土运输车或加盖蓬布运输车采用密闭化车辆运输；施工现场出入口处应设置保证车辆清洁措施的设施。进入扬尘控制区的车辆，必须保持轮胎、车身洁净。凡粘附尘土的车辆，应在第一时间内就近进入洗车场冲洗干净。运输途中不得泄漏、散落、飞扬物料。</w:t>
            </w:r>
          </w:p>
          <w:p>
            <w:pPr>
              <w:autoSpaceDE w:val="0"/>
              <w:autoSpaceDN w:val="0"/>
              <w:spacing w:line="360" w:lineRule="auto"/>
              <w:ind w:firstLine="480" w:firstLineChars="200"/>
              <w:rPr>
                <w:sz w:val="24"/>
              </w:rPr>
            </w:pPr>
            <w:r>
              <w:rPr>
                <w:rFonts w:hint="eastAsia"/>
                <w:sz w:val="24"/>
              </w:rPr>
              <w:t>（</w:t>
            </w:r>
            <w:r>
              <w:rPr>
                <w:sz w:val="24"/>
              </w:rPr>
              <w:t>5</w:t>
            </w:r>
            <w:r>
              <w:rPr>
                <w:rFonts w:hint="eastAsia"/>
                <w:sz w:val="24"/>
              </w:rPr>
              <w:t>）严格控制在施工现场拌制混凝土，选择购买商品混凝土和预拌混凝土。</w:t>
            </w:r>
          </w:p>
          <w:p>
            <w:pPr>
              <w:autoSpaceDE w:val="0"/>
              <w:autoSpaceDN w:val="0"/>
              <w:spacing w:line="360" w:lineRule="auto"/>
              <w:ind w:firstLine="480" w:firstLineChars="200"/>
              <w:rPr>
                <w:sz w:val="24"/>
              </w:rPr>
            </w:pPr>
            <w:r>
              <w:rPr>
                <w:rFonts w:hint="eastAsia"/>
                <w:sz w:val="24"/>
              </w:rPr>
              <w:t>（</w:t>
            </w:r>
            <w:r>
              <w:rPr>
                <w:sz w:val="24"/>
              </w:rPr>
              <w:t>6</w:t>
            </w:r>
            <w:r>
              <w:rPr>
                <w:rFonts w:hint="eastAsia"/>
                <w:sz w:val="24"/>
              </w:rPr>
              <w:t>）建筑垃圾、工程渣土在</w:t>
            </w:r>
            <w:r>
              <w:rPr>
                <w:sz w:val="24"/>
              </w:rPr>
              <w:t>48</w:t>
            </w:r>
            <w:r>
              <w:rPr>
                <w:rFonts w:hint="eastAsia"/>
                <w:sz w:val="24"/>
              </w:rPr>
              <w:t>小时内不能完成清运的，应当在施工工地内设置临时堆放场，临时堆放场应当采取围挡、覆盖等防尘措施。</w:t>
            </w:r>
          </w:p>
          <w:p>
            <w:pPr>
              <w:autoSpaceDE w:val="0"/>
              <w:autoSpaceDN w:val="0"/>
              <w:spacing w:line="360" w:lineRule="auto"/>
              <w:ind w:firstLine="480" w:firstLineChars="200"/>
              <w:rPr>
                <w:sz w:val="24"/>
              </w:rPr>
            </w:pPr>
            <w:r>
              <w:rPr>
                <w:rFonts w:hint="eastAsia"/>
                <w:sz w:val="24"/>
              </w:rPr>
              <w:t>通过采取以上洒水降尘、密闭运输等一系列治理措施，并尽可能缩短工期后，预计项目施工期扬尘产生量较小，对周围大气环境的影响较小。</w:t>
            </w:r>
          </w:p>
          <w:p>
            <w:pPr>
              <w:spacing w:line="360" w:lineRule="auto"/>
              <w:ind w:firstLine="482" w:firstLineChars="200"/>
              <w:rPr>
                <w:b/>
                <w:bCs/>
                <w:sz w:val="24"/>
              </w:rPr>
            </w:pPr>
          </w:p>
          <w:p>
            <w:pPr>
              <w:spacing w:line="360" w:lineRule="auto"/>
              <w:ind w:firstLine="482" w:firstLineChars="200"/>
              <w:rPr>
                <w:b/>
                <w:bCs/>
                <w:sz w:val="24"/>
              </w:rPr>
            </w:pPr>
            <w:r>
              <w:rPr>
                <w:b/>
                <w:bCs/>
                <w:sz w:val="24"/>
              </w:rPr>
              <w:t>2.</w:t>
            </w:r>
            <w:r>
              <w:rPr>
                <w:rFonts w:hint="eastAsia" w:hAnsi="宋体"/>
                <w:b/>
                <w:bCs/>
                <w:sz w:val="24"/>
              </w:rPr>
              <w:t>施工期水环境影响分析</w:t>
            </w:r>
          </w:p>
          <w:p>
            <w:pPr>
              <w:spacing w:line="360" w:lineRule="auto"/>
              <w:ind w:firstLine="480" w:firstLineChars="200"/>
              <w:rPr>
                <w:sz w:val="24"/>
                <w:szCs w:val="28"/>
              </w:rPr>
            </w:pPr>
            <w:r>
              <w:rPr>
                <w:rFonts w:hint="eastAsia"/>
                <w:sz w:val="24"/>
              </w:rPr>
              <w:t>施工期废水主要包括施工人员生活污水和施工废水</w:t>
            </w:r>
            <w:r>
              <w:rPr>
                <w:rFonts w:hint="eastAsia"/>
                <w:sz w:val="24"/>
                <w:szCs w:val="28"/>
              </w:rPr>
              <w:t>。</w:t>
            </w:r>
            <w:r>
              <w:rPr>
                <w:rFonts w:hint="eastAsia"/>
                <w:sz w:val="24"/>
              </w:rPr>
              <w:t>生活污水中污染物浓度为：</w:t>
            </w:r>
            <w:r>
              <w:rPr>
                <w:sz w:val="24"/>
                <w:szCs w:val="28"/>
              </w:rPr>
              <w:t>COD</w:t>
            </w:r>
            <w:r>
              <w:rPr>
                <w:sz w:val="24"/>
                <w:szCs w:val="28"/>
                <w:vertAlign w:val="subscript"/>
              </w:rPr>
              <w:t>cr</w:t>
            </w:r>
            <w:r>
              <w:rPr>
                <w:sz w:val="24"/>
                <w:szCs w:val="28"/>
              </w:rPr>
              <w:t xml:space="preserve"> 450mg/L</w:t>
            </w:r>
            <w:r>
              <w:rPr>
                <w:rFonts w:hint="eastAsia"/>
                <w:sz w:val="24"/>
                <w:szCs w:val="28"/>
              </w:rPr>
              <w:t>，</w:t>
            </w:r>
            <w:r>
              <w:rPr>
                <w:sz w:val="24"/>
                <w:szCs w:val="28"/>
              </w:rPr>
              <w:t>BOD</w:t>
            </w:r>
            <w:r>
              <w:rPr>
                <w:sz w:val="24"/>
                <w:szCs w:val="28"/>
                <w:vertAlign w:val="subscript"/>
              </w:rPr>
              <w:t>5</w:t>
            </w:r>
            <w:r>
              <w:rPr>
                <w:sz w:val="24"/>
                <w:szCs w:val="28"/>
              </w:rPr>
              <w:t xml:space="preserve"> 200mg/L</w:t>
            </w:r>
            <w:r>
              <w:rPr>
                <w:rFonts w:hint="eastAsia"/>
                <w:sz w:val="24"/>
                <w:szCs w:val="28"/>
              </w:rPr>
              <w:t>，</w:t>
            </w:r>
            <w:r>
              <w:rPr>
                <w:sz w:val="24"/>
                <w:szCs w:val="28"/>
              </w:rPr>
              <w:t>SS 150mg/L</w:t>
            </w:r>
            <w:r>
              <w:rPr>
                <w:rFonts w:hint="eastAsia"/>
                <w:sz w:val="24"/>
                <w:szCs w:val="28"/>
              </w:rPr>
              <w:t>，</w:t>
            </w:r>
            <w:r>
              <w:rPr>
                <w:sz w:val="24"/>
                <w:szCs w:val="28"/>
              </w:rPr>
              <w:t>NH</w:t>
            </w:r>
            <w:r>
              <w:rPr>
                <w:sz w:val="24"/>
                <w:szCs w:val="28"/>
                <w:vertAlign w:val="subscript"/>
              </w:rPr>
              <w:t>3</w:t>
            </w:r>
            <w:r>
              <w:rPr>
                <w:sz w:val="24"/>
                <w:szCs w:val="28"/>
              </w:rPr>
              <w:t>-N 30mg/L</w:t>
            </w:r>
            <w:r>
              <w:rPr>
                <w:rFonts w:hint="eastAsia"/>
                <w:sz w:val="24"/>
                <w:szCs w:val="28"/>
              </w:rPr>
              <w:t>。</w:t>
            </w:r>
            <w:r>
              <w:rPr>
                <w:rFonts w:hint="eastAsia"/>
                <w:sz w:val="24"/>
              </w:rPr>
              <w:t>施工废水主要为机械设备及运输车辆的清洗废水主要污染物为石油类和</w:t>
            </w:r>
            <w:r>
              <w:rPr>
                <w:sz w:val="24"/>
              </w:rPr>
              <w:t>SS</w:t>
            </w:r>
            <w:r>
              <w:rPr>
                <w:rFonts w:hint="eastAsia"/>
                <w:sz w:val="24"/>
              </w:rPr>
              <w:t>，其浓度分别为</w:t>
            </w:r>
            <w:r>
              <w:rPr>
                <w:sz w:val="24"/>
              </w:rPr>
              <w:t>6mg/L</w:t>
            </w:r>
            <w:r>
              <w:rPr>
                <w:rFonts w:hint="eastAsia"/>
                <w:sz w:val="24"/>
              </w:rPr>
              <w:t>和</w:t>
            </w:r>
            <w:r>
              <w:rPr>
                <w:sz w:val="24"/>
              </w:rPr>
              <w:t>400mg/L</w:t>
            </w:r>
            <w:r>
              <w:rPr>
                <w:rFonts w:hint="eastAsia"/>
                <w:sz w:val="24"/>
              </w:rPr>
              <w:t>。</w:t>
            </w:r>
          </w:p>
          <w:p>
            <w:pPr>
              <w:tabs>
                <w:tab w:val="left" w:pos="0"/>
              </w:tabs>
              <w:spacing w:line="360" w:lineRule="auto"/>
              <w:ind w:firstLine="460" w:firstLineChars="192"/>
              <w:rPr>
                <w:sz w:val="24"/>
              </w:rPr>
            </w:pPr>
            <w:r>
              <w:rPr>
                <w:rFonts w:hint="eastAsia"/>
                <w:sz w:val="24"/>
              </w:rPr>
              <w:t>由于施工期的生活废水一般是无组织分散排放的，很难做到集中排放，因此在施工期现场的管理上应采取一定的污染防治措施，将施工期生活废水进行集中收集，进行有组织排放。</w:t>
            </w:r>
          </w:p>
          <w:p>
            <w:pPr>
              <w:tabs>
                <w:tab w:val="left" w:pos="0"/>
              </w:tabs>
              <w:spacing w:line="360" w:lineRule="auto"/>
              <w:ind w:firstLine="460" w:firstLineChars="192"/>
              <w:rPr>
                <w:sz w:val="24"/>
              </w:rPr>
            </w:pPr>
            <w:r>
              <w:rPr>
                <w:rFonts w:hint="eastAsia"/>
                <w:sz w:val="24"/>
              </w:rPr>
              <w:t>冲洗废水的排放特点是间歇式排放，废水量不稳定。但是，如果施工中节水措施不落实，用水无节制，自来水将会在施工现场随意流淌，而导致该部分废水排放量增大，势必对周围环境造成一定影响。</w:t>
            </w:r>
          </w:p>
          <w:p>
            <w:pPr>
              <w:spacing w:line="360" w:lineRule="auto"/>
              <w:ind w:firstLine="480" w:firstLineChars="200"/>
              <w:rPr>
                <w:sz w:val="24"/>
              </w:rPr>
            </w:pPr>
            <w:r>
              <w:rPr>
                <w:rFonts w:hint="eastAsia"/>
                <w:sz w:val="24"/>
              </w:rPr>
              <w:t>为减少项目施工污水对项目所在地水环境的影响，该项目在施工阶段应对其产生污水加以妥善处理，以减轻项目施工对水环境的影响。主要处理措施如下：</w:t>
            </w:r>
          </w:p>
          <w:p>
            <w:pPr>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rFonts w:hint="eastAsia"/>
                <w:sz w:val="24"/>
              </w:rPr>
              <w:t>施工场地不设施工营地，施工人员产生的废水经用于农田施肥不外排。</w:t>
            </w:r>
          </w:p>
          <w:p>
            <w:pPr>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rFonts w:hint="eastAsia"/>
                <w:sz w:val="24"/>
              </w:rPr>
              <w:t>施工污水经初步隔油、沉淀处理，沉淀时间不少于</w:t>
            </w:r>
            <w:r>
              <w:rPr>
                <w:sz w:val="24"/>
              </w:rPr>
              <w:t>2</w:t>
            </w:r>
            <w:r>
              <w:rPr>
                <w:rFonts w:hint="eastAsia"/>
                <w:sz w:val="24"/>
              </w:rPr>
              <w:t>小时，尽可能</w:t>
            </w:r>
            <w:r>
              <w:rPr>
                <w:rFonts w:hint="eastAsia"/>
                <w:sz w:val="24"/>
                <w:szCs w:val="28"/>
              </w:rPr>
              <w:t>循环用或作为场地抑尘洒水用水。</w:t>
            </w:r>
          </w:p>
          <w:p>
            <w:pPr>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rFonts w:hint="eastAsia"/>
                <w:sz w:val="24"/>
              </w:rPr>
              <w:t>加强施工期废水管理，作好施工期废水的收集、处理、引流措施，严禁项目废水排入项目地其他水体。</w:t>
            </w:r>
          </w:p>
          <w:p>
            <w:pPr>
              <w:spacing w:line="360" w:lineRule="auto"/>
              <w:ind w:firstLine="482"/>
              <w:rPr>
                <w:sz w:val="24"/>
              </w:rPr>
            </w:pPr>
            <w:r>
              <w:rPr>
                <w:rFonts w:hint="eastAsia"/>
                <w:sz w:val="24"/>
              </w:rPr>
              <w:t>经采取以上措施后，本项目施工期产生废水对区域水环境影响较小。</w:t>
            </w:r>
          </w:p>
          <w:p>
            <w:pPr>
              <w:spacing w:line="360" w:lineRule="auto"/>
              <w:ind w:firstLine="482" w:firstLineChars="200"/>
              <w:rPr>
                <w:b/>
                <w:bCs/>
                <w:sz w:val="24"/>
              </w:rPr>
            </w:pPr>
            <w:r>
              <w:rPr>
                <w:b/>
                <w:bCs/>
                <w:sz w:val="24"/>
              </w:rPr>
              <w:t>3.</w:t>
            </w:r>
            <w:r>
              <w:rPr>
                <w:rFonts w:hint="eastAsia"/>
                <w:b/>
                <w:bCs/>
                <w:sz w:val="24"/>
              </w:rPr>
              <w:t>施工期声环境影响分析</w:t>
            </w:r>
          </w:p>
          <w:p>
            <w:pPr>
              <w:widowControl/>
              <w:spacing w:line="360" w:lineRule="auto"/>
              <w:ind w:firstLine="480" w:firstLineChars="200"/>
              <w:jc w:val="left"/>
              <w:textAlignment w:val="baseline"/>
              <w:rPr>
                <w:b/>
                <w:sz w:val="24"/>
              </w:rPr>
            </w:pPr>
            <w:r>
              <w:rPr>
                <w:rFonts w:hint="eastAsia"/>
                <w:sz w:val="24"/>
              </w:rPr>
              <w:t>项目对声环境的影响主要表现在施工期各种施工机械产生的噪声，虽然该影响随着施工的结束将自动消除，其影响时间短暂，但是由于施工期产生的噪声强度较大，故影响也比较大</w:t>
            </w:r>
            <w:r>
              <w:rPr>
                <w:rFonts w:hint="eastAsia"/>
                <w:b/>
                <w:sz w:val="24"/>
              </w:rPr>
              <w:t>。</w:t>
            </w:r>
          </w:p>
          <w:p>
            <w:pPr>
              <w:autoSpaceDE w:val="0"/>
              <w:autoSpaceDN w:val="0"/>
              <w:spacing w:line="360" w:lineRule="auto"/>
              <w:ind w:firstLine="480" w:firstLineChars="200"/>
              <w:rPr>
                <w:kern w:val="0"/>
                <w:sz w:val="24"/>
              </w:rPr>
            </w:pPr>
            <w:r>
              <w:rPr>
                <w:rFonts w:hint="eastAsia"/>
                <w:kern w:val="0"/>
                <w:sz w:val="24"/>
              </w:rPr>
              <w:t>由工程分析可知，本项目建设阶段各机械设备的动力噪声源声压级一般在</w:t>
            </w:r>
            <w:r>
              <w:rPr>
                <w:kern w:val="0"/>
                <w:sz w:val="24"/>
              </w:rPr>
              <w:t xml:space="preserve">85dBA </w:t>
            </w:r>
            <w:r>
              <w:rPr>
                <w:rFonts w:hint="eastAsia"/>
                <w:kern w:val="0"/>
                <w:sz w:val="24"/>
              </w:rPr>
              <w:t>以上</w:t>
            </w:r>
            <w:r>
              <w:rPr>
                <w:kern w:val="0"/>
                <w:sz w:val="24"/>
              </w:rPr>
              <w:t>(</w:t>
            </w:r>
            <w:r>
              <w:rPr>
                <w:rFonts w:hint="eastAsia"/>
                <w:kern w:val="0"/>
                <w:sz w:val="24"/>
              </w:rPr>
              <w:t>负载，距源</w:t>
            </w:r>
            <w:r>
              <w:rPr>
                <w:kern w:val="0"/>
                <w:sz w:val="24"/>
              </w:rPr>
              <w:t xml:space="preserve">10 </w:t>
            </w:r>
            <w:r>
              <w:rPr>
                <w:rFonts w:hint="eastAsia"/>
                <w:kern w:val="0"/>
                <w:sz w:val="24"/>
              </w:rPr>
              <w:t>米处</w:t>
            </w:r>
            <w:r>
              <w:rPr>
                <w:kern w:val="0"/>
                <w:sz w:val="24"/>
              </w:rPr>
              <w:t>)</w:t>
            </w:r>
            <w:r>
              <w:rPr>
                <w:rFonts w:hint="eastAsia"/>
                <w:kern w:val="0"/>
                <w:sz w:val="24"/>
              </w:rPr>
              <w:t>。根据建筑项目的建设特点，建筑所使用得机械设备基本无隔声、隔振措施，即声源声级较高，声传播条件较好，对项目周边地区影响较大，经预测计算得出建筑机械动力噪声对不同距离的影响见表</w:t>
            </w:r>
            <w:r>
              <w:rPr>
                <w:kern w:val="0"/>
                <w:sz w:val="24"/>
              </w:rPr>
              <w:t>7-1</w:t>
            </w:r>
            <w:r>
              <w:rPr>
                <w:rFonts w:hint="eastAsia"/>
                <w:kern w:val="0"/>
                <w:sz w:val="24"/>
              </w:rPr>
              <w:t>。</w:t>
            </w:r>
          </w:p>
          <w:p>
            <w:pPr>
              <w:autoSpaceDE w:val="0"/>
              <w:autoSpaceDN w:val="0"/>
              <w:spacing w:line="360" w:lineRule="auto"/>
              <w:jc w:val="center"/>
              <w:rPr>
                <w:rFonts w:hint="eastAsia"/>
                <w:b/>
                <w:kern w:val="0"/>
                <w:sz w:val="24"/>
              </w:rPr>
            </w:pPr>
          </w:p>
          <w:p>
            <w:pPr>
              <w:autoSpaceDE w:val="0"/>
              <w:autoSpaceDN w:val="0"/>
              <w:spacing w:line="360" w:lineRule="auto"/>
              <w:jc w:val="center"/>
              <w:rPr>
                <w:rFonts w:hint="eastAsia"/>
                <w:b/>
                <w:kern w:val="0"/>
                <w:sz w:val="24"/>
              </w:rPr>
            </w:pPr>
          </w:p>
          <w:p>
            <w:pPr>
              <w:autoSpaceDE w:val="0"/>
              <w:autoSpaceDN w:val="0"/>
              <w:spacing w:line="360" w:lineRule="auto"/>
              <w:jc w:val="center"/>
              <w:rPr>
                <w:b/>
                <w:bCs/>
                <w:kern w:val="0"/>
                <w:sz w:val="24"/>
              </w:rPr>
            </w:pPr>
            <w:r>
              <w:rPr>
                <w:rFonts w:hint="eastAsia"/>
                <w:b/>
                <w:kern w:val="0"/>
                <w:sz w:val="24"/>
              </w:rPr>
              <w:t>表</w:t>
            </w:r>
            <w:r>
              <w:rPr>
                <w:b/>
                <w:bCs/>
                <w:kern w:val="0"/>
                <w:sz w:val="24"/>
              </w:rPr>
              <w:t xml:space="preserve">7-1  </w:t>
            </w:r>
            <w:r>
              <w:rPr>
                <w:rFonts w:hint="eastAsia"/>
                <w:b/>
                <w:kern w:val="0"/>
                <w:sz w:val="24"/>
              </w:rPr>
              <w:t>建筑机械动力噪声在不同距离处的声级</w:t>
            </w:r>
            <w:r>
              <w:rPr>
                <w:b/>
                <w:bCs/>
                <w:kern w:val="0"/>
                <w:sz w:val="24"/>
              </w:rPr>
              <w:t>dB(A)</w:t>
            </w:r>
          </w:p>
          <w:tbl>
            <w:tblPr>
              <w:tblStyle w:val="28"/>
              <w:tblW w:w="84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68"/>
              <w:gridCol w:w="1238"/>
              <w:gridCol w:w="1238"/>
              <w:gridCol w:w="1458"/>
              <w:gridCol w:w="14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3068" w:type="dxa"/>
                  <w:tcBorders>
                    <w:top w:val="single" w:color="auto" w:sz="12" w:space="0"/>
                    <w:left w:val="single" w:color="auto" w:sz="12" w:space="0"/>
                    <w:bottom w:val="single" w:color="auto" w:sz="6" w:space="0"/>
                    <w:right w:val="single" w:color="auto" w:sz="6" w:space="0"/>
                  </w:tcBorders>
                  <w:vAlign w:val="center"/>
                </w:tcPr>
                <w:p>
                  <w:pPr>
                    <w:jc w:val="center"/>
                    <w:rPr>
                      <w:szCs w:val="21"/>
                    </w:rPr>
                  </w:pPr>
                  <w:r>
                    <w:rPr>
                      <w:rFonts w:hint="eastAsia"/>
                      <w:kern w:val="0"/>
                      <w:szCs w:val="21"/>
                    </w:rPr>
                    <w:t>声源名称</w:t>
                  </w:r>
                </w:p>
              </w:tc>
              <w:tc>
                <w:tcPr>
                  <w:tcW w:w="1238"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kern w:val="0"/>
                      <w:szCs w:val="21"/>
                    </w:rPr>
                    <w:t>10m</w:t>
                  </w:r>
                </w:p>
              </w:tc>
              <w:tc>
                <w:tcPr>
                  <w:tcW w:w="1238"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kern w:val="0"/>
                      <w:szCs w:val="21"/>
                    </w:rPr>
                    <w:t xml:space="preserve">50m </w:t>
                  </w:r>
                </w:p>
              </w:tc>
              <w:tc>
                <w:tcPr>
                  <w:tcW w:w="1458"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kern w:val="0"/>
                      <w:szCs w:val="21"/>
                    </w:rPr>
                    <w:t>100m</w:t>
                  </w:r>
                </w:p>
              </w:tc>
              <w:tc>
                <w:tcPr>
                  <w:tcW w:w="1458" w:type="dxa"/>
                  <w:tcBorders>
                    <w:top w:val="single" w:color="auto" w:sz="12" w:space="0"/>
                    <w:left w:val="single" w:color="auto" w:sz="6" w:space="0"/>
                    <w:bottom w:val="single" w:color="auto" w:sz="6" w:space="0"/>
                    <w:right w:val="single" w:color="auto" w:sz="12" w:space="0"/>
                  </w:tcBorders>
                  <w:vAlign w:val="center"/>
                </w:tcPr>
                <w:p>
                  <w:pPr>
                    <w:jc w:val="center"/>
                    <w:rPr>
                      <w:szCs w:val="21"/>
                    </w:rPr>
                  </w:pPr>
                  <w:r>
                    <w:rPr>
                      <w:kern w:val="0"/>
                      <w:szCs w:val="21"/>
                    </w:rPr>
                    <w:t>150m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3068" w:type="dxa"/>
                  <w:tcBorders>
                    <w:top w:val="single" w:color="auto" w:sz="6" w:space="0"/>
                    <w:left w:val="single" w:color="auto" w:sz="12" w:space="0"/>
                    <w:bottom w:val="single" w:color="auto" w:sz="12" w:space="0"/>
                    <w:right w:val="single" w:color="auto" w:sz="6" w:space="0"/>
                  </w:tcBorders>
                  <w:vAlign w:val="center"/>
                </w:tcPr>
                <w:p>
                  <w:pPr>
                    <w:jc w:val="center"/>
                    <w:rPr>
                      <w:szCs w:val="21"/>
                    </w:rPr>
                  </w:pPr>
                  <w:r>
                    <w:rPr>
                      <w:rFonts w:hint="eastAsia"/>
                      <w:kern w:val="0"/>
                      <w:szCs w:val="21"/>
                    </w:rPr>
                    <w:t>建筑机械噪声</w:t>
                  </w:r>
                </w:p>
              </w:tc>
              <w:tc>
                <w:tcPr>
                  <w:tcW w:w="1238" w:type="dxa"/>
                  <w:tcBorders>
                    <w:top w:val="single" w:color="auto" w:sz="6" w:space="0"/>
                    <w:left w:val="single" w:color="auto" w:sz="6" w:space="0"/>
                    <w:bottom w:val="single" w:color="auto" w:sz="12" w:space="0"/>
                    <w:right w:val="single" w:color="auto" w:sz="6" w:space="0"/>
                  </w:tcBorders>
                  <w:vAlign w:val="center"/>
                </w:tcPr>
                <w:p>
                  <w:pPr>
                    <w:jc w:val="center"/>
                    <w:rPr>
                      <w:szCs w:val="21"/>
                    </w:rPr>
                  </w:pPr>
                  <w:r>
                    <w:rPr>
                      <w:kern w:val="0"/>
                      <w:szCs w:val="21"/>
                    </w:rPr>
                    <w:t>85.0</w:t>
                  </w:r>
                </w:p>
              </w:tc>
              <w:tc>
                <w:tcPr>
                  <w:tcW w:w="1238" w:type="dxa"/>
                  <w:tcBorders>
                    <w:top w:val="single" w:color="auto" w:sz="6" w:space="0"/>
                    <w:left w:val="single" w:color="auto" w:sz="6" w:space="0"/>
                    <w:bottom w:val="single" w:color="auto" w:sz="12" w:space="0"/>
                    <w:right w:val="single" w:color="auto" w:sz="6" w:space="0"/>
                  </w:tcBorders>
                  <w:vAlign w:val="center"/>
                </w:tcPr>
                <w:p>
                  <w:pPr>
                    <w:jc w:val="center"/>
                    <w:rPr>
                      <w:szCs w:val="21"/>
                    </w:rPr>
                  </w:pPr>
                  <w:r>
                    <w:rPr>
                      <w:kern w:val="0"/>
                      <w:szCs w:val="21"/>
                    </w:rPr>
                    <w:t>71.0</w:t>
                  </w:r>
                </w:p>
              </w:tc>
              <w:tc>
                <w:tcPr>
                  <w:tcW w:w="1458" w:type="dxa"/>
                  <w:tcBorders>
                    <w:top w:val="single" w:color="auto" w:sz="6" w:space="0"/>
                    <w:left w:val="single" w:color="auto" w:sz="6" w:space="0"/>
                    <w:bottom w:val="single" w:color="auto" w:sz="12" w:space="0"/>
                    <w:right w:val="single" w:color="auto" w:sz="6" w:space="0"/>
                  </w:tcBorders>
                  <w:vAlign w:val="center"/>
                </w:tcPr>
                <w:p>
                  <w:pPr>
                    <w:jc w:val="center"/>
                    <w:rPr>
                      <w:szCs w:val="21"/>
                    </w:rPr>
                  </w:pPr>
                  <w:r>
                    <w:rPr>
                      <w:kern w:val="0"/>
                      <w:szCs w:val="21"/>
                    </w:rPr>
                    <w:t>65.0</w:t>
                  </w:r>
                </w:p>
              </w:tc>
              <w:tc>
                <w:tcPr>
                  <w:tcW w:w="1458" w:type="dxa"/>
                  <w:tcBorders>
                    <w:top w:val="single" w:color="auto" w:sz="6" w:space="0"/>
                    <w:left w:val="single" w:color="auto" w:sz="6" w:space="0"/>
                    <w:bottom w:val="single" w:color="auto" w:sz="12" w:space="0"/>
                    <w:right w:val="single" w:color="auto" w:sz="12" w:space="0"/>
                  </w:tcBorders>
                  <w:vAlign w:val="center"/>
                </w:tcPr>
                <w:p>
                  <w:pPr>
                    <w:jc w:val="center"/>
                    <w:rPr>
                      <w:szCs w:val="21"/>
                    </w:rPr>
                  </w:pPr>
                  <w:r>
                    <w:rPr>
                      <w:kern w:val="0"/>
                      <w:szCs w:val="21"/>
                    </w:rPr>
                    <w:t>61.5</w:t>
                  </w:r>
                </w:p>
              </w:tc>
            </w:tr>
          </w:tbl>
          <w:p>
            <w:pPr>
              <w:spacing w:line="440" w:lineRule="exact"/>
              <w:ind w:firstLine="480" w:firstLineChars="200"/>
              <w:rPr>
                <w:sz w:val="24"/>
              </w:rPr>
            </w:pPr>
            <w:r>
              <w:rPr>
                <w:rFonts w:hint="eastAsia"/>
                <w:kern w:val="0"/>
                <w:sz w:val="24"/>
              </w:rPr>
              <w:t>由此可知，施工期的建筑机械动力噪声对该地块周边环境影响极大，白天和夜间的噪声级均</w:t>
            </w:r>
            <w:r>
              <w:rPr>
                <w:rFonts w:hint="eastAsia"/>
                <w:sz w:val="24"/>
              </w:rPr>
              <w:t>将超过《声环境质量标准》（</w:t>
            </w:r>
            <w:r>
              <w:rPr>
                <w:sz w:val="24"/>
              </w:rPr>
              <w:t>GB3096-2008</w:t>
            </w:r>
            <w:r>
              <w:rPr>
                <w:rFonts w:hint="eastAsia"/>
                <w:sz w:val="24"/>
              </w:rPr>
              <w:t>）中的</w:t>
            </w:r>
            <w:r>
              <w:rPr>
                <w:sz w:val="24"/>
              </w:rPr>
              <w:t>2</w:t>
            </w:r>
            <w:r>
              <w:rPr>
                <w:rFonts w:hint="eastAsia"/>
                <w:sz w:val="24"/>
              </w:rPr>
              <w:t>类标准值，夜间更为明显，必须加强噪声污染防治措施。</w:t>
            </w:r>
          </w:p>
          <w:p>
            <w:pPr>
              <w:spacing w:line="440" w:lineRule="exact"/>
              <w:ind w:firstLine="480" w:firstLineChars="200"/>
              <w:rPr>
                <w:sz w:val="24"/>
              </w:rPr>
            </w:pPr>
            <w:r>
              <w:rPr>
                <w:rFonts w:hint="eastAsia"/>
                <w:sz w:val="24"/>
              </w:rPr>
              <w:t>主要治理措施：</w:t>
            </w:r>
          </w:p>
          <w:p>
            <w:pPr>
              <w:spacing w:line="440" w:lineRule="exact"/>
              <w:ind w:firstLine="360" w:firstLineChars="150"/>
              <w:rPr>
                <w:sz w:val="24"/>
              </w:rPr>
            </w:pPr>
            <w:r>
              <w:rPr>
                <w:rFonts w:hint="eastAsia"/>
                <w:sz w:val="24"/>
              </w:rPr>
              <w:t>（</w:t>
            </w:r>
            <w:r>
              <w:rPr>
                <w:sz w:val="24"/>
              </w:rPr>
              <w:t>1</w:t>
            </w:r>
            <w:r>
              <w:rPr>
                <w:rFonts w:hint="eastAsia"/>
                <w:sz w:val="24"/>
              </w:rPr>
              <w:t>）施工工艺和设备尽量采用低污染的先进工艺和低噪声的先进设备。</w:t>
            </w:r>
          </w:p>
          <w:p>
            <w:pPr>
              <w:spacing w:line="440" w:lineRule="exact"/>
              <w:ind w:firstLine="360" w:firstLineChars="150"/>
              <w:rPr>
                <w:sz w:val="24"/>
              </w:rPr>
            </w:pPr>
            <w:r>
              <w:rPr>
                <w:rFonts w:hint="eastAsia"/>
                <w:sz w:val="24"/>
              </w:rPr>
              <w:t>（</w:t>
            </w:r>
            <w:r>
              <w:rPr>
                <w:sz w:val="24"/>
              </w:rPr>
              <w:t>2</w:t>
            </w:r>
            <w:r>
              <w:rPr>
                <w:rFonts w:hint="eastAsia"/>
                <w:sz w:val="24"/>
              </w:rPr>
              <w:t>）禁止夜间（</w:t>
            </w:r>
            <w:r>
              <w:rPr>
                <w:sz w:val="24"/>
              </w:rPr>
              <w:t>22</w:t>
            </w:r>
            <w:r>
              <w:rPr>
                <w:rFonts w:hint="eastAsia"/>
                <w:sz w:val="24"/>
              </w:rPr>
              <w:t>：</w:t>
            </w:r>
            <w:r>
              <w:rPr>
                <w:sz w:val="24"/>
              </w:rPr>
              <w:t>00</w:t>
            </w:r>
            <w:r>
              <w:rPr>
                <w:rFonts w:hint="eastAsia"/>
                <w:sz w:val="24"/>
              </w:rPr>
              <w:t>～次日</w:t>
            </w:r>
            <w:r>
              <w:rPr>
                <w:sz w:val="24"/>
              </w:rPr>
              <w:t>6</w:t>
            </w:r>
            <w:r>
              <w:rPr>
                <w:rFonts w:hint="eastAsia"/>
                <w:sz w:val="24"/>
              </w:rPr>
              <w:t>：</w:t>
            </w:r>
            <w:r>
              <w:rPr>
                <w:sz w:val="24"/>
              </w:rPr>
              <w:t>00</w:t>
            </w:r>
            <w:r>
              <w:rPr>
                <w:rFonts w:hint="eastAsia"/>
                <w:sz w:val="24"/>
              </w:rPr>
              <w:t>）和午间（</w:t>
            </w:r>
            <w:r>
              <w:rPr>
                <w:sz w:val="24"/>
              </w:rPr>
              <w:t>12</w:t>
            </w:r>
            <w:r>
              <w:rPr>
                <w:rFonts w:hint="eastAsia"/>
                <w:sz w:val="24"/>
              </w:rPr>
              <w:t>：</w:t>
            </w:r>
            <w:r>
              <w:rPr>
                <w:sz w:val="24"/>
              </w:rPr>
              <w:t>00</w:t>
            </w:r>
            <w:r>
              <w:rPr>
                <w:rFonts w:hint="eastAsia"/>
                <w:sz w:val="24"/>
              </w:rPr>
              <w:t>～</w:t>
            </w:r>
            <w:r>
              <w:rPr>
                <w:sz w:val="24"/>
              </w:rPr>
              <w:t>14</w:t>
            </w:r>
            <w:r>
              <w:rPr>
                <w:rFonts w:hint="eastAsia"/>
                <w:sz w:val="24"/>
              </w:rPr>
              <w:t>：</w:t>
            </w:r>
            <w:r>
              <w:rPr>
                <w:sz w:val="24"/>
              </w:rPr>
              <w:t>30</w:t>
            </w:r>
            <w:r>
              <w:rPr>
                <w:rFonts w:hint="eastAsia"/>
                <w:sz w:val="24"/>
              </w:rPr>
              <w:t>）使用噪声较大的设备进行施工施工。由于工艺需要、需要夜间施工、应向有关部门申请夜间施工许可证，避免在同一时间集中使用大量的动力机械设备，尽量降低对周边居民的影响。施工单位严格执行《建筑施工场界环境噪声排放标准》（</w:t>
            </w:r>
            <w:r>
              <w:rPr>
                <w:sz w:val="24"/>
              </w:rPr>
              <w:t>GB12523-2011</w:t>
            </w:r>
            <w:r>
              <w:rPr>
                <w:rFonts w:hint="eastAsia"/>
                <w:sz w:val="24"/>
              </w:rPr>
              <w:t>）的要求，在施工过程中，尽量减少运行动力机械设备的数量，尽可能使动力机械设备均匀地使用。</w:t>
            </w:r>
          </w:p>
          <w:p>
            <w:pPr>
              <w:spacing w:line="440" w:lineRule="exact"/>
              <w:ind w:firstLine="360" w:firstLineChars="150"/>
              <w:rPr>
                <w:sz w:val="24"/>
              </w:rPr>
            </w:pPr>
            <w:bookmarkStart w:id="24" w:name="_Toc180719759"/>
            <w:bookmarkStart w:id="25" w:name="_Toc191090716"/>
            <w:bookmarkStart w:id="26" w:name="_Toc191183504"/>
            <w:bookmarkStart w:id="27" w:name="_Toc185654437"/>
            <w:bookmarkStart w:id="28" w:name="_Toc190762422"/>
            <w:r>
              <w:rPr>
                <w:rFonts w:hint="eastAsia"/>
                <w:sz w:val="24"/>
              </w:rPr>
              <w:t>（</w:t>
            </w:r>
            <w:r>
              <w:rPr>
                <w:sz w:val="24"/>
              </w:rPr>
              <w:t>3</w:t>
            </w:r>
            <w:r>
              <w:rPr>
                <w:rFonts w:hint="eastAsia"/>
                <w:sz w:val="24"/>
              </w:rPr>
              <w:t>）施工车辆经过敏感目标时应减速慢行，严禁鸣笛</w:t>
            </w:r>
            <w:bookmarkEnd w:id="24"/>
            <w:r>
              <w:rPr>
                <w:rFonts w:hint="eastAsia"/>
                <w:sz w:val="24"/>
              </w:rPr>
              <w:t>。</w:t>
            </w:r>
            <w:bookmarkEnd w:id="25"/>
            <w:bookmarkEnd w:id="26"/>
            <w:bookmarkEnd w:id="27"/>
            <w:bookmarkEnd w:id="28"/>
            <w:r>
              <w:rPr>
                <w:rFonts w:hint="eastAsia"/>
                <w:sz w:val="24"/>
              </w:rPr>
              <w:t>并应严格执行《建筑工程施工现场管理规定》，进行文明施工，建立健全现场噪声管理责任制，加强对施工人员的素质培养，尽量减少人为的大声喧哗，增强全体施工人员防噪声扰民的意识。</w:t>
            </w:r>
          </w:p>
          <w:p>
            <w:pPr>
              <w:spacing w:line="440" w:lineRule="exact"/>
              <w:ind w:firstLine="360" w:firstLineChars="150"/>
              <w:rPr>
                <w:sz w:val="24"/>
              </w:rPr>
            </w:pPr>
            <w:r>
              <w:rPr>
                <w:rFonts w:hint="eastAsia"/>
                <w:sz w:val="24"/>
              </w:rPr>
              <w:t>（</w:t>
            </w:r>
            <w:r>
              <w:rPr>
                <w:sz w:val="24"/>
              </w:rPr>
              <w:t>4</w:t>
            </w:r>
            <w:r>
              <w:rPr>
                <w:rFonts w:hint="eastAsia"/>
                <w:sz w:val="24"/>
              </w:rPr>
              <w:t>）相对固定的施工机械，如电机、风机、空压机等，应力求选择有声屏障的地方安置，或采用隔声措施，围挡措施，避开邻近居民点等敏感目标。</w:t>
            </w:r>
          </w:p>
          <w:p>
            <w:pPr>
              <w:spacing w:line="440" w:lineRule="exact"/>
              <w:ind w:firstLine="360" w:firstLineChars="150"/>
              <w:rPr>
                <w:rStyle w:val="52"/>
                <w:color w:val="auto"/>
                <w:sz w:val="24"/>
              </w:rPr>
            </w:pPr>
            <w:r>
              <w:rPr>
                <w:rFonts w:hint="eastAsia"/>
                <w:sz w:val="24"/>
              </w:rPr>
              <w:t>（</w:t>
            </w:r>
            <w:r>
              <w:rPr>
                <w:sz w:val="24"/>
              </w:rPr>
              <w:t>5</w:t>
            </w:r>
            <w:r>
              <w:rPr>
                <w:rFonts w:hint="eastAsia"/>
                <w:sz w:val="24"/>
              </w:rPr>
              <w:t>）</w:t>
            </w:r>
            <w:r>
              <w:rPr>
                <w:rStyle w:val="52"/>
                <w:rFonts w:hint="eastAsia"/>
                <w:color w:val="auto"/>
                <w:sz w:val="24"/>
              </w:rPr>
              <w:t>注意机械保养，使机械保持最低声级水平；安排工人轮流进行机械操作，减少接触高噪声的时间；对在声源附近工作时间较长的工人，发放防声耳塞、头盔等，对工人进行自身保护。</w:t>
            </w:r>
          </w:p>
          <w:p>
            <w:pPr>
              <w:spacing w:line="440" w:lineRule="exact"/>
              <w:ind w:firstLine="360" w:firstLineChars="150"/>
              <w:rPr>
                <w:rStyle w:val="52"/>
                <w:color w:val="auto"/>
                <w:sz w:val="24"/>
              </w:rPr>
            </w:pPr>
            <w:r>
              <w:rPr>
                <w:rStyle w:val="52"/>
                <w:rFonts w:hint="eastAsia"/>
                <w:color w:val="auto"/>
                <w:sz w:val="24"/>
              </w:rPr>
              <w:t>（</w:t>
            </w:r>
            <w:r>
              <w:rPr>
                <w:rStyle w:val="52"/>
                <w:color w:val="auto"/>
                <w:sz w:val="24"/>
              </w:rPr>
              <w:t>6</w:t>
            </w:r>
            <w:r>
              <w:rPr>
                <w:rStyle w:val="52"/>
                <w:rFonts w:hint="eastAsia"/>
                <w:color w:val="auto"/>
                <w:sz w:val="24"/>
              </w:rPr>
              <w:t>）施工单位应该加强与附近居民住户的沟通，施工时，应在建筑施工工地显著处悬挂建筑施工工地环保牌，注明工地环保负责人及工地现场电话号码，以便公众监督及沟通。</w:t>
            </w:r>
          </w:p>
          <w:p>
            <w:pPr>
              <w:widowControl/>
              <w:spacing w:line="360" w:lineRule="auto"/>
              <w:ind w:firstLine="480" w:firstLineChars="200"/>
              <w:jc w:val="left"/>
              <w:rPr>
                <w:bCs/>
              </w:rPr>
            </w:pPr>
            <w:r>
              <w:rPr>
                <w:bCs/>
                <w:sz w:val="24"/>
              </w:rPr>
              <w:t>4.</w:t>
            </w:r>
            <w:r>
              <w:rPr>
                <w:rFonts w:hint="eastAsia"/>
                <w:bCs/>
                <w:sz w:val="24"/>
              </w:rPr>
              <w:t>施工期固废影响分析</w:t>
            </w:r>
          </w:p>
          <w:p>
            <w:pPr>
              <w:spacing w:line="440" w:lineRule="exact"/>
              <w:ind w:firstLine="360" w:firstLineChars="150"/>
              <w:rPr>
                <w:rStyle w:val="52"/>
                <w:color w:val="auto"/>
                <w:sz w:val="24"/>
              </w:rPr>
            </w:pPr>
            <w:r>
              <w:rPr>
                <w:rStyle w:val="52"/>
                <w:rFonts w:hint="eastAsia"/>
                <w:color w:val="auto"/>
                <w:sz w:val="24"/>
              </w:rPr>
              <w:t>施工期产生的固体废弃物主要有施工过程中产生的建筑垃圾以及施工活动中产生的固体废弃物和施工人员产生的生活垃圾。相对而言，施工期的固体废弃物具有产生量大、时间集中的特点，对环境的污染是暂时性的，可采取一些临时性的措施加以保护。</w:t>
            </w:r>
          </w:p>
          <w:p>
            <w:pPr>
              <w:spacing w:line="360" w:lineRule="auto"/>
              <w:ind w:firstLine="480" w:firstLineChars="200"/>
              <w:textAlignment w:val="baseline"/>
              <w:rPr>
                <w:sz w:val="24"/>
              </w:rPr>
            </w:pPr>
            <w:r>
              <w:rPr>
                <w:rFonts w:hint="eastAsia"/>
                <w:sz w:val="24"/>
              </w:rPr>
              <w:t>根据项目设计工程方案和建设方提供的资料，项目场地为平整地，施工周期约3个月，本项目无需在外取土或向外弃土。</w:t>
            </w:r>
          </w:p>
          <w:p>
            <w:pPr>
              <w:autoSpaceDE w:val="0"/>
              <w:autoSpaceDN w:val="0"/>
              <w:spacing w:line="360" w:lineRule="auto"/>
              <w:ind w:firstLine="480" w:firstLineChars="200"/>
              <w:rPr>
                <w:sz w:val="24"/>
              </w:rPr>
            </w:pPr>
            <w:r>
              <w:rPr>
                <w:rFonts w:hint="eastAsia"/>
                <w:sz w:val="24"/>
              </w:rPr>
              <w:t>施工过程中产生的建筑垃圾主要有包装袋、石块、碎砖瓦等杂物，施工的建筑垃圾按每</w:t>
            </w:r>
            <w:r>
              <w:rPr>
                <w:sz w:val="24"/>
              </w:rPr>
              <w:t>100m</w:t>
            </w:r>
            <w:r>
              <w:rPr>
                <w:sz w:val="24"/>
                <w:vertAlign w:val="superscript"/>
              </w:rPr>
              <w:t>2</w:t>
            </w:r>
            <w:r>
              <w:rPr>
                <w:rFonts w:hint="eastAsia"/>
                <w:sz w:val="24"/>
              </w:rPr>
              <w:t>建筑面积产生</w:t>
            </w:r>
            <w:r>
              <w:rPr>
                <w:sz w:val="24"/>
              </w:rPr>
              <w:t>2t</w:t>
            </w:r>
            <w:r>
              <w:rPr>
                <w:rFonts w:hint="eastAsia"/>
                <w:sz w:val="24"/>
              </w:rPr>
              <w:t>建筑垃圾统计，项目建筑面积5500</w:t>
            </w:r>
            <w:r>
              <w:rPr>
                <w:sz w:val="24"/>
              </w:rPr>
              <w:t>m</w:t>
            </w:r>
            <w:r>
              <w:rPr>
                <w:sz w:val="24"/>
                <w:vertAlign w:val="superscript"/>
              </w:rPr>
              <w:t>2</w:t>
            </w:r>
            <w:r>
              <w:rPr>
                <w:rFonts w:hint="eastAsia"/>
                <w:sz w:val="24"/>
              </w:rPr>
              <w:t>，产生建筑垃圾110</w:t>
            </w:r>
            <w:r>
              <w:rPr>
                <w:sz w:val="24"/>
              </w:rPr>
              <w:t>t</w:t>
            </w:r>
            <w:r>
              <w:rPr>
                <w:rFonts w:hint="eastAsia"/>
                <w:sz w:val="24"/>
              </w:rPr>
              <w:t>。向市容环境卫生主管部门申请指定位置堆放；包装箱和包装袋也可回收利用或销售给废品收购站，不会对环境造成影响。施工期产生的生活垃圾约1.13t，可清运至城市生活垃圾处理中心卫生处置，对环境影响较小。</w:t>
            </w:r>
          </w:p>
          <w:p>
            <w:pPr>
              <w:spacing w:line="360" w:lineRule="auto"/>
              <w:ind w:firstLine="480" w:firstLineChars="200"/>
              <w:textAlignment w:val="baseline"/>
              <w:rPr>
                <w:rStyle w:val="43"/>
                <w:b/>
                <w:sz w:val="24"/>
              </w:rPr>
            </w:pPr>
            <w:r>
              <w:rPr>
                <w:rFonts w:hint="eastAsia"/>
                <w:sz w:val="24"/>
              </w:rPr>
              <w:t>另外，项目</w:t>
            </w:r>
            <w:r>
              <w:rPr>
                <w:rFonts w:hint="eastAsia"/>
                <w:kern w:val="0"/>
                <w:sz w:val="24"/>
              </w:rPr>
              <w:t>建设单位应要求施工单位</w:t>
            </w:r>
            <w:r>
              <w:rPr>
                <w:rFonts w:hint="eastAsia"/>
                <w:sz w:val="24"/>
              </w:rPr>
              <w:t>尽量采用节能建材，</w:t>
            </w:r>
            <w:r>
              <w:rPr>
                <w:rFonts w:hint="eastAsia"/>
                <w:kern w:val="0"/>
                <w:sz w:val="24"/>
              </w:rPr>
              <w:t>实行标准施工、规划运输，不要随意倾倒建筑垃圾、制造新的“垃圾堆场”、造成水土流失，严禁就近倾倒在附近水域内。其次，施工人员的生活垃圾也要收集到指定的垃圾箱</w:t>
            </w:r>
            <w:r>
              <w:rPr>
                <w:kern w:val="0"/>
                <w:sz w:val="24"/>
              </w:rPr>
              <w:t>(</w:t>
            </w:r>
            <w:r>
              <w:rPr>
                <w:rFonts w:hint="eastAsia"/>
                <w:kern w:val="0"/>
                <w:sz w:val="24"/>
              </w:rPr>
              <w:t>桶</w:t>
            </w:r>
            <w:r>
              <w:rPr>
                <w:kern w:val="0"/>
                <w:sz w:val="24"/>
              </w:rPr>
              <w:t>)</w:t>
            </w:r>
            <w:r>
              <w:rPr>
                <w:rFonts w:hint="eastAsia"/>
                <w:kern w:val="0"/>
                <w:sz w:val="24"/>
              </w:rPr>
              <w:t>内，</w:t>
            </w:r>
            <w:r>
              <w:rPr>
                <w:kern w:val="0"/>
                <w:sz w:val="24"/>
              </w:rPr>
              <w:t>由环卫部门统一及时处理。</w:t>
            </w:r>
          </w:p>
          <w:p>
            <w:pPr>
              <w:spacing w:line="360" w:lineRule="auto"/>
              <w:ind w:firstLine="480" w:firstLineChars="200"/>
              <w:rPr>
                <w:rFonts w:ascii="宋体" w:hAnsi="宋体"/>
                <w:sz w:val="24"/>
              </w:rPr>
            </w:pPr>
            <w:r>
              <w:rPr>
                <w:sz w:val="24"/>
              </w:rPr>
              <w:t>5、施工期</w:t>
            </w:r>
            <w:r>
              <w:rPr>
                <w:rFonts w:hint="eastAsia" w:ascii="宋体" w:hAnsi="宋体"/>
                <w:sz w:val="24"/>
              </w:rPr>
              <w:t>水土流失影响分析</w:t>
            </w:r>
          </w:p>
          <w:p>
            <w:pPr>
              <w:spacing w:line="360" w:lineRule="auto"/>
              <w:ind w:firstLine="480" w:firstLineChars="200"/>
              <w:textAlignment w:val="baseline"/>
              <w:rPr>
                <w:kern w:val="0"/>
                <w:sz w:val="24"/>
                <w:szCs w:val="22"/>
              </w:rPr>
            </w:pPr>
            <w:r>
              <w:rPr>
                <w:rFonts w:hint="eastAsia"/>
                <w:kern w:val="0"/>
                <w:sz w:val="24"/>
                <w:szCs w:val="22"/>
              </w:rPr>
              <w:t>项目拟建场址已硬化，场内有厂房及办公楼，路面已得到硬化，本项目主要对现有厂房及办公楼进行重新装修，对水土流失的影响较小。</w:t>
            </w:r>
          </w:p>
          <w:p>
            <w:pPr>
              <w:spacing w:line="360" w:lineRule="auto"/>
              <w:rPr>
                <w:b/>
                <w:sz w:val="28"/>
                <w:szCs w:val="28"/>
              </w:rPr>
            </w:pPr>
            <w:r>
              <w:rPr>
                <w:rFonts w:hint="eastAsia"/>
                <w:b/>
                <w:sz w:val="28"/>
                <w:szCs w:val="28"/>
              </w:rPr>
              <w:t>营运期环境影响分析：</w:t>
            </w:r>
          </w:p>
          <w:p>
            <w:pPr>
              <w:spacing w:line="360" w:lineRule="auto"/>
              <w:ind w:firstLine="482" w:firstLineChars="200"/>
              <w:rPr>
                <w:b/>
                <w:sz w:val="24"/>
              </w:rPr>
            </w:pPr>
            <w:r>
              <w:rPr>
                <w:rFonts w:hint="eastAsia"/>
                <w:b/>
                <w:sz w:val="24"/>
              </w:rPr>
              <w:t>1.地表水环境影响分析</w:t>
            </w:r>
          </w:p>
          <w:p>
            <w:pPr>
              <w:spacing w:line="360" w:lineRule="auto"/>
              <w:ind w:firstLine="480" w:firstLineChars="200"/>
              <w:rPr>
                <w:rFonts w:hAnsi="宋体"/>
                <w:sz w:val="24"/>
              </w:rPr>
            </w:pPr>
            <w:r>
              <w:rPr>
                <w:rFonts w:hint="eastAsia" w:hAnsi="宋体"/>
                <w:sz w:val="24"/>
              </w:rPr>
              <w:t>项目运营期产生废水主要包括洗砂废水和生活废水。</w:t>
            </w:r>
          </w:p>
          <w:p>
            <w:pPr>
              <w:spacing w:line="360" w:lineRule="auto"/>
              <w:ind w:firstLine="480" w:firstLineChars="200"/>
              <w:rPr>
                <w:sz w:val="24"/>
                <w:szCs w:val="22"/>
              </w:rPr>
            </w:pPr>
            <w:r>
              <w:rPr>
                <w:rFonts w:hint="eastAsia"/>
                <w:sz w:val="24"/>
                <w:szCs w:val="22"/>
              </w:rPr>
              <w:t xml:space="preserve"> 根据《环境影响评价技术导则 地表水环境》（HJ2.3-2018）中等级划分原则，本项目属于“建设项目生产工艺有废水产生，但作为中水利用，不排放到外环境”按三级B评价。</w:t>
            </w:r>
          </w:p>
          <w:p>
            <w:pPr>
              <w:pStyle w:val="2"/>
              <w:ind w:firstLine="480" w:firstLineChars="200"/>
              <w:rPr>
                <w:szCs w:val="20"/>
              </w:rPr>
            </w:pPr>
            <w:r>
              <w:rPr>
                <w:rFonts w:hint="eastAsia" w:hAnsi="宋体"/>
                <w:sz w:val="24"/>
                <w:szCs w:val="20"/>
              </w:rPr>
              <w:t>（1）洗砂废水</w:t>
            </w:r>
          </w:p>
          <w:p>
            <w:pPr>
              <w:spacing w:line="360" w:lineRule="auto"/>
              <w:ind w:firstLine="480" w:firstLineChars="200"/>
              <w:rPr>
                <w:rFonts w:hint="eastAsia"/>
                <w:color w:val="auto"/>
                <w:sz w:val="24"/>
                <w:szCs w:val="22"/>
                <w:u w:val="single"/>
              </w:rPr>
            </w:pPr>
            <w:r>
              <w:rPr>
                <w:rFonts w:hint="eastAsia"/>
                <w:color w:val="auto"/>
                <w:sz w:val="24"/>
                <w:u w:val="single"/>
              </w:rPr>
              <w:t>厂区</w:t>
            </w:r>
            <w:r>
              <w:rPr>
                <w:color w:val="auto"/>
                <w:sz w:val="24"/>
                <w:u w:val="single"/>
              </w:rPr>
              <w:t>排水实行生产废水和生活废水分流，项目的生产</w:t>
            </w:r>
            <w:r>
              <w:rPr>
                <w:rFonts w:hint="eastAsia"/>
                <w:color w:val="auto"/>
                <w:sz w:val="24"/>
                <w:u w:val="single"/>
              </w:rPr>
              <w:t>用水</w:t>
            </w:r>
            <w:r>
              <w:rPr>
                <w:color w:val="auto"/>
                <w:sz w:val="24"/>
                <w:u w:val="single"/>
              </w:rPr>
              <w:t>，</w:t>
            </w:r>
            <w:r>
              <w:rPr>
                <w:rFonts w:hint="eastAsia"/>
                <w:color w:val="auto"/>
                <w:sz w:val="24"/>
                <w:u w:val="single"/>
              </w:rPr>
              <w:t>主要用于洗砂、破碎筛分过程中洒水降尘，项目洗砂废水产生量为990t/d，本项目洗沙废水</w:t>
            </w:r>
            <w:r>
              <w:rPr>
                <w:rFonts w:hint="eastAsia"/>
                <w:color w:val="auto"/>
                <w:sz w:val="24"/>
                <w:u w:val="single"/>
                <w:lang w:eastAsia="zh-CN"/>
              </w:rPr>
              <w:t>处理</w:t>
            </w:r>
            <w:r>
              <w:rPr>
                <w:rFonts w:hint="eastAsia"/>
                <w:color w:val="auto"/>
                <w:sz w:val="24"/>
                <w:u w:val="single"/>
              </w:rPr>
              <w:t>设施为</w:t>
            </w:r>
            <w:r>
              <w:rPr>
                <w:rFonts w:hint="eastAsia"/>
                <w:color w:val="auto"/>
                <w:sz w:val="24"/>
                <w:u w:val="single"/>
                <w:lang w:val="en-US" w:eastAsia="zh-CN"/>
              </w:rPr>
              <w:t>2个</w:t>
            </w:r>
            <w:r>
              <w:rPr>
                <w:rFonts w:hint="eastAsia"/>
                <w:color w:val="auto"/>
                <w:sz w:val="24"/>
                <w:szCs w:val="22"/>
                <w:u w:val="single"/>
                <w:lang w:val="en-US" w:eastAsia="zh-CN"/>
              </w:rPr>
              <w:t>循环水塔，一个30t，一个22t（水</w:t>
            </w:r>
            <w:r>
              <w:rPr>
                <w:rFonts w:hint="eastAsia"/>
                <w:color w:val="auto"/>
                <w:sz w:val="24"/>
                <w:u w:val="single"/>
              </w:rPr>
              <w:t>力停留时间按</w:t>
            </w:r>
            <w:r>
              <w:rPr>
                <w:rFonts w:hint="eastAsia"/>
                <w:color w:val="auto"/>
                <w:sz w:val="24"/>
                <w:u w:val="single"/>
                <w:lang w:val="en-US" w:eastAsia="zh-CN"/>
              </w:rPr>
              <w:t>1</w:t>
            </w:r>
            <w:r>
              <w:rPr>
                <w:rFonts w:hint="eastAsia"/>
                <w:color w:val="auto"/>
                <w:sz w:val="24"/>
                <w:u w:val="single"/>
              </w:rPr>
              <w:t>小时，则项目</w:t>
            </w:r>
            <w:r>
              <w:rPr>
                <w:rFonts w:hint="eastAsia"/>
                <w:color w:val="auto"/>
                <w:sz w:val="24"/>
                <w:u w:val="single"/>
                <w:lang w:eastAsia="zh-CN"/>
              </w:rPr>
              <w:t>循环水塔</w:t>
            </w:r>
            <w:r>
              <w:rPr>
                <w:rFonts w:hint="eastAsia"/>
                <w:color w:val="auto"/>
                <w:sz w:val="24"/>
                <w:u w:val="single"/>
              </w:rPr>
              <w:t>每天可容纳废水</w:t>
            </w:r>
            <w:r>
              <w:rPr>
                <w:rFonts w:hint="eastAsia"/>
                <w:color w:val="auto"/>
                <w:sz w:val="24"/>
                <w:u w:val="single"/>
                <w:lang w:val="en-US" w:eastAsia="zh-CN"/>
              </w:rPr>
              <w:t>1248</w:t>
            </w:r>
            <w:r>
              <w:rPr>
                <w:rFonts w:hint="eastAsia"/>
                <w:color w:val="auto"/>
                <w:sz w:val="24"/>
                <w:u w:val="single"/>
              </w:rPr>
              <w:t>m</w:t>
            </w:r>
            <w:r>
              <w:rPr>
                <w:rFonts w:hint="eastAsia"/>
                <w:color w:val="auto"/>
                <w:sz w:val="24"/>
                <w:u w:val="single"/>
                <w:vertAlign w:val="superscript"/>
              </w:rPr>
              <w:t>3</w:t>
            </w:r>
            <w:r>
              <w:rPr>
                <w:rFonts w:hint="eastAsia"/>
                <w:color w:val="auto"/>
                <w:sz w:val="24"/>
                <w:u w:val="single"/>
              </w:rPr>
              <w:t>（项目洗砂废水和初期雨水共计1026m</w:t>
            </w:r>
            <w:r>
              <w:rPr>
                <w:rFonts w:hint="eastAsia"/>
                <w:color w:val="auto"/>
                <w:sz w:val="24"/>
                <w:u w:val="single"/>
                <w:vertAlign w:val="superscript"/>
              </w:rPr>
              <w:t>3</w:t>
            </w:r>
            <w:r>
              <w:rPr>
                <w:rFonts w:hint="eastAsia"/>
                <w:color w:val="auto"/>
                <w:sz w:val="24"/>
                <w:u w:val="single"/>
              </w:rPr>
              <w:t>，满足要求），另设生产用1个清水池（容积约</w:t>
            </w:r>
            <w:r>
              <w:rPr>
                <w:rFonts w:hint="eastAsia"/>
                <w:color w:val="auto"/>
                <w:sz w:val="24"/>
                <w:u w:val="single"/>
                <w:lang w:val="en-US" w:eastAsia="zh-CN"/>
              </w:rPr>
              <w:t>240</w:t>
            </w:r>
            <w:r>
              <w:rPr>
                <w:rFonts w:hint="eastAsia"/>
                <w:color w:val="auto"/>
                <w:sz w:val="24"/>
                <w:u w:val="single"/>
              </w:rPr>
              <w:t>m</w:t>
            </w:r>
            <w:r>
              <w:rPr>
                <w:rFonts w:hint="eastAsia"/>
                <w:color w:val="auto"/>
                <w:sz w:val="24"/>
                <w:u w:val="single"/>
                <w:vertAlign w:val="superscript"/>
              </w:rPr>
              <w:t>3</w:t>
            </w:r>
            <w:r>
              <w:rPr>
                <w:rFonts w:hint="eastAsia"/>
                <w:color w:val="auto"/>
                <w:sz w:val="24"/>
                <w:u w:val="single"/>
              </w:rPr>
              <w:t>），</w:t>
            </w:r>
            <w:r>
              <w:rPr>
                <w:rFonts w:hint="eastAsia"/>
                <w:color w:val="auto"/>
                <w:sz w:val="24"/>
                <w:u w:val="single"/>
                <w:lang w:eastAsia="zh-CN"/>
              </w:rPr>
              <w:t>循环水塔</w:t>
            </w:r>
            <w:r>
              <w:rPr>
                <w:rFonts w:hint="eastAsia"/>
                <w:color w:val="auto"/>
                <w:sz w:val="24"/>
                <w:u w:val="single"/>
              </w:rPr>
              <w:t>处理后</w:t>
            </w:r>
            <w:r>
              <w:rPr>
                <w:rFonts w:hint="eastAsia"/>
                <w:color w:val="auto"/>
                <w:sz w:val="24"/>
                <w:szCs w:val="22"/>
                <w:u w:val="single"/>
              </w:rPr>
              <w:t>排入</w:t>
            </w:r>
            <w:r>
              <w:rPr>
                <w:rFonts w:hint="eastAsia"/>
                <w:color w:val="auto"/>
                <w:sz w:val="24"/>
                <w:szCs w:val="22"/>
                <w:u w:val="single"/>
                <w:lang w:eastAsia="zh-CN"/>
              </w:rPr>
              <w:t>清</w:t>
            </w:r>
            <w:r>
              <w:rPr>
                <w:rFonts w:hint="eastAsia"/>
                <w:color w:val="auto"/>
                <w:sz w:val="24"/>
                <w:szCs w:val="22"/>
                <w:u w:val="single"/>
              </w:rPr>
              <w:t>水池，再回用于生产，保证废水不外排。</w:t>
            </w:r>
          </w:p>
          <w:p>
            <w:pPr>
              <w:spacing w:line="360" w:lineRule="auto"/>
              <w:ind w:firstLine="480" w:firstLineChars="200"/>
              <w:rPr>
                <w:sz w:val="24"/>
                <w:u w:val="single"/>
              </w:rPr>
            </w:pPr>
            <w:r>
              <w:rPr>
                <w:rFonts w:hint="eastAsia"/>
                <w:sz w:val="24"/>
                <w:szCs w:val="22"/>
                <w:u w:val="single"/>
                <w:lang w:eastAsia="zh-CN"/>
              </w:rPr>
              <w:t>循环水塔</w:t>
            </w:r>
            <w:r>
              <w:rPr>
                <w:rFonts w:hint="eastAsia"/>
                <w:sz w:val="24"/>
                <w:szCs w:val="22"/>
                <w:u w:val="single"/>
              </w:rPr>
              <w:t>包括进水区、沉淀区、缓冲区、污泥区和出水区五个部分。进水区和出水区的作用是使水流均匀地流过沉淀池，避免短流和减少紊流对沉淀产</w:t>
            </w:r>
            <w:r>
              <w:rPr>
                <w:rFonts w:hint="eastAsia"/>
                <w:sz w:val="24"/>
                <w:szCs w:val="22"/>
                <w:u w:val="single"/>
                <w:lang w:eastAsia="zh-CN"/>
              </w:rPr>
              <w:t>生</w:t>
            </w:r>
            <w:r>
              <w:rPr>
                <w:rFonts w:hint="eastAsia"/>
                <w:sz w:val="24"/>
                <w:szCs w:val="22"/>
                <w:u w:val="single"/>
              </w:rPr>
              <w:t>的不利影响，同时减少死水区、提高沉淀池的容积利用率；沉淀区也称澄清区</w:t>
            </w:r>
            <w:r>
              <w:rPr>
                <w:rFonts w:hint="eastAsia"/>
                <w:sz w:val="24"/>
                <w:szCs w:val="22"/>
                <w:u w:val="single"/>
                <w:lang w:eastAsia="zh-CN"/>
              </w:rPr>
              <w:t>（循环水塔沉淀过程中使用絮凝剂，絮凝剂溶于水后便会产生压缩双电层，使废水中的悬浮微粒失去稳定性，胶粒物相互凝聚使微粒增大，形成絮凝体、矾花。絮凝体长大到一定体积后即在重力作用下脱离水相沉淀，从而去除废水中的大量悬浮物，从而达到水处理的效果。混合过程要求水流产生激烈的湍流，在较快的时间内使药剂与水充分混合，混合时间一般要求几秒到2分钟），即沉淀池的工作区，足可沉淀颗粒与废水分离的区域；污泥区是污泥贮存、浓缩和排出的区域；缓冲区则是分隔沉淀区和污泥区的水层区域，保证已经沉淀的颗粒不因水流搅动</w:t>
            </w:r>
            <w:r>
              <w:rPr>
                <w:rFonts w:hint="eastAsia"/>
                <w:sz w:val="24"/>
                <w:szCs w:val="22"/>
                <w:u w:val="single"/>
              </w:rPr>
              <w:t>而再行浮起。项目洗砂废水主要成分为泥沙，经沉淀池沉淀后大部分泥沙沉降下来，清水可通过出水口进入</w:t>
            </w:r>
            <w:r>
              <w:rPr>
                <w:rFonts w:hint="eastAsia"/>
                <w:sz w:val="24"/>
                <w:szCs w:val="22"/>
                <w:u w:val="single"/>
                <w:lang w:eastAsia="zh-CN"/>
              </w:rPr>
              <w:t>清</w:t>
            </w:r>
            <w:r>
              <w:rPr>
                <w:rFonts w:hint="eastAsia"/>
                <w:sz w:val="24"/>
                <w:szCs w:val="22"/>
                <w:u w:val="single"/>
              </w:rPr>
              <w:t>水池回用于生产，</w:t>
            </w:r>
            <w:r>
              <w:rPr>
                <w:rFonts w:hint="eastAsia"/>
                <w:sz w:val="24"/>
                <w:szCs w:val="22"/>
                <w:u w:val="single"/>
                <w:lang w:eastAsia="zh-CN"/>
              </w:rPr>
              <w:t>清水</w:t>
            </w:r>
            <w:r>
              <w:rPr>
                <w:rFonts w:hint="eastAsia"/>
                <w:sz w:val="24"/>
                <w:szCs w:val="22"/>
                <w:u w:val="single"/>
              </w:rPr>
              <w:t>池和循环</w:t>
            </w:r>
            <w:r>
              <w:rPr>
                <w:rFonts w:hint="eastAsia"/>
                <w:sz w:val="24"/>
                <w:szCs w:val="22"/>
                <w:u w:val="single"/>
                <w:lang w:eastAsia="zh-CN"/>
              </w:rPr>
              <w:t>水塔</w:t>
            </w:r>
            <w:r>
              <w:rPr>
                <w:rFonts w:hint="eastAsia"/>
                <w:sz w:val="24"/>
                <w:szCs w:val="22"/>
                <w:u w:val="single"/>
              </w:rPr>
              <w:t>均采取</w:t>
            </w:r>
            <w:r>
              <w:rPr>
                <w:rFonts w:hint="eastAsia"/>
                <w:sz w:val="24"/>
                <w:u w:val="single"/>
              </w:rPr>
              <w:t>防渗措施，可满足生产需求。项目洗砂废水经</w:t>
            </w:r>
            <w:r>
              <w:rPr>
                <w:rFonts w:hint="eastAsia"/>
                <w:sz w:val="24"/>
                <w:u w:val="single"/>
                <w:lang w:eastAsia="zh-CN"/>
              </w:rPr>
              <w:t>循环水塔</w:t>
            </w:r>
            <w:r>
              <w:rPr>
                <w:rFonts w:hint="eastAsia"/>
                <w:sz w:val="24"/>
                <w:u w:val="single"/>
              </w:rPr>
              <w:t>回用于生产措施可行。</w:t>
            </w:r>
          </w:p>
          <w:p>
            <w:pPr>
              <w:spacing w:line="360" w:lineRule="auto"/>
              <w:ind w:firstLine="360" w:firstLineChars="150"/>
              <w:rPr>
                <w:rFonts w:hAnsi="宋体"/>
                <w:color w:val="auto"/>
                <w:sz w:val="24"/>
              </w:rPr>
            </w:pPr>
            <w:r>
              <w:rPr>
                <w:rFonts w:hint="eastAsia" w:hAnsi="宋体"/>
                <w:sz w:val="24"/>
              </w:rPr>
              <w:t>（2）</w:t>
            </w:r>
            <w:r>
              <w:rPr>
                <w:rFonts w:hint="eastAsia" w:hAnsi="宋体"/>
                <w:color w:val="auto"/>
                <w:sz w:val="24"/>
              </w:rPr>
              <w:t>生活污水</w:t>
            </w:r>
          </w:p>
          <w:p>
            <w:pPr>
              <w:spacing w:line="360" w:lineRule="auto"/>
              <w:ind w:firstLine="480" w:firstLineChars="200"/>
              <w:rPr>
                <w:color w:val="auto"/>
                <w:sz w:val="24"/>
              </w:rPr>
            </w:pPr>
            <w:r>
              <w:rPr>
                <w:color w:val="auto"/>
                <w:sz w:val="24"/>
              </w:rPr>
              <w:t>生活</w:t>
            </w:r>
            <w:r>
              <w:rPr>
                <w:rFonts w:hint="eastAsia"/>
                <w:color w:val="auto"/>
                <w:sz w:val="24"/>
              </w:rPr>
              <w:t>废</w:t>
            </w:r>
            <w:r>
              <w:rPr>
                <w:color w:val="auto"/>
                <w:sz w:val="24"/>
              </w:rPr>
              <w:t>水排放量为</w:t>
            </w:r>
            <w:r>
              <w:rPr>
                <w:rFonts w:hint="eastAsia"/>
                <w:color w:val="auto"/>
                <w:sz w:val="24"/>
                <w:lang w:val="en-US" w:eastAsia="zh-CN"/>
              </w:rPr>
              <w:t>326</w:t>
            </w:r>
            <w:r>
              <w:rPr>
                <w:color w:val="auto"/>
                <w:sz w:val="24"/>
              </w:rPr>
              <w:t>m</w:t>
            </w:r>
            <w:r>
              <w:rPr>
                <w:color w:val="auto"/>
                <w:sz w:val="24"/>
                <w:vertAlign w:val="superscript"/>
              </w:rPr>
              <w:t>3</w:t>
            </w:r>
            <w:r>
              <w:rPr>
                <w:color w:val="auto"/>
                <w:sz w:val="24"/>
              </w:rPr>
              <w:t>/a</w:t>
            </w:r>
            <w:r>
              <w:rPr>
                <w:rFonts w:hint="eastAsia"/>
                <w:color w:val="auto"/>
                <w:sz w:val="24"/>
              </w:rPr>
              <w:t>（</w:t>
            </w:r>
            <w:r>
              <w:rPr>
                <w:rFonts w:hint="eastAsia"/>
                <w:color w:val="auto"/>
                <w:sz w:val="24"/>
                <w:lang w:val="en-US" w:eastAsia="zh-CN"/>
              </w:rPr>
              <w:t>1.09</w:t>
            </w:r>
            <w:r>
              <w:rPr>
                <w:rFonts w:hint="eastAsia"/>
                <w:color w:val="auto"/>
                <w:sz w:val="24"/>
              </w:rPr>
              <w:t>m</w:t>
            </w:r>
            <w:r>
              <w:rPr>
                <w:rFonts w:hint="eastAsia"/>
                <w:color w:val="auto"/>
                <w:sz w:val="24"/>
                <w:vertAlign w:val="superscript"/>
              </w:rPr>
              <w:t>3</w:t>
            </w:r>
            <w:r>
              <w:rPr>
                <w:rFonts w:hint="eastAsia"/>
                <w:color w:val="auto"/>
                <w:sz w:val="24"/>
              </w:rPr>
              <w:t>/d），</w:t>
            </w:r>
            <w:r>
              <w:rPr>
                <w:color w:val="auto"/>
                <w:sz w:val="24"/>
              </w:rPr>
              <w:t>生活</w:t>
            </w:r>
            <w:r>
              <w:rPr>
                <w:rFonts w:hint="eastAsia"/>
                <w:color w:val="auto"/>
                <w:sz w:val="24"/>
              </w:rPr>
              <w:t>废</w:t>
            </w:r>
            <w:r>
              <w:rPr>
                <w:color w:val="auto"/>
                <w:sz w:val="24"/>
              </w:rPr>
              <w:t>水</w:t>
            </w:r>
            <w:r>
              <w:rPr>
                <w:rFonts w:hint="eastAsia"/>
                <w:color w:val="auto"/>
                <w:sz w:val="24"/>
              </w:rPr>
              <w:t>中</w:t>
            </w:r>
            <w:r>
              <w:rPr>
                <w:color w:val="auto"/>
                <w:sz w:val="24"/>
              </w:rPr>
              <w:t>CODcr</w:t>
            </w:r>
            <w:r>
              <w:rPr>
                <w:rFonts w:hint="eastAsia"/>
                <w:color w:val="auto"/>
                <w:sz w:val="24"/>
              </w:rPr>
              <w:t>、BOD</w:t>
            </w:r>
            <w:r>
              <w:rPr>
                <w:rFonts w:hint="eastAsia"/>
                <w:color w:val="auto"/>
                <w:sz w:val="24"/>
                <w:vertAlign w:val="subscript"/>
              </w:rPr>
              <w:t>5</w:t>
            </w:r>
            <w:r>
              <w:rPr>
                <w:rFonts w:hint="eastAsia"/>
                <w:color w:val="auto"/>
                <w:sz w:val="24"/>
              </w:rPr>
              <w:t>、SS、NH</w:t>
            </w:r>
            <w:r>
              <w:rPr>
                <w:rFonts w:hint="eastAsia"/>
                <w:color w:val="auto"/>
                <w:sz w:val="24"/>
                <w:vertAlign w:val="subscript"/>
              </w:rPr>
              <w:t>3</w:t>
            </w:r>
            <w:r>
              <w:rPr>
                <w:rFonts w:hint="eastAsia"/>
                <w:color w:val="auto"/>
                <w:sz w:val="24"/>
              </w:rPr>
              <w:t>-N</w:t>
            </w:r>
            <w:r>
              <w:rPr>
                <w:color w:val="auto"/>
                <w:sz w:val="24"/>
              </w:rPr>
              <w:t>产生量</w:t>
            </w:r>
            <w:r>
              <w:rPr>
                <w:rFonts w:hint="eastAsia"/>
                <w:color w:val="auto"/>
                <w:sz w:val="24"/>
              </w:rPr>
              <w:t>分别约</w:t>
            </w:r>
            <w:r>
              <w:rPr>
                <w:color w:val="auto"/>
                <w:sz w:val="24"/>
              </w:rPr>
              <w:t>为</w:t>
            </w:r>
            <w:r>
              <w:rPr>
                <w:rFonts w:hint="eastAsia"/>
                <w:color w:val="auto"/>
                <w:sz w:val="24"/>
              </w:rPr>
              <w:t>0</w:t>
            </w:r>
            <w:r>
              <w:rPr>
                <w:rFonts w:hint="eastAsia"/>
                <w:color w:val="auto"/>
                <w:sz w:val="24"/>
                <w:lang w:val="en-US" w:eastAsia="zh-CN"/>
              </w:rPr>
              <w:t>.11</w:t>
            </w:r>
            <w:r>
              <w:rPr>
                <w:color w:val="auto"/>
                <w:sz w:val="24"/>
              </w:rPr>
              <w:t>t/a</w:t>
            </w:r>
            <w:r>
              <w:rPr>
                <w:rFonts w:hint="eastAsia"/>
                <w:color w:val="auto"/>
                <w:sz w:val="24"/>
              </w:rPr>
              <w:t>、</w:t>
            </w:r>
            <w:r>
              <w:rPr>
                <w:rFonts w:hint="eastAsia"/>
                <w:color w:val="auto"/>
                <w:sz w:val="24"/>
                <w:lang w:val="en-US" w:eastAsia="zh-CN"/>
              </w:rPr>
              <w:t>0.06</w:t>
            </w:r>
            <w:r>
              <w:rPr>
                <w:color w:val="auto"/>
                <w:sz w:val="24"/>
              </w:rPr>
              <w:t>t/a</w:t>
            </w:r>
            <w:r>
              <w:rPr>
                <w:rFonts w:hint="eastAsia"/>
                <w:color w:val="auto"/>
                <w:sz w:val="24"/>
              </w:rPr>
              <w:t>、</w:t>
            </w:r>
            <w:r>
              <w:rPr>
                <w:rFonts w:hint="eastAsia"/>
                <w:color w:val="auto"/>
                <w:sz w:val="24"/>
                <w:lang w:val="en-US" w:eastAsia="zh-CN"/>
              </w:rPr>
              <w:t>0.05</w:t>
            </w:r>
            <w:r>
              <w:rPr>
                <w:color w:val="auto"/>
                <w:sz w:val="24"/>
              </w:rPr>
              <w:t>t/a</w:t>
            </w:r>
            <w:r>
              <w:rPr>
                <w:rFonts w:hint="eastAsia"/>
                <w:color w:val="auto"/>
                <w:sz w:val="24"/>
              </w:rPr>
              <w:t>、0.00</w:t>
            </w:r>
            <w:r>
              <w:rPr>
                <w:rFonts w:hint="eastAsia"/>
                <w:color w:val="auto"/>
                <w:sz w:val="24"/>
                <w:lang w:val="en-US" w:eastAsia="zh-CN"/>
              </w:rPr>
              <w:t>9</w:t>
            </w:r>
            <w:r>
              <w:rPr>
                <w:rFonts w:hint="eastAsia"/>
                <w:color w:val="auto"/>
                <w:sz w:val="24"/>
              </w:rPr>
              <w:t>8</w:t>
            </w:r>
            <w:r>
              <w:rPr>
                <w:color w:val="auto"/>
                <w:sz w:val="24"/>
              </w:rPr>
              <w:t>t/a。</w:t>
            </w:r>
            <w:r>
              <w:rPr>
                <w:rFonts w:hint="eastAsia"/>
                <w:color w:val="auto"/>
                <w:sz w:val="24"/>
              </w:rPr>
              <w:t>生活污水经隔油及化粪池处理后作为周围农田及厂区内绿化施肥，不外排。</w:t>
            </w:r>
          </w:p>
          <w:p>
            <w:pPr>
              <w:spacing w:line="360" w:lineRule="auto"/>
              <w:ind w:firstLine="480" w:firstLineChars="200"/>
              <w:rPr>
                <w:sz w:val="24"/>
              </w:rPr>
            </w:pPr>
            <w:r>
              <w:rPr>
                <w:rFonts w:hint="eastAsia"/>
                <w:sz w:val="24"/>
              </w:rPr>
              <w:t>（3）初期雨水</w:t>
            </w:r>
          </w:p>
          <w:p>
            <w:pPr>
              <w:spacing w:line="360" w:lineRule="auto"/>
              <w:ind w:firstLine="480" w:firstLineChars="200"/>
              <w:rPr>
                <w:sz w:val="24"/>
                <w:szCs w:val="22"/>
                <w:lang w:val="fr-FR"/>
              </w:rPr>
            </w:pPr>
            <w:r>
              <w:rPr>
                <w:rFonts w:hint="eastAsia"/>
                <w:sz w:val="24"/>
                <w:szCs w:val="22"/>
              </w:rPr>
              <w:t>初期雨水经计算，产生量为36</w:t>
            </w:r>
            <w:r>
              <w:rPr>
                <w:rFonts w:hint="eastAsia"/>
                <w:sz w:val="24"/>
                <w:szCs w:val="22"/>
                <w:lang w:val="fr-FR"/>
              </w:rPr>
              <w:t>m</w:t>
            </w:r>
            <w:r>
              <w:rPr>
                <w:rFonts w:hint="eastAsia"/>
                <w:sz w:val="24"/>
                <w:szCs w:val="22"/>
                <w:vertAlign w:val="superscript"/>
                <w:lang w:val="fr-FR"/>
              </w:rPr>
              <w:t>3</w:t>
            </w:r>
            <w:r>
              <w:rPr>
                <w:rFonts w:hint="eastAsia"/>
                <w:sz w:val="24"/>
                <w:szCs w:val="22"/>
                <w:lang w:val="fr-FR"/>
              </w:rPr>
              <w:t>/次，初期雨水中的主要污染物为SS，</w:t>
            </w:r>
            <w:r>
              <w:rPr>
                <w:rFonts w:hint="eastAsia"/>
                <w:sz w:val="24"/>
                <w:szCs w:val="22"/>
              </w:rPr>
              <w:t>经厂区沉淀池沉淀后回用于项目生产，项目</w:t>
            </w:r>
            <w:r>
              <w:rPr>
                <w:rFonts w:hint="eastAsia"/>
                <w:color w:val="auto"/>
                <w:sz w:val="24"/>
                <w:lang w:val="en-US" w:eastAsia="zh-CN"/>
              </w:rPr>
              <w:t>2个</w:t>
            </w:r>
            <w:r>
              <w:rPr>
                <w:rFonts w:hint="eastAsia"/>
                <w:color w:val="auto"/>
                <w:sz w:val="24"/>
                <w:szCs w:val="22"/>
                <w:lang w:val="en-US" w:eastAsia="zh-CN"/>
              </w:rPr>
              <w:t>循环水塔，一个30t，一个22t（水</w:t>
            </w:r>
            <w:r>
              <w:rPr>
                <w:rFonts w:hint="eastAsia"/>
                <w:color w:val="auto"/>
                <w:sz w:val="24"/>
              </w:rPr>
              <w:t>力停留时间按</w:t>
            </w:r>
            <w:r>
              <w:rPr>
                <w:rFonts w:hint="eastAsia"/>
                <w:color w:val="auto"/>
                <w:sz w:val="24"/>
                <w:lang w:val="en-US" w:eastAsia="zh-CN"/>
              </w:rPr>
              <w:t>1</w:t>
            </w:r>
            <w:r>
              <w:rPr>
                <w:rFonts w:hint="eastAsia"/>
                <w:color w:val="auto"/>
                <w:sz w:val="24"/>
              </w:rPr>
              <w:t>小时，则项目</w:t>
            </w:r>
            <w:r>
              <w:rPr>
                <w:rFonts w:hint="eastAsia"/>
                <w:color w:val="auto"/>
                <w:sz w:val="24"/>
                <w:lang w:eastAsia="zh-CN"/>
              </w:rPr>
              <w:t>循环水塔</w:t>
            </w:r>
            <w:r>
              <w:rPr>
                <w:rFonts w:hint="eastAsia"/>
                <w:color w:val="auto"/>
                <w:sz w:val="24"/>
              </w:rPr>
              <w:t>每天可容纳废水</w:t>
            </w:r>
            <w:r>
              <w:rPr>
                <w:rFonts w:hint="eastAsia"/>
                <w:color w:val="auto"/>
                <w:sz w:val="24"/>
                <w:lang w:val="en-US" w:eastAsia="zh-CN"/>
              </w:rPr>
              <w:t>1248</w:t>
            </w:r>
            <w:r>
              <w:rPr>
                <w:rFonts w:hint="eastAsia"/>
                <w:color w:val="auto"/>
                <w:sz w:val="24"/>
              </w:rPr>
              <w:t>m</w:t>
            </w:r>
            <w:r>
              <w:rPr>
                <w:rFonts w:hint="eastAsia"/>
                <w:color w:val="auto"/>
                <w:sz w:val="24"/>
                <w:vertAlign w:val="superscript"/>
              </w:rPr>
              <w:t>3</w:t>
            </w:r>
            <w:r>
              <w:rPr>
                <w:rFonts w:hint="eastAsia"/>
                <w:color w:val="auto"/>
                <w:sz w:val="24"/>
              </w:rPr>
              <w:t>（项目洗砂废水和初期雨水共计1026m</w:t>
            </w:r>
            <w:r>
              <w:rPr>
                <w:rFonts w:hint="eastAsia"/>
                <w:color w:val="auto"/>
                <w:sz w:val="24"/>
                <w:vertAlign w:val="superscript"/>
              </w:rPr>
              <w:t>3</w:t>
            </w:r>
            <w:r>
              <w:rPr>
                <w:rFonts w:hint="eastAsia"/>
                <w:color w:val="auto"/>
                <w:sz w:val="24"/>
              </w:rPr>
              <w:t>，满足要求），另设生产用1个清水池（容积约</w:t>
            </w:r>
            <w:r>
              <w:rPr>
                <w:rFonts w:hint="eastAsia"/>
                <w:color w:val="auto"/>
                <w:sz w:val="24"/>
                <w:lang w:val="en-US" w:eastAsia="zh-CN"/>
              </w:rPr>
              <w:t>240</w:t>
            </w:r>
            <w:r>
              <w:rPr>
                <w:rFonts w:hint="eastAsia"/>
                <w:color w:val="auto"/>
                <w:sz w:val="24"/>
              </w:rPr>
              <w:t>m</w:t>
            </w:r>
            <w:r>
              <w:rPr>
                <w:rFonts w:hint="eastAsia"/>
                <w:color w:val="auto"/>
                <w:sz w:val="24"/>
                <w:vertAlign w:val="superscript"/>
              </w:rPr>
              <w:t>3</w:t>
            </w:r>
            <w:r>
              <w:rPr>
                <w:rFonts w:hint="eastAsia"/>
                <w:color w:val="auto"/>
                <w:sz w:val="24"/>
              </w:rPr>
              <w:t>），</w:t>
            </w:r>
            <w:r>
              <w:rPr>
                <w:rFonts w:hint="eastAsia"/>
                <w:color w:val="auto"/>
                <w:sz w:val="24"/>
                <w:lang w:eastAsia="zh-CN"/>
              </w:rPr>
              <w:t>循环水塔</w:t>
            </w:r>
            <w:r>
              <w:rPr>
                <w:rFonts w:hint="eastAsia"/>
                <w:color w:val="auto"/>
                <w:sz w:val="24"/>
              </w:rPr>
              <w:t>处理后</w:t>
            </w:r>
            <w:r>
              <w:rPr>
                <w:rFonts w:hint="eastAsia"/>
                <w:color w:val="auto"/>
                <w:sz w:val="24"/>
                <w:szCs w:val="22"/>
              </w:rPr>
              <w:t>排入</w:t>
            </w:r>
            <w:r>
              <w:rPr>
                <w:rFonts w:hint="eastAsia"/>
                <w:color w:val="auto"/>
                <w:sz w:val="24"/>
                <w:szCs w:val="22"/>
                <w:lang w:eastAsia="zh-CN"/>
              </w:rPr>
              <w:t>清</w:t>
            </w:r>
            <w:r>
              <w:rPr>
                <w:rFonts w:hint="eastAsia"/>
                <w:color w:val="auto"/>
                <w:sz w:val="24"/>
                <w:szCs w:val="22"/>
              </w:rPr>
              <w:t>水池，再回用于生产，保证废水不外排。</w:t>
            </w:r>
            <w:r>
              <w:rPr>
                <w:rFonts w:hint="eastAsia"/>
                <w:sz w:val="24"/>
                <w:szCs w:val="22"/>
              </w:rPr>
              <w:t>项目场地外的雨水直接导流进入周围雨水沟。</w:t>
            </w:r>
          </w:p>
          <w:p>
            <w:pPr>
              <w:spacing w:line="360" w:lineRule="auto"/>
              <w:ind w:firstLine="480" w:firstLineChars="200"/>
              <w:rPr>
                <w:sz w:val="24"/>
                <w:szCs w:val="22"/>
              </w:rPr>
            </w:pPr>
            <w:r>
              <w:rPr>
                <w:rFonts w:hint="eastAsia"/>
                <w:sz w:val="24"/>
                <w:szCs w:val="22"/>
              </w:rPr>
              <w:t>水稻（冬闲水田）废水最大承载力为15t/亩·年，适宜承载力为6.84t/亩·年，本项目外排污水总量为228t/a，则最少需16亩农田才能消纳本项目外排废水，最适宜农田面积为34亩，本项目周围为居民农田，农田总面积约为70亩，能完全消纳本项目生产废水，故项目用于周围农田做农肥可行，对周边水环境影响较小。</w:t>
            </w:r>
          </w:p>
          <w:p>
            <w:pPr>
              <w:spacing w:line="360" w:lineRule="auto"/>
              <w:ind w:firstLine="480" w:firstLineChars="200"/>
              <w:rPr>
                <w:sz w:val="24"/>
                <w:szCs w:val="22"/>
              </w:rPr>
            </w:pPr>
            <w:r>
              <w:rPr>
                <w:rFonts w:hint="eastAsia"/>
                <w:sz w:val="24"/>
                <w:szCs w:val="22"/>
              </w:rPr>
              <w:t xml:space="preserve"> 综合以上分析，本项目无废水外排，不会对周围水环境造成影响。</w:t>
            </w:r>
          </w:p>
          <w:p>
            <w:pPr>
              <w:pStyle w:val="2"/>
              <w:ind w:firstLine="240" w:firstLineChars="100"/>
              <w:rPr>
                <w:szCs w:val="20"/>
              </w:rPr>
            </w:pPr>
            <w:r>
              <w:rPr>
                <w:rFonts w:hint="eastAsia"/>
                <w:sz w:val="24"/>
              </w:rPr>
              <w:t>（4）项目废水对塌西湖、华容河及长江的影响分析</w:t>
            </w:r>
          </w:p>
          <w:p>
            <w:pPr>
              <w:tabs>
                <w:tab w:val="left" w:pos="2100"/>
              </w:tabs>
              <w:spacing w:line="360" w:lineRule="auto"/>
              <w:ind w:firstLine="480"/>
              <w:rPr>
                <w:snapToGrid w:val="0"/>
                <w:sz w:val="24"/>
                <w:szCs w:val="22"/>
              </w:rPr>
            </w:pPr>
            <w:r>
              <w:rPr>
                <w:rFonts w:hint="eastAsia"/>
                <w:snapToGrid w:val="0"/>
                <w:sz w:val="24"/>
                <w:szCs w:val="22"/>
              </w:rPr>
              <w:t>塌西湖位于本项目西侧约830m处，主要功能为渔业用水，执行《地表水环境质量标准》Ⅲ类标准；长江位于本项目北侧约15km处，主要功能为渔业用水，执行《地表水环境质量标准》Ⅲ类标准；</w:t>
            </w:r>
            <w:r>
              <w:rPr>
                <w:rFonts w:hint="eastAsia"/>
                <w:sz w:val="24"/>
              </w:rPr>
              <w:t>华容河位于本项目东侧约2km处，</w:t>
            </w:r>
            <w:r>
              <w:rPr>
                <w:rFonts w:hint="eastAsia"/>
                <w:snapToGrid w:val="0"/>
                <w:sz w:val="24"/>
                <w:szCs w:val="22"/>
              </w:rPr>
              <w:t>主要功能为渔业用水，执行《地表水环境质量标准》Ⅲ类标准；</w:t>
            </w:r>
          </w:p>
          <w:p>
            <w:pPr>
              <w:tabs>
                <w:tab w:val="left" w:pos="2100"/>
              </w:tabs>
              <w:spacing w:line="360" w:lineRule="auto"/>
              <w:ind w:firstLine="480"/>
              <w:rPr>
                <w:snapToGrid w:val="0"/>
                <w:sz w:val="24"/>
                <w:szCs w:val="22"/>
              </w:rPr>
            </w:pPr>
            <w:r>
              <w:rPr>
                <w:rFonts w:hint="eastAsia"/>
                <w:snapToGrid w:val="0"/>
                <w:sz w:val="24"/>
                <w:szCs w:val="22"/>
              </w:rPr>
              <w:t>本项目生产废水回用不外排，生活废水用于农田绿化施肥，不会对</w:t>
            </w:r>
            <w:r>
              <w:rPr>
                <w:rFonts w:hint="eastAsia"/>
                <w:sz w:val="24"/>
              </w:rPr>
              <w:t>塌西湖、华容河及长江</w:t>
            </w:r>
            <w:r>
              <w:rPr>
                <w:rFonts w:hint="eastAsia"/>
                <w:snapToGrid w:val="0"/>
                <w:sz w:val="24"/>
                <w:szCs w:val="22"/>
              </w:rPr>
              <w:t>水质造成影响。</w:t>
            </w:r>
          </w:p>
          <w:p>
            <w:pPr>
              <w:pStyle w:val="2"/>
              <w:jc w:val="center"/>
              <w:rPr>
                <w:b/>
                <w:bCs/>
                <w:szCs w:val="21"/>
              </w:rPr>
            </w:pPr>
            <w:r>
              <w:rPr>
                <w:rFonts w:hint="eastAsia"/>
                <w:b/>
                <w:bCs/>
                <w:snapToGrid w:val="0"/>
                <w:szCs w:val="21"/>
              </w:rPr>
              <w:t>表7-</w:t>
            </w:r>
            <w:r>
              <w:rPr>
                <w:rFonts w:hint="eastAsia"/>
                <w:b/>
                <w:bCs/>
                <w:snapToGrid w:val="0"/>
                <w:szCs w:val="21"/>
                <w:lang w:val="en-US" w:eastAsia="zh-CN"/>
              </w:rPr>
              <w:t>2</w:t>
            </w:r>
            <w:r>
              <w:rPr>
                <w:rFonts w:hint="eastAsia"/>
                <w:b/>
                <w:bCs/>
                <w:snapToGrid w:val="0"/>
                <w:szCs w:val="21"/>
              </w:rPr>
              <w:t xml:space="preserve"> 废水类别、污染物及治理设施信息表</w:t>
            </w:r>
          </w:p>
          <w:tbl>
            <w:tblPr>
              <w:tblStyle w:val="29"/>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838"/>
              <w:gridCol w:w="838"/>
              <w:gridCol w:w="839"/>
              <w:gridCol w:w="839"/>
              <w:gridCol w:w="839"/>
              <w:gridCol w:w="839"/>
              <w:gridCol w:w="839"/>
              <w:gridCol w:w="839"/>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38" w:type="dxa"/>
                  <w:vMerge w:val="restart"/>
                  <w:tcBorders>
                    <w:top w:val="single" w:color="auto" w:sz="12" w:space="0"/>
                  </w:tcBorders>
                  <w:vAlign w:val="center"/>
                </w:tcPr>
                <w:p>
                  <w:pPr>
                    <w:pStyle w:val="2"/>
                    <w:jc w:val="center"/>
                  </w:pPr>
                  <w:r>
                    <w:rPr>
                      <w:rFonts w:hint="eastAsia"/>
                    </w:rPr>
                    <w:t>废水类别</w:t>
                  </w:r>
                </w:p>
              </w:tc>
              <w:tc>
                <w:tcPr>
                  <w:tcW w:w="838" w:type="dxa"/>
                  <w:vMerge w:val="restart"/>
                  <w:tcBorders>
                    <w:top w:val="single" w:color="auto" w:sz="12" w:space="0"/>
                  </w:tcBorders>
                  <w:vAlign w:val="center"/>
                </w:tcPr>
                <w:p>
                  <w:pPr>
                    <w:pStyle w:val="2"/>
                    <w:jc w:val="center"/>
                  </w:pPr>
                  <w:r>
                    <w:rPr>
                      <w:rFonts w:hint="eastAsia"/>
                    </w:rPr>
                    <w:t>污染物种类</w:t>
                  </w:r>
                </w:p>
              </w:tc>
              <w:tc>
                <w:tcPr>
                  <w:tcW w:w="838" w:type="dxa"/>
                  <w:vMerge w:val="restart"/>
                  <w:tcBorders>
                    <w:top w:val="single" w:color="auto" w:sz="12" w:space="0"/>
                  </w:tcBorders>
                  <w:vAlign w:val="center"/>
                </w:tcPr>
                <w:p>
                  <w:pPr>
                    <w:pStyle w:val="2"/>
                    <w:jc w:val="center"/>
                  </w:pPr>
                  <w:r>
                    <w:rPr>
                      <w:rFonts w:hint="eastAsia"/>
                    </w:rPr>
                    <w:t>排放去向</w:t>
                  </w:r>
                </w:p>
              </w:tc>
              <w:tc>
                <w:tcPr>
                  <w:tcW w:w="839" w:type="dxa"/>
                  <w:vMerge w:val="restart"/>
                  <w:tcBorders>
                    <w:top w:val="single" w:color="auto" w:sz="12" w:space="0"/>
                  </w:tcBorders>
                  <w:vAlign w:val="center"/>
                </w:tcPr>
                <w:p>
                  <w:pPr>
                    <w:pStyle w:val="2"/>
                    <w:jc w:val="center"/>
                  </w:pPr>
                  <w:r>
                    <w:rPr>
                      <w:rFonts w:hint="eastAsia"/>
                    </w:rPr>
                    <w:t>排放规律</w:t>
                  </w:r>
                </w:p>
              </w:tc>
              <w:tc>
                <w:tcPr>
                  <w:tcW w:w="2517" w:type="dxa"/>
                  <w:gridSpan w:val="3"/>
                  <w:tcBorders>
                    <w:top w:val="single" w:color="auto" w:sz="12" w:space="0"/>
                  </w:tcBorders>
                  <w:vAlign w:val="center"/>
                </w:tcPr>
                <w:p>
                  <w:pPr>
                    <w:pStyle w:val="2"/>
                    <w:jc w:val="center"/>
                  </w:pPr>
                  <w:r>
                    <w:rPr>
                      <w:rFonts w:hint="eastAsia"/>
                    </w:rPr>
                    <w:t>污染治理设施</w:t>
                  </w:r>
                </w:p>
              </w:tc>
              <w:tc>
                <w:tcPr>
                  <w:tcW w:w="839" w:type="dxa"/>
                  <w:vMerge w:val="restart"/>
                  <w:tcBorders>
                    <w:top w:val="single" w:color="auto" w:sz="12" w:space="0"/>
                  </w:tcBorders>
                  <w:vAlign w:val="center"/>
                </w:tcPr>
                <w:p>
                  <w:pPr>
                    <w:pStyle w:val="2"/>
                    <w:jc w:val="center"/>
                  </w:pPr>
                  <w:r>
                    <w:rPr>
                      <w:rFonts w:hint="eastAsia"/>
                    </w:rPr>
                    <w:t>排放口编号</w:t>
                  </w:r>
                </w:p>
              </w:tc>
              <w:tc>
                <w:tcPr>
                  <w:tcW w:w="839" w:type="dxa"/>
                  <w:vMerge w:val="restart"/>
                  <w:tcBorders>
                    <w:top w:val="single" w:color="auto" w:sz="12" w:space="0"/>
                  </w:tcBorders>
                  <w:vAlign w:val="center"/>
                </w:tcPr>
                <w:p>
                  <w:pPr>
                    <w:pStyle w:val="2"/>
                    <w:jc w:val="center"/>
                  </w:pPr>
                  <w:r>
                    <w:rPr>
                      <w:rFonts w:hint="eastAsia"/>
                    </w:rPr>
                    <w:t>排放口设置是否符合要求</w:t>
                  </w:r>
                </w:p>
              </w:tc>
              <w:tc>
                <w:tcPr>
                  <w:tcW w:w="839" w:type="dxa"/>
                  <w:vMerge w:val="restart"/>
                  <w:tcBorders>
                    <w:top w:val="single" w:color="auto" w:sz="12" w:space="0"/>
                    <w:right w:val="single" w:color="auto" w:sz="12" w:space="0"/>
                  </w:tcBorders>
                  <w:vAlign w:val="center"/>
                </w:tcPr>
                <w:p>
                  <w:pPr>
                    <w:pStyle w:val="2"/>
                    <w:jc w:val="center"/>
                  </w:pPr>
                  <w:r>
                    <w:rPr>
                      <w:rFonts w:hint="eastAsia"/>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38" w:type="dxa"/>
                  <w:vMerge w:val="continue"/>
                  <w:tcBorders>
                    <w:left w:val="single" w:color="auto" w:sz="4" w:space="0"/>
                  </w:tcBorders>
                  <w:vAlign w:val="center"/>
                </w:tcPr>
                <w:p>
                  <w:pPr>
                    <w:pStyle w:val="2"/>
                    <w:jc w:val="center"/>
                  </w:pPr>
                </w:p>
              </w:tc>
              <w:tc>
                <w:tcPr>
                  <w:tcW w:w="838" w:type="dxa"/>
                  <w:vMerge w:val="continue"/>
                  <w:vAlign w:val="center"/>
                </w:tcPr>
                <w:p>
                  <w:pPr>
                    <w:pStyle w:val="2"/>
                    <w:jc w:val="center"/>
                  </w:pPr>
                </w:p>
              </w:tc>
              <w:tc>
                <w:tcPr>
                  <w:tcW w:w="838" w:type="dxa"/>
                  <w:vMerge w:val="continue"/>
                  <w:vAlign w:val="center"/>
                </w:tcPr>
                <w:p>
                  <w:pPr>
                    <w:pStyle w:val="2"/>
                    <w:jc w:val="center"/>
                  </w:pPr>
                </w:p>
              </w:tc>
              <w:tc>
                <w:tcPr>
                  <w:tcW w:w="839" w:type="dxa"/>
                  <w:vMerge w:val="continue"/>
                  <w:vAlign w:val="center"/>
                </w:tcPr>
                <w:p>
                  <w:pPr>
                    <w:pStyle w:val="2"/>
                    <w:jc w:val="center"/>
                  </w:pPr>
                </w:p>
              </w:tc>
              <w:tc>
                <w:tcPr>
                  <w:tcW w:w="839" w:type="dxa"/>
                  <w:vAlign w:val="center"/>
                </w:tcPr>
                <w:p>
                  <w:pPr>
                    <w:pStyle w:val="2"/>
                    <w:jc w:val="center"/>
                  </w:pPr>
                  <w:r>
                    <w:rPr>
                      <w:rFonts w:hint="eastAsia"/>
                    </w:rPr>
                    <w:t>污染治理设施编号</w:t>
                  </w:r>
                </w:p>
              </w:tc>
              <w:tc>
                <w:tcPr>
                  <w:tcW w:w="839" w:type="dxa"/>
                  <w:vAlign w:val="center"/>
                </w:tcPr>
                <w:p>
                  <w:pPr>
                    <w:pStyle w:val="2"/>
                    <w:jc w:val="center"/>
                  </w:pPr>
                  <w:r>
                    <w:rPr>
                      <w:rFonts w:hint="eastAsia"/>
                    </w:rPr>
                    <w:t>污染治理设施名称</w:t>
                  </w:r>
                </w:p>
              </w:tc>
              <w:tc>
                <w:tcPr>
                  <w:tcW w:w="839" w:type="dxa"/>
                  <w:vAlign w:val="center"/>
                </w:tcPr>
                <w:p>
                  <w:pPr>
                    <w:pStyle w:val="2"/>
                    <w:jc w:val="center"/>
                  </w:pPr>
                  <w:r>
                    <w:rPr>
                      <w:rFonts w:hint="eastAsia"/>
                    </w:rPr>
                    <w:t>污染治理设施工艺</w:t>
                  </w:r>
                </w:p>
              </w:tc>
              <w:tc>
                <w:tcPr>
                  <w:tcW w:w="839" w:type="dxa"/>
                  <w:vMerge w:val="continue"/>
                  <w:vAlign w:val="center"/>
                </w:tcPr>
                <w:p>
                  <w:pPr>
                    <w:pStyle w:val="2"/>
                    <w:jc w:val="center"/>
                  </w:pPr>
                </w:p>
              </w:tc>
              <w:tc>
                <w:tcPr>
                  <w:tcW w:w="839" w:type="dxa"/>
                  <w:vMerge w:val="continue"/>
                  <w:vAlign w:val="center"/>
                </w:tcPr>
                <w:p>
                  <w:pPr>
                    <w:pStyle w:val="2"/>
                    <w:jc w:val="center"/>
                  </w:pPr>
                </w:p>
              </w:tc>
              <w:tc>
                <w:tcPr>
                  <w:tcW w:w="839" w:type="dxa"/>
                  <w:vMerge w:val="continue"/>
                  <w:tcBorders>
                    <w:right w:val="single" w:color="auto" w:sz="12" w:space="0"/>
                  </w:tcBorders>
                  <w:vAlign w:val="center"/>
                </w:tcPr>
                <w:p>
                  <w:pPr>
                    <w:pStyle w:val="2"/>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Borders>
                    <w:left w:val="single" w:color="auto" w:sz="4" w:space="0"/>
                    <w:bottom w:val="single" w:color="auto" w:sz="12" w:space="0"/>
                  </w:tcBorders>
                  <w:vAlign w:val="center"/>
                </w:tcPr>
                <w:p>
                  <w:pPr>
                    <w:pStyle w:val="2"/>
                    <w:jc w:val="center"/>
                  </w:pPr>
                  <w:r>
                    <w:rPr>
                      <w:rFonts w:hint="eastAsia"/>
                    </w:rPr>
                    <w:t>生活废水</w:t>
                  </w:r>
                </w:p>
              </w:tc>
              <w:tc>
                <w:tcPr>
                  <w:tcW w:w="838" w:type="dxa"/>
                  <w:tcBorders>
                    <w:bottom w:val="single" w:color="auto" w:sz="12" w:space="0"/>
                  </w:tcBorders>
                  <w:vAlign w:val="center"/>
                </w:tcPr>
                <w:p>
                  <w:pPr>
                    <w:pStyle w:val="2"/>
                    <w:jc w:val="center"/>
                  </w:pPr>
                  <w:r>
                    <w:rPr>
                      <w:rFonts w:hint="eastAsia"/>
                    </w:rPr>
                    <w:t>氨氮、COD</w:t>
                  </w:r>
                  <w:r>
                    <w:rPr>
                      <w:rFonts w:hint="eastAsia"/>
                      <w:vertAlign w:val="subscript"/>
                    </w:rPr>
                    <w:t>Cr</w:t>
                  </w:r>
                </w:p>
              </w:tc>
              <w:tc>
                <w:tcPr>
                  <w:tcW w:w="838" w:type="dxa"/>
                  <w:tcBorders>
                    <w:bottom w:val="single" w:color="auto" w:sz="12" w:space="0"/>
                  </w:tcBorders>
                  <w:vAlign w:val="center"/>
                </w:tcPr>
                <w:p>
                  <w:pPr>
                    <w:pStyle w:val="2"/>
                    <w:jc w:val="center"/>
                  </w:pPr>
                  <w:r>
                    <w:rPr>
                      <w:rFonts w:hint="eastAsia"/>
                    </w:rPr>
                    <w:t>不外排</w:t>
                  </w:r>
                </w:p>
              </w:tc>
              <w:tc>
                <w:tcPr>
                  <w:tcW w:w="839" w:type="dxa"/>
                  <w:tcBorders>
                    <w:bottom w:val="single" w:color="auto" w:sz="12" w:space="0"/>
                  </w:tcBorders>
                  <w:vAlign w:val="center"/>
                </w:tcPr>
                <w:p>
                  <w:pPr>
                    <w:pStyle w:val="2"/>
                    <w:jc w:val="center"/>
                  </w:pPr>
                  <w:r>
                    <w:rPr>
                      <w:rFonts w:hint="eastAsia"/>
                    </w:rPr>
                    <w:t>-</w:t>
                  </w:r>
                </w:p>
              </w:tc>
              <w:tc>
                <w:tcPr>
                  <w:tcW w:w="839" w:type="dxa"/>
                  <w:tcBorders>
                    <w:bottom w:val="single" w:color="auto" w:sz="12" w:space="0"/>
                  </w:tcBorders>
                  <w:vAlign w:val="center"/>
                </w:tcPr>
                <w:p>
                  <w:pPr>
                    <w:pStyle w:val="2"/>
                    <w:jc w:val="center"/>
                  </w:pPr>
                  <w:r>
                    <w:rPr>
                      <w:rFonts w:hint="eastAsia"/>
                    </w:rPr>
                    <w:t>TW001</w:t>
                  </w:r>
                </w:p>
              </w:tc>
              <w:tc>
                <w:tcPr>
                  <w:tcW w:w="839" w:type="dxa"/>
                  <w:tcBorders>
                    <w:bottom w:val="single" w:color="auto" w:sz="12" w:space="0"/>
                  </w:tcBorders>
                  <w:vAlign w:val="center"/>
                </w:tcPr>
                <w:p>
                  <w:pPr>
                    <w:pStyle w:val="2"/>
                    <w:jc w:val="center"/>
                  </w:pPr>
                  <w:r>
                    <w:rPr>
                      <w:rFonts w:hint="eastAsia"/>
                    </w:rPr>
                    <w:t>生活污水处理系统</w:t>
                  </w:r>
                </w:p>
              </w:tc>
              <w:tc>
                <w:tcPr>
                  <w:tcW w:w="839" w:type="dxa"/>
                  <w:tcBorders>
                    <w:bottom w:val="single" w:color="auto" w:sz="12" w:space="0"/>
                  </w:tcBorders>
                  <w:vAlign w:val="center"/>
                </w:tcPr>
                <w:p>
                  <w:pPr>
                    <w:pStyle w:val="2"/>
                    <w:jc w:val="center"/>
                  </w:pPr>
                  <w:r>
                    <w:rPr>
                      <w:rFonts w:hint="eastAsia"/>
                    </w:rPr>
                    <w:t>隔油池+化粪池</w:t>
                  </w:r>
                </w:p>
              </w:tc>
              <w:tc>
                <w:tcPr>
                  <w:tcW w:w="839" w:type="dxa"/>
                  <w:tcBorders>
                    <w:bottom w:val="single" w:color="auto" w:sz="12" w:space="0"/>
                  </w:tcBorders>
                  <w:vAlign w:val="center"/>
                </w:tcPr>
                <w:p>
                  <w:pPr>
                    <w:pStyle w:val="2"/>
                    <w:jc w:val="center"/>
                  </w:pPr>
                  <w:r>
                    <w:rPr>
                      <w:rFonts w:hint="eastAsia"/>
                    </w:rPr>
                    <w:t>-</w:t>
                  </w:r>
                </w:p>
              </w:tc>
              <w:tc>
                <w:tcPr>
                  <w:tcW w:w="839" w:type="dxa"/>
                  <w:tcBorders>
                    <w:bottom w:val="single" w:color="auto" w:sz="12" w:space="0"/>
                  </w:tcBorders>
                  <w:vAlign w:val="center"/>
                </w:tcPr>
                <w:p>
                  <w:pPr>
                    <w:pStyle w:val="2"/>
                    <w:jc w:val="center"/>
                  </w:pPr>
                  <w:r>
                    <w:rPr>
                      <w:rFonts w:hint="eastAsia"/>
                    </w:rPr>
                    <w:t>-</w:t>
                  </w:r>
                </w:p>
              </w:tc>
              <w:tc>
                <w:tcPr>
                  <w:tcW w:w="839" w:type="dxa"/>
                  <w:tcBorders>
                    <w:bottom w:val="single" w:color="auto" w:sz="12" w:space="0"/>
                    <w:right w:val="single" w:color="auto" w:sz="12" w:space="0"/>
                  </w:tcBorders>
                  <w:vAlign w:val="center"/>
                </w:tcPr>
                <w:p>
                  <w:pPr>
                    <w:pStyle w:val="2"/>
                    <w:jc w:val="center"/>
                  </w:pPr>
                  <w:r>
                    <w:rPr>
                      <w:rFonts w:hint="eastAsia"/>
                    </w:rPr>
                    <w:t>-</w:t>
                  </w:r>
                </w:p>
              </w:tc>
            </w:tr>
          </w:tbl>
          <w:p>
            <w:pPr>
              <w:pStyle w:val="27"/>
              <w:widowControl/>
              <w:spacing w:after="0"/>
              <w:ind w:firstLine="482" w:firstLineChars="200"/>
              <w:rPr>
                <w:b/>
                <w:sz w:val="24"/>
                <w:szCs w:val="20"/>
              </w:rPr>
            </w:pPr>
            <w:r>
              <w:rPr>
                <w:rFonts w:hint="eastAsia"/>
                <w:b/>
                <w:sz w:val="24"/>
                <w:szCs w:val="20"/>
              </w:rPr>
              <w:t>项目水环境自查表详见附表2。</w:t>
            </w:r>
          </w:p>
          <w:p>
            <w:pPr>
              <w:pStyle w:val="27"/>
              <w:widowControl/>
              <w:numPr>
                <w:ilvl w:val="0"/>
                <w:numId w:val="1"/>
              </w:numPr>
              <w:spacing w:after="0"/>
              <w:ind w:firstLine="482" w:firstLineChars="200"/>
              <w:jc w:val="left"/>
              <w:rPr>
                <w:b/>
                <w:sz w:val="24"/>
                <w:szCs w:val="20"/>
              </w:rPr>
            </w:pPr>
            <w:r>
              <w:rPr>
                <w:rFonts w:hint="eastAsia"/>
                <w:b/>
                <w:sz w:val="24"/>
                <w:szCs w:val="20"/>
              </w:rPr>
              <w:t>环境空气影响分析</w:t>
            </w:r>
          </w:p>
          <w:p>
            <w:pPr>
              <w:spacing w:line="500" w:lineRule="exact"/>
              <w:ind w:firstLine="480" w:firstLineChars="200"/>
              <w:rPr>
                <w:sz w:val="24"/>
              </w:rPr>
            </w:pPr>
            <w:r>
              <w:rPr>
                <w:rFonts w:hint="eastAsia"/>
                <w:sz w:val="24"/>
              </w:rPr>
              <w:t>（1）无组织粉尘</w:t>
            </w:r>
          </w:p>
          <w:p>
            <w:pPr>
              <w:adjustRightInd w:val="0"/>
              <w:snapToGrid w:val="0"/>
              <w:spacing w:line="360" w:lineRule="auto"/>
              <w:ind w:left="-55" w:leftChars="-26" w:firstLine="480" w:firstLineChars="200"/>
              <w:rPr>
                <w:sz w:val="24"/>
              </w:rPr>
            </w:pPr>
            <w:r>
              <w:rPr>
                <w:rFonts w:hint="eastAsia"/>
                <w:sz w:val="24"/>
              </w:rPr>
              <w:t>项目装卸料起尘量为0.06</w:t>
            </w:r>
            <w:r>
              <w:rPr>
                <w:rFonts w:hint="eastAsia"/>
                <w:bCs/>
                <w:sz w:val="24"/>
              </w:rPr>
              <w:t>t/a，破碎筛分过程中起尘量为0.22t/a，运输车辆产生的扬尘为0.5t/a，均呈</w:t>
            </w:r>
            <w:r>
              <w:rPr>
                <w:rFonts w:hint="eastAsia"/>
                <w:sz w:val="24"/>
              </w:rPr>
              <w:t>无组织排放，粉尘无组织排放总量为0.78t/a。</w:t>
            </w:r>
            <w:r>
              <w:rPr>
                <w:sz w:val="24"/>
              </w:rPr>
              <w:t>根据《环境影响评价技术导则</w:t>
            </w:r>
            <w:r>
              <w:rPr>
                <w:rFonts w:hint="eastAsia"/>
                <w:sz w:val="24"/>
              </w:rPr>
              <w:t>大气环境</w:t>
            </w:r>
            <w:r>
              <w:rPr>
                <w:sz w:val="24"/>
              </w:rPr>
              <w:t>》</w:t>
            </w:r>
            <w:r>
              <w:rPr>
                <w:bCs/>
                <w:sz w:val="24"/>
              </w:rPr>
              <w:t>（HJ 2.2-20</w:t>
            </w:r>
            <w:r>
              <w:rPr>
                <w:rFonts w:hint="eastAsia"/>
                <w:bCs/>
                <w:sz w:val="24"/>
              </w:rPr>
              <w:t>1</w:t>
            </w:r>
            <w:r>
              <w:rPr>
                <w:bCs/>
                <w:sz w:val="24"/>
              </w:rPr>
              <w:t>8）中</w:t>
            </w:r>
            <w:r>
              <w:rPr>
                <w:rFonts w:hint="eastAsia"/>
                <w:bCs/>
                <w:sz w:val="24"/>
              </w:rPr>
              <w:t>估算模型AERSCREEN进行预测，计算最大落地浓度和占标率</w:t>
            </w:r>
            <w:r>
              <w:rPr>
                <w:bCs/>
                <w:sz w:val="24"/>
              </w:rPr>
              <w:t>。</w:t>
            </w:r>
            <w:r>
              <w:rPr>
                <w:rFonts w:hint="eastAsia"/>
                <w:sz w:val="24"/>
              </w:rPr>
              <w:t>项目面源参数表详见表7-</w:t>
            </w:r>
            <w:r>
              <w:rPr>
                <w:rFonts w:hint="eastAsia"/>
                <w:sz w:val="24"/>
                <w:lang w:val="en-US" w:eastAsia="zh-CN"/>
              </w:rPr>
              <w:t>3</w:t>
            </w:r>
            <w:r>
              <w:rPr>
                <w:rFonts w:hint="eastAsia"/>
                <w:sz w:val="24"/>
              </w:rPr>
              <w:t>，估算模型参数表见表7-</w:t>
            </w:r>
            <w:r>
              <w:rPr>
                <w:rFonts w:hint="eastAsia"/>
                <w:sz w:val="24"/>
                <w:lang w:val="en-US" w:eastAsia="zh-CN"/>
              </w:rPr>
              <w:t>4</w:t>
            </w:r>
            <w:r>
              <w:rPr>
                <w:sz w:val="24"/>
              </w:rPr>
              <w:t>。</w:t>
            </w:r>
          </w:p>
          <w:p>
            <w:pPr>
              <w:adjustRightInd w:val="0"/>
              <w:snapToGrid w:val="0"/>
              <w:spacing w:line="271" w:lineRule="auto"/>
              <w:ind w:firstLine="482" w:firstLineChars="200"/>
              <w:jc w:val="center"/>
              <w:rPr>
                <w:b/>
                <w:sz w:val="24"/>
                <w:szCs w:val="24"/>
              </w:rPr>
            </w:pPr>
            <w:r>
              <w:rPr>
                <w:b/>
                <w:sz w:val="24"/>
                <w:szCs w:val="24"/>
              </w:rPr>
              <w:t>表</w:t>
            </w:r>
            <w:r>
              <w:rPr>
                <w:rFonts w:hint="eastAsia"/>
                <w:b/>
                <w:sz w:val="24"/>
                <w:szCs w:val="24"/>
              </w:rPr>
              <w:t>7-</w:t>
            </w:r>
            <w:r>
              <w:rPr>
                <w:rFonts w:hint="eastAsia"/>
                <w:b/>
                <w:sz w:val="24"/>
                <w:szCs w:val="24"/>
                <w:lang w:val="en-US" w:eastAsia="zh-CN"/>
              </w:rPr>
              <w:t>3</w:t>
            </w:r>
            <w:r>
              <w:rPr>
                <w:b/>
                <w:sz w:val="24"/>
                <w:szCs w:val="24"/>
              </w:rPr>
              <w:t xml:space="preserve">   废气</w:t>
            </w:r>
            <w:r>
              <w:rPr>
                <w:rFonts w:hint="eastAsia"/>
                <w:b/>
                <w:sz w:val="24"/>
                <w:szCs w:val="24"/>
              </w:rPr>
              <w:t>面</w:t>
            </w:r>
            <w:r>
              <w:rPr>
                <w:b/>
                <w:sz w:val="24"/>
                <w:szCs w:val="24"/>
              </w:rPr>
              <w:t>源排放预测参数表</w:t>
            </w:r>
          </w:p>
          <w:tbl>
            <w:tblPr>
              <w:tblStyle w:val="28"/>
              <w:tblW w:w="84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0"/>
              <w:gridCol w:w="600"/>
              <w:gridCol w:w="637"/>
              <w:gridCol w:w="738"/>
              <w:gridCol w:w="552"/>
              <w:gridCol w:w="723"/>
              <w:gridCol w:w="574"/>
              <w:gridCol w:w="1001"/>
              <w:gridCol w:w="1013"/>
              <w:gridCol w:w="924"/>
              <w:gridCol w:w="9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4" w:hRule="atLeast"/>
                <w:jc w:val="center"/>
              </w:trPr>
              <w:tc>
                <w:tcPr>
                  <w:tcW w:w="730" w:type="dxa"/>
                  <w:vMerge w:val="restart"/>
                  <w:tcBorders>
                    <w:top w:val="single" w:color="auto" w:sz="12" w:space="0"/>
                    <w:bottom w:val="single" w:color="auto" w:sz="4" w:space="0"/>
                    <w:right w:val="single" w:color="auto" w:sz="4" w:space="0"/>
                  </w:tcBorders>
                  <w:noWrap/>
                  <w:vAlign w:val="center"/>
                </w:tcPr>
                <w:p>
                  <w:pPr>
                    <w:jc w:val="center"/>
                    <w:rPr>
                      <w:szCs w:val="21"/>
                    </w:rPr>
                  </w:pPr>
                  <w:r>
                    <w:rPr>
                      <w:rFonts w:hint="eastAsia"/>
                      <w:szCs w:val="21"/>
                    </w:rPr>
                    <w:t>名称</w:t>
                  </w:r>
                </w:p>
              </w:tc>
              <w:tc>
                <w:tcPr>
                  <w:tcW w:w="1237" w:type="dxa"/>
                  <w:gridSpan w:val="2"/>
                  <w:vMerge w:val="restart"/>
                  <w:tcBorders>
                    <w:top w:val="single" w:color="auto" w:sz="12"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面源起点坐标/m</w:t>
                  </w:r>
                </w:p>
              </w:tc>
              <w:tc>
                <w:tcPr>
                  <w:tcW w:w="738" w:type="dxa"/>
                  <w:vMerge w:val="restart"/>
                  <w:tcBorders>
                    <w:top w:val="single" w:color="auto" w:sz="12"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面源海拔高度/m</w:t>
                  </w:r>
                </w:p>
              </w:tc>
              <w:tc>
                <w:tcPr>
                  <w:tcW w:w="552" w:type="dxa"/>
                  <w:vMerge w:val="restart"/>
                  <w:tcBorders>
                    <w:top w:val="single" w:color="auto" w:sz="12"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面源长度/m</w:t>
                  </w:r>
                </w:p>
              </w:tc>
              <w:tc>
                <w:tcPr>
                  <w:tcW w:w="723" w:type="dxa"/>
                  <w:vMerge w:val="restart"/>
                  <w:tcBorders>
                    <w:top w:val="single" w:color="auto" w:sz="12"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面源宽度/m</w:t>
                  </w:r>
                </w:p>
              </w:tc>
              <w:tc>
                <w:tcPr>
                  <w:tcW w:w="574" w:type="dxa"/>
                  <w:vMerge w:val="restart"/>
                  <w:tcBorders>
                    <w:top w:val="single" w:color="auto" w:sz="12"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与正北向夹角/°</w:t>
                  </w:r>
                </w:p>
              </w:tc>
              <w:tc>
                <w:tcPr>
                  <w:tcW w:w="1001" w:type="dxa"/>
                  <w:vMerge w:val="restart"/>
                  <w:tcBorders>
                    <w:top w:val="single" w:color="auto" w:sz="12"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面源有效排放高度/m</w:t>
                  </w:r>
                </w:p>
              </w:tc>
              <w:tc>
                <w:tcPr>
                  <w:tcW w:w="1013" w:type="dxa"/>
                  <w:vMerge w:val="restart"/>
                  <w:tcBorders>
                    <w:top w:val="single" w:color="auto" w:sz="12"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年排放小时数/h</w:t>
                  </w:r>
                </w:p>
              </w:tc>
              <w:tc>
                <w:tcPr>
                  <w:tcW w:w="924" w:type="dxa"/>
                  <w:vMerge w:val="restart"/>
                  <w:tcBorders>
                    <w:top w:val="single" w:color="auto" w:sz="12"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排放工况</w:t>
                  </w:r>
                </w:p>
              </w:tc>
              <w:tc>
                <w:tcPr>
                  <w:tcW w:w="948" w:type="dxa"/>
                  <w:tcBorders>
                    <w:top w:val="single" w:color="auto" w:sz="12"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污染物排放速率/（kg/h）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30" w:type="dxa"/>
                  <w:vMerge w:val="continue"/>
                  <w:tcBorders>
                    <w:top w:val="single" w:color="auto" w:sz="4" w:space="0"/>
                    <w:left w:val="single" w:color="auto" w:sz="12" w:space="0"/>
                    <w:bottom w:val="single" w:color="auto" w:sz="4" w:space="0"/>
                    <w:right w:val="single" w:color="auto" w:sz="4" w:space="0"/>
                  </w:tcBorders>
                  <w:noWrap/>
                  <w:vAlign w:val="center"/>
                </w:tcPr>
                <w:p>
                  <w:pPr>
                    <w:jc w:val="center"/>
                    <w:rPr>
                      <w:szCs w:val="21"/>
                    </w:rPr>
                  </w:pPr>
                </w:p>
              </w:tc>
              <w:tc>
                <w:tcPr>
                  <w:tcW w:w="1237" w:type="dxa"/>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73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552"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723"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57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1001"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1013"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92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948" w:type="dxa"/>
                  <w:vMerge w:val="restart"/>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粉尘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30" w:type="dxa"/>
                  <w:vMerge w:val="continue"/>
                  <w:tcBorders>
                    <w:top w:val="single" w:color="auto" w:sz="4" w:space="0"/>
                    <w:left w:val="single" w:color="auto" w:sz="12" w:space="0"/>
                    <w:bottom w:val="single" w:color="auto" w:sz="4" w:space="0"/>
                    <w:right w:val="single" w:color="auto" w:sz="4" w:space="0"/>
                  </w:tcBorders>
                  <w:noWrap/>
                  <w:vAlign w:val="center"/>
                </w:tcPr>
                <w:p>
                  <w:pPr>
                    <w:jc w:val="center"/>
                    <w:rPr>
                      <w:szCs w:val="21"/>
                    </w:rPr>
                  </w:pPr>
                </w:p>
              </w:tc>
              <w:tc>
                <w:tcPr>
                  <w:tcW w:w="600"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X</w:t>
                  </w:r>
                </w:p>
              </w:tc>
              <w:tc>
                <w:tcPr>
                  <w:tcW w:w="637"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Y</w:t>
                  </w:r>
                </w:p>
              </w:tc>
              <w:tc>
                <w:tcPr>
                  <w:tcW w:w="73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552"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723"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57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1001"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1013"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92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szCs w:val="21"/>
                    </w:rPr>
                  </w:pPr>
                </w:p>
              </w:tc>
              <w:tc>
                <w:tcPr>
                  <w:tcW w:w="948" w:type="dxa"/>
                  <w:vMerge w:val="continue"/>
                  <w:tcBorders>
                    <w:top w:val="single" w:color="auto" w:sz="4" w:space="0"/>
                    <w:left w:val="single" w:color="auto" w:sz="4" w:space="0"/>
                    <w:bottom w:val="single" w:color="auto" w:sz="4" w:space="0"/>
                    <w:right w:val="single" w:color="auto" w:sz="12" w:space="0"/>
                  </w:tcBorders>
                  <w:noWrap/>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30" w:type="dxa"/>
                  <w:tcBorders>
                    <w:top w:val="single" w:color="auto" w:sz="4" w:space="0"/>
                    <w:left w:val="single" w:color="auto" w:sz="12" w:space="0"/>
                    <w:bottom w:val="single" w:color="auto" w:sz="12" w:space="0"/>
                    <w:right w:val="single" w:color="auto" w:sz="4" w:space="0"/>
                  </w:tcBorders>
                  <w:noWrap/>
                  <w:vAlign w:val="center"/>
                </w:tcPr>
                <w:p>
                  <w:pPr>
                    <w:jc w:val="center"/>
                    <w:rPr>
                      <w:szCs w:val="21"/>
                    </w:rPr>
                  </w:pPr>
                  <w:r>
                    <w:rPr>
                      <w:rFonts w:hint="eastAsia"/>
                      <w:szCs w:val="21"/>
                    </w:rPr>
                    <w:t>厂区</w:t>
                  </w:r>
                </w:p>
              </w:tc>
              <w:tc>
                <w:tcPr>
                  <w:tcW w:w="600" w:type="dxa"/>
                  <w:tcBorders>
                    <w:top w:val="single" w:color="auto" w:sz="4" w:space="0"/>
                    <w:left w:val="single" w:color="auto" w:sz="4" w:space="0"/>
                    <w:bottom w:val="single" w:color="auto" w:sz="12" w:space="0"/>
                    <w:right w:val="single" w:color="auto" w:sz="4" w:space="0"/>
                  </w:tcBorders>
                  <w:noWrap/>
                  <w:vAlign w:val="center"/>
                </w:tcPr>
                <w:p>
                  <w:pPr>
                    <w:jc w:val="center"/>
                    <w:rPr>
                      <w:szCs w:val="21"/>
                    </w:rPr>
                  </w:pPr>
                  <w:r>
                    <w:rPr>
                      <w:rFonts w:hint="eastAsia"/>
                      <w:szCs w:val="21"/>
                    </w:rPr>
                    <w:t>112.497270</w:t>
                  </w:r>
                </w:p>
              </w:tc>
              <w:tc>
                <w:tcPr>
                  <w:tcW w:w="637" w:type="dxa"/>
                  <w:tcBorders>
                    <w:top w:val="single" w:color="auto" w:sz="4" w:space="0"/>
                    <w:left w:val="single" w:color="auto" w:sz="4" w:space="0"/>
                    <w:bottom w:val="single" w:color="auto" w:sz="12" w:space="0"/>
                    <w:right w:val="single" w:color="auto" w:sz="4" w:space="0"/>
                  </w:tcBorders>
                  <w:noWrap/>
                  <w:vAlign w:val="center"/>
                </w:tcPr>
                <w:p>
                  <w:pPr>
                    <w:jc w:val="center"/>
                    <w:rPr>
                      <w:szCs w:val="21"/>
                    </w:rPr>
                  </w:pPr>
                  <w:r>
                    <w:rPr>
                      <w:rFonts w:hint="eastAsia"/>
                      <w:szCs w:val="21"/>
                    </w:rPr>
                    <w:t>29.584766</w:t>
                  </w:r>
                </w:p>
              </w:tc>
              <w:tc>
                <w:tcPr>
                  <w:tcW w:w="738" w:type="dxa"/>
                  <w:tcBorders>
                    <w:top w:val="single" w:color="auto" w:sz="4" w:space="0"/>
                    <w:left w:val="single" w:color="auto" w:sz="4" w:space="0"/>
                    <w:bottom w:val="single" w:color="auto" w:sz="12" w:space="0"/>
                    <w:right w:val="single" w:color="auto" w:sz="4" w:space="0"/>
                  </w:tcBorders>
                  <w:noWrap/>
                  <w:vAlign w:val="center"/>
                </w:tcPr>
                <w:p>
                  <w:pPr>
                    <w:jc w:val="center"/>
                    <w:rPr>
                      <w:szCs w:val="21"/>
                    </w:rPr>
                  </w:pPr>
                  <w:r>
                    <w:rPr>
                      <w:rFonts w:hint="eastAsia"/>
                      <w:szCs w:val="21"/>
                    </w:rPr>
                    <w:t>33</w:t>
                  </w:r>
                </w:p>
              </w:tc>
              <w:tc>
                <w:tcPr>
                  <w:tcW w:w="552" w:type="dxa"/>
                  <w:tcBorders>
                    <w:top w:val="single" w:color="auto" w:sz="4" w:space="0"/>
                    <w:left w:val="single" w:color="auto" w:sz="4" w:space="0"/>
                    <w:bottom w:val="single" w:color="auto" w:sz="12" w:space="0"/>
                    <w:right w:val="single" w:color="auto" w:sz="4" w:space="0"/>
                  </w:tcBorders>
                  <w:noWrap/>
                  <w:vAlign w:val="center"/>
                </w:tcPr>
                <w:p>
                  <w:pPr>
                    <w:jc w:val="center"/>
                    <w:rPr>
                      <w:szCs w:val="21"/>
                    </w:rPr>
                  </w:pPr>
                  <w:r>
                    <w:rPr>
                      <w:rFonts w:hint="eastAsia"/>
                      <w:szCs w:val="21"/>
                    </w:rPr>
                    <w:t>100</w:t>
                  </w:r>
                </w:p>
              </w:tc>
              <w:tc>
                <w:tcPr>
                  <w:tcW w:w="723" w:type="dxa"/>
                  <w:tcBorders>
                    <w:top w:val="single" w:color="auto" w:sz="4" w:space="0"/>
                    <w:left w:val="single" w:color="auto" w:sz="4" w:space="0"/>
                    <w:bottom w:val="single" w:color="auto" w:sz="12" w:space="0"/>
                    <w:right w:val="single" w:color="auto" w:sz="4" w:space="0"/>
                  </w:tcBorders>
                  <w:noWrap/>
                  <w:vAlign w:val="center"/>
                </w:tcPr>
                <w:p>
                  <w:pPr>
                    <w:jc w:val="center"/>
                    <w:rPr>
                      <w:szCs w:val="21"/>
                    </w:rPr>
                  </w:pPr>
                  <w:r>
                    <w:rPr>
                      <w:rFonts w:hint="eastAsia"/>
                      <w:szCs w:val="21"/>
                    </w:rPr>
                    <w:t>60</w:t>
                  </w:r>
                </w:p>
              </w:tc>
              <w:tc>
                <w:tcPr>
                  <w:tcW w:w="574" w:type="dxa"/>
                  <w:tcBorders>
                    <w:top w:val="single" w:color="auto" w:sz="4" w:space="0"/>
                    <w:left w:val="single" w:color="auto" w:sz="4" w:space="0"/>
                    <w:bottom w:val="single" w:color="auto" w:sz="12" w:space="0"/>
                    <w:right w:val="single" w:color="auto" w:sz="4" w:space="0"/>
                  </w:tcBorders>
                  <w:noWrap/>
                  <w:vAlign w:val="center"/>
                </w:tcPr>
                <w:p>
                  <w:pPr>
                    <w:jc w:val="center"/>
                    <w:rPr>
                      <w:szCs w:val="21"/>
                    </w:rPr>
                  </w:pPr>
                  <w:r>
                    <w:rPr>
                      <w:rFonts w:hint="eastAsia"/>
                      <w:szCs w:val="21"/>
                    </w:rPr>
                    <w:t>0</w:t>
                  </w:r>
                </w:p>
              </w:tc>
              <w:tc>
                <w:tcPr>
                  <w:tcW w:w="1001" w:type="dxa"/>
                  <w:tcBorders>
                    <w:top w:val="single" w:color="auto" w:sz="4" w:space="0"/>
                    <w:left w:val="single" w:color="auto" w:sz="4" w:space="0"/>
                    <w:bottom w:val="single" w:color="auto" w:sz="12" w:space="0"/>
                    <w:right w:val="single" w:color="auto" w:sz="4" w:space="0"/>
                  </w:tcBorders>
                  <w:noWrap/>
                  <w:vAlign w:val="center"/>
                </w:tcPr>
                <w:p>
                  <w:pPr>
                    <w:jc w:val="center"/>
                    <w:rPr>
                      <w:szCs w:val="21"/>
                    </w:rPr>
                  </w:pPr>
                  <w:r>
                    <w:rPr>
                      <w:rFonts w:hint="eastAsia"/>
                      <w:szCs w:val="21"/>
                    </w:rPr>
                    <w:t>10</w:t>
                  </w:r>
                </w:p>
              </w:tc>
              <w:tc>
                <w:tcPr>
                  <w:tcW w:w="1013" w:type="dxa"/>
                  <w:tcBorders>
                    <w:top w:val="single" w:color="auto" w:sz="4" w:space="0"/>
                    <w:left w:val="single" w:color="auto" w:sz="4" w:space="0"/>
                    <w:bottom w:val="single" w:color="auto" w:sz="12" w:space="0"/>
                    <w:right w:val="single" w:color="auto" w:sz="4" w:space="0"/>
                  </w:tcBorders>
                  <w:noWrap/>
                  <w:vAlign w:val="center"/>
                </w:tcPr>
                <w:p>
                  <w:pPr>
                    <w:jc w:val="center"/>
                    <w:rPr>
                      <w:szCs w:val="21"/>
                    </w:rPr>
                  </w:pPr>
                  <w:r>
                    <w:rPr>
                      <w:rFonts w:hint="eastAsia"/>
                      <w:szCs w:val="21"/>
                    </w:rPr>
                    <w:t>3600</w:t>
                  </w:r>
                </w:p>
              </w:tc>
              <w:tc>
                <w:tcPr>
                  <w:tcW w:w="924" w:type="dxa"/>
                  <w:tcBorders>
                    <w:top w:val="single" w:color="auto" w:sz="4" w:space="0"/>
                    <w:left w:val="single" w:color="auto" w:sz="4" w:space="0"/>
                    <w:bottom w:val="single" w:color="auto" w:sz="12" w:space="0"/>
                    <w:right w:val="single" w:color="auto" w:sz="4" w:space="0"/>
                  </w:tcBorders>
                  <w:noWrap/>
                  <w:vAlign w:val="center"/>
                </w:tcPr>
                <w:p>
                  <w:pPr>
                    <w:jc w:val="center"/>
                    <w:rPr>
                      <w:szCs w:val="21"/>
                    </w:rPr>
                  </w:pPr>
                  <w:r>
                    <w:rPr>
                      <w:rFonts w:hint="eastAsia"/>
                      <w:szCs w:val="21"/>
                    </w:rPr>
                    <w:t>正常</w:t>
                  </w:r>
                </w:p>
              </w:tc>
              <w:tc>
                <w:tcPr>
                  <w:tcW w:w="948" w:type="dxa"/>
                  <w:tcBorders>
                    <w:top w:val="single" w:color="auto" w:sz="4" w:space="0"/>
                    <w:left w:val="single" w:color="auto" w:sz="4" w:space="0"/>
                    <w:bottom w:val="single" w:color="auto" w:sz="12" w:space="0"/>
                    <w:right w:val="single" w:color="auto" w:sz="12" w:space="0"/>
                  </w:tcBorders>
                  <w:noWrap/>
                  <w:vAlign w:val="center"/>
                </w:tcPr>
                <w:p>
                  <w:pPr>
                    <w:jc w:val="center"/>
                    <w:rPr>
                      <w:szCs w:val="21"/>
                    </w:rPr>
                  </w:pPr>
                  <w:r>
                    <w:rPr>
                      <w:rFonts w:hint="eastAsia"/>
                      <w:szCs w:val="21"/>
                    </w:rPr>
                    <w:t>0.2</w:t>
                  </w:r>
                  <w:r>
                    <w:rPr>
                      <w:rStyle w:val="35"/>
                      <w:rFonts w:hint="eastAsia"/>
                    </w:rPr>
                    <w:t>2</w:t>
                  </w:r>
                </w:p>
              </w:tc>
            </w:tr>
          </w:tbl>
          <w:p>
            <w:pPr>
              <w:adjustRightInd w:val="0"/>
              <w:snapToGrid w:val="0"/>
              <w:spacing w:line="360" w:lineRule="auto"/>
              <w:rPr>
                <w:bCs/>
                <w:color w:val="FF0000"/>
                <w:szCs w:val="21"/>
              </w:rPr>
            </w:pPr>
            <w:r>
              <w:rPr>
                <w:rFonts w:hint="eastAsia"/>
                <w:bCs/>
                <w:szCs w:val="21"/>
              </w:rPr>
              <w:t>注：X、Y坐标为经纬度坐标，坐标及海拔高度根据谷歌地球获取。</w:t>
            </w:r>
          </w:p>
          <w:p>
            <w:pPr>
              <w:pStyle w:val="141"/>
              <w:snapToGrid/>
              <w:rPr>
                <w:rFonts w:eastAsia="宋体"/>
                <w:b/>
                <w:sz w:val="24"/>
                <w:szCs w:val="24"/>
              </w:rPr>
            </w:pPr>
            <w:r>
              <w:rPr>
                <w:rFonts w:eastAsia="宋体"/>
                <w:b/>
                <w:sz w:val="24"/>
                <w:szCs w:val="24"/>
              </w:rPr>
              <w:t>表</w:t>
            </w:r>
            <w:r>
              <w:rPr>
                <w:rFonts w:hint="eastAsia" w:eastAsia="宋体"/>
                <w:b/>
                <w:sz w:val="24"/>
                <w:szCs w:val="24"/>
              </w:rPr>
              <w:t>7-</w:t>
            </w:r>
            <w:r>
              <w:rPr>
                <w:rFonts w:hint="eastAsia" w:eastAsia="宋体"/>
                <w:b/>
                <w:sz w:val="24"/>
                <w:szCs w:val="24"/>
                <w:lang w:val="en-US" w:eastAsia="zh-CN"/>
              </w:rPr>
              <w:t>4</w:t>
            </w:r>
            <w:r>
              <w:rPr>
                <w:rFonts w:hint="eastAsia" w:eastAsia="宋体"/>
                <w:b/>
                <w:sz w:val="24"/>
                <w:szCs w:val="24"/>
              </w:rPr>
              <w:t>估算模型参数表</w:t>
            </w:r>
          </w:p>
          <w:tbl>
            <w:tblPr>
              <w:tblStyle w:val="28"/>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3235"/>
              <w:gridCol w:w="4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180" w:type="dxa"/>
                  <w:gridSpan w:val="2"/>
                  <w:tcBorders>
                    <w:top w:val="single" w:color="auto" w:sz="12" w:space="0"/>
                    <w:left w:val="single" w:color="auto" w:sz="12" w:space="0"/>
                    <w:bottom w:val="single" w:color="auto" w:sz="4" w:space="0"/>
                    <w:right w:val="single" w:color="auto" w:sz="4" w:space="0"/>
                  </w:tcBorders>
                  <w:noWrap/>
                  <w:vAlign w:val="center"/>
                </w:tcPr>
                <w:p>
                  <w:pPr>
                    <w:jc w:val="center"/>
                    <w:rPr>
                      <w:szCs w:val="21"/>
                    </w:rPr>
                  </w:pPr>
                  <w:r>
                    <w:rPr>
                      <w:rFonts w:hint="eastAsia"/>
                      <w:szCs w:val="21"/>
                    </w:rPr>
                    <w:t>参数</w:t>
                  </w:r>
                </w:p>
              </w:tc>
              <w:tc>
                <w:tcPr>
                  <w:tcW w:w="4180" w:type="dxa"/>
                  <w:tcBorders>
                    <w:top w:val="single" w:color="auto" w:sz="12"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45" w:type="dxa"/>
                  <w:vMerge w:val="restart"/>
                  <w:tcBorders>
                    <w:top w:val="single" w:color="auto" w:sz="4" w:space="0"/>
                    <w:left w:val="single" w:color="auto" w:sz="12" w:space="0"/>
                    <w:bottom w:val="single" w:color="auto" w:sz="4" w:space="0"/>
                    <w:right w:val="single" w:color="auto" w:sz="4" w:space="0"/>
                  </w:tcBorders>
                  <w:noWrap/>
                  <w:vAlign w:val="center"/>
                </w:tcPr>
                <w:p>
                  <w:pPr>
                    <w:jc w:val="center"/>
                    <w:rPr>
                      <w:szCs w:val="21"/>
                    </w:rPr>
                  </w:pPr>
                  <w:r>
                    <w:rPr>
                      <w:rFonts w:hint="eastAsia"/>
                      <w:szCs w:val="21"/>
                    </w:rPr>
                    <w:t>城市/农村选项</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城市/农村</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945" w:type="dxa"/>
                  <w:vMerge w:val="continue"/>
                  <w:tcBorders>
                    <w:top w:val="single" w:color="auto" w:sz="4" w:space="0"/>
                    <w:left w:val="single" w:color="auto" w:sz="12" w:space="0"/>
                    <w:bottom w:val="single" w:color="auto" w:sz="4" w:space="0"/>
                    <w:right w:val="single" w:color="auto" w:sz="4" w:space="0"/>
                  </w:tcBorders>
                  <w:noWrap/>
                  <w:vAlign w:val="center"/>
                </w:tcPr>
                <w:p>
                  <w:pPr>
                    <w:jc w:val="center"/>
                    <w:rPr>
                      <w:szCs w:val="21"/>
                    </w:rPr>
                  </w:pPr>
                </w:p>
              </w:tc>
              <w:tc>
                <w:tcPr>
                  <w:tcW w:w="3235"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人口数（城市选项时）</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color w:val="auto"/>
                      <w:szCs w:val="21"/>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180" w:type="dxa"/>
                  <w:gridSpan w:val="2"/>
                  <w:tcBorders>
                    <w:top w:val="single" w:color="auto" w:sz="4" w:space="0"/>
                    <w:left w:val="single" w:color="auto" w:sz="12" w:space="0"/>
                    <w:bottom w:val="single" w:color="auto" w:sz="4" w:space="0"/>
                    <w:right w:val="single" w:color="auto" w:sz="4" w:space="0"/>
                  </w:tcBorders>
                  <w:noWrap/>
                  <w:vAlign w:val="center"/>
                </w:tcPr>
                <w:p>
                  <w:pPr>
                    <w:jc w:val="center"/>
                    <w:rPr>
                      <w:szCs w:val="21"/>
                    </w:rPr>
                  </w:pPr>
                  <w:r>
                    <w:rPr>
                      <w:rFonts w:hint="eastAsia"/>
                      <w:szCs w:val="21"/>
                    </w:rPr>
                    <w:t>最高环境温度/</w:t>
                  </w:r>
                  <w:r>
                    <w:rPr>
                      <w:szCs w:val="21"/>
                    </w:rPr>
                    <w:t>℃</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180" w:type="dxa"/>
                  <w:gridSpan w:val="2"/>
                  <w:tcBorders>
                    <w:top w:val="single" w:color="auto" w:sz="4" w:space="0"/>
                    <w:left w:val="single" w:color="auto" w:sz="12" w:space="0"/>
                    <w:bottom w:val="single" w:color="auto" w:sz="4" w:space="0"/>
                    <w:right w:val="single" w:color="auto" w:sz="4" w:space="0"/>
                  </w:tcBorders>
                  <w:noWrap/>
                  <w:vAlign w:val="center"/>
                </w:tcPr>
                <w:p>
                  <w:pPr>
                    <w:jc w:val="center"/>
                    <w:rPr>
                      <w:szCs w:val="21"/>
                    </w:rPr>
                  </w:pPr>
                  <w:r>
                    <w:rPr>
                      <w:rFonts w:hint="eastAsia"/>
                      <w:szCs w:val="21"/>
                    </w:rPr>
                    <w:t>最低环境温度/</w:t>
                  </w:r>
                  <w:r>
                    <w:rPr>
                      <w:szCs w:val="21"/>
                    </w:rPr>
                    <w:t>℃</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180" w:type="dxa"/>
                  <w:gridSpan w:val="2"/>
                  <w:tcBorders>
                    <w:top w:val="single" w:color="auto" w:sz="4" w:space="0"/>
                    <w:left w:val="single" w:color="auto" w:sz="12" w:space="0"/>
                    <w:bottom w:val="single" w:color="auto" w:sz="4" w:space="0"/>
                    <w:right w:val="single" w:color="auto" w:sz="4" w:space="0"/>
                  </w:tcBorders>
                  <w:noWrap/>
                  <w:vAlign w:val="center"/>
                </w:tcPr>
                <w:p>
                  <w:pPr>
                    <w:jc w:val="center"/>
                    <w:rPr>
                      <w:szCs w:val="21"/>
                    </w:rPr>
                  </w:pPr>
                  <w:r>
                    <w:rPr>
                      <w:rFonts w:hint="eastAsia"/>
                      <w:szCs w:val="21"/>
                    </w:rPr>
                    <w:t>土地利用类型</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180" w:type="dxa"/>
                  <w:gridSpan w:val="2"/>
                  <w:tcBorders>
                    <w:top w:val="single" w:color="auto" w:sz="4" w:space="0"/>
                    <w:left w:val="single" w:color="auto" w:sz="12" w:space="0"/>
                    <w:bottom w:val="single" w:color="auto" w:sz="4" w:space="0"/>
                    <w:right w:val="single" w:color="auto" w:sz="4" w:space="0"/>
                  </w:tcBorders>
                  <w:noWrap/>
                  <w:vAlign w:val="center"/>
                </w:tcPr>
                <w:p>
                  <w:pPr>
                    <w:jc w:val="center"/>
                    <w:rPr>
                      <w:szCs w:val="21"/>
                    </w:rPr>
                  </w:pPr>
                  <w:r>
                    <w:rPr>
                      <w:rFonts w:hint="eastAsia"/>
                      <w:szCs w:val="21"/>
                    </w:rPr>
                    <w:t>区域湿度条件</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66.77％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45" w:type="dxa"/>
                  <w:vMerge w:val="restart"/>
                  <w:tcBorders>
                    <w:top w:val="single" w:color="auto" w:sz="4" w:space="0"/>
                    <w:left w:val="single" w:color="auto" w:sz="12" w:space="0"/>
                    <w:bottom w:val="single" w:color="auto" w:sz="4" w:space="0"/>
                    <w:right w:val="single" w:color="auto" w:sz="4" w:space="0"/>
                  </w:tcBorders>
                  <w:noWrap/>
                  <w:vAlign w:val="center"/>
                </w:tcPr>
                <w:p>
                  <w:pPr>
                    <w:jc w:val="center"/>
                    <w:rPr>
                      <w:szCs w:val="21"/>
                    </w:rPr>
                  </w:pPr>
                  <w:r>
                    <w:rPr>
                      <w:rFonts w:hint="eastAsia"/>
                      <w:szCs w:val="21"/>
                    </w:rPr>
                    <w:t>是否考虑地形</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考虑地形</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45" w:type="dxa"/>
                  <w:vMerge w:val="continue"/>
                  <w:tcBorders>
                    <w:top w:val="single" w:color="auto" w:sz="4" w:space="0"/>
                    <w:left w:val="single" w:color="auto" w:sz="12" w:space="0"/>
                    <w:bottom w:val="single" w:color="auto" w:sz="4" w:space="0"/>
                    <w:right w:val="single" w:color="auto" w:sz="4" w:space="0"/>
                  </w:tcBorders>
                  <w:noWrap/>
                  <w:vAlign w:val="center"/>
                </w:tcPr>
                <w:p>
                  <w:pPr>
                    <w:jc w:val="center"/>
                    <w:rPr>
                      <w:szCs w:val="21"/>
                    </w:rPr>
                  </w:pPr>
                </w:p>
              </w:tc>
              <w:tc>
                <w:tcPr>
                  <w:tcW w:w="3235"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地形数据分辨率/m</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45" w:type="dxa"/>
                  <w:vMerge w:val="restart"/>
                  <w:tcBorders>
                    <w:top w:val="single" w:color="auto" w:sz="4" w:space="0"/>
                    <w:left w:val="single" w:color="auto" w:sz="12" w:space="0"/>
                    <w:bottom w:val="single" w:color="auto" w:sz="4" w:space="0"/>
                    <w:right w:val="single" w:color="auto" w:sz="4" w:space="0"/>
                  </w:tcBorders>
                  <w:noWrap/>
                  <w:vAlign w:val="center"/>
                </w:tcPr>
                <w:p>
                  <w:pPr>
                    <w:jc w:val="center"/>
                    <w:rPr>
                      <w:szCs w:val="21"/>
                    </w:rPr>
                  </w:pPr>
                  <w:r>
                    <w:rPr>
                      <w:rFonts w:hint="eastAsia"/>
                      <w:szCs w:val="21"/>
                    </w:rPr>
                    <w:t>是否考虑岸线熏烟</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考虑岸线熏烟</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dxa"/>
                  <w:vMerge w:val="continue"/>
                  <w:tcBorders>
                    <w:top w:val="single" w:color="auto" w:sz="4" w:space="0"/>
                    <w:left w:val="single" w:color="auto" w:sz="12" w:space="0"/>
                    <w:bottom w:val="single" w:color="auto" w:sz="4" w:space="0"/>
                    <w:right w:val="single" w:color="auto" w:sz="4" w:space="0"/>
                  </w:tcBorders>
                  <w:noWrap/>
                  <w:vAlign w:val="center"/>
                </w:tcPr>
                <w:p>
                  <w:pPr>
                    <w:jc w:val="center"/>
                    <w:rPr>
                      <w:szCs w:val="21"/>
                    </w:rPr>
                  </w:pPr>
                </w:p>
              </w:tc>
              <w:tc>
                <w:tcPr>
                  <w:tcW w:w="3235"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岸线距离/km</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45" w:type="dxa"/>
                  <w:vMerge w:val="continue"/>
                  <w:tcBorders>
                    <w:top w:val="single" w:color="auto" w:sz="4" w:space="0"/>
                    <w:left w:val="single" w:color="auto" w:sz="12" w:space="0"/>
                    <w:bottom w:val="single" w:color="auto" w:sz="4" w:space="0"/>
                    <w:right w:val="single" w:color="auto" w:sz="4" w:space="0"/>
                  </w:tcBorders>
                  <w:noWrap/>
                  <w:vAlign w:val="center"/>
                </w:tcPr>
                <w:p>
                  <w:pPr>
                    <w:jc w:val="center"/>
                    <w:rPr>
                      <w:szCs w:val="21"/>
                    </w:rPr>
                  </w:pPr>
                </w:p>
              </w:tc>
              <w:tc>
                <w:tcPr>
                  <w:tcW w:w="3235"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岸线方向/°</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45" w:type="dxa"/>
                  <w:tcBorders>
                    <w:top w:val="single" w:color="auto" w:sz="4" w:space="0"/>
                    <w:left w:val="single" w:color="auto" w:sz="12" w:space="0"/>
                    <w:bottom w:val="single" w:color="auto" w:sz="4" w:space="0"/>
                    <w:right w:val="single" w:color="auto" w:sz="4" w:space="0"/>
                  </w:tcBorders>
                  <w:noWrap/>
                  <w:vAlign w:val="center"/>
                </w:tcPr>
                <w:p>
                  <w:pPr>
                    <w:pStyle w:val="17"/>
                    <w:adjustRightInd w:val="0"/>
                    <w:spacing w:before="100" w:beforeAutospacing="1"/>
                    <w:jc w:val="center"/>
                    <w:rPr>
                      <w:szCs w:val="21"/>
                    </w:rPr>
                  </w:pPr>
                  <w:r>
                    <w:rPr>
                      <w:rFonts w:ascii="Times New Roman" w:hAnsi="Times New Roman"/>
                      <w:szCs w:val="21"/>
                    </w:rPr>
                    <w:t>Pmax</w:t>
                  </w:r>
                </w:p>
              </w:tc>
              <w:tc>
                <w:tcPr>
                  <w:tcW w:w="3235" w:type="dxa"/>
                  <w:tcBorders>
                    <w:top w:val="single" w:color="auto" w:sz="4" w:space="0"/>
                    <w:left w:val="single" w:color="auto" w:sz="4" w:space="0"/>
                    <w:bottom w:val="single" w:color="auto" w:sz="4" w:space="0"/>
                    <w:right w:val="single" w:color="auto" w:sz="4" w:space="0"/>
                  </w:tcBorders>
                  <w:noWrap/>
                  <w:vAlign w:val="center"/>
                </w:tcPr>
                <w:p>
                  <w:pPr>
                    <w:pStyle w:val="17"/>
                    <w:adjustRightInd w:val="0"/>
                    <w:spacing w:before="100" w:beforeAutospacing="1"/>
                    <w:jc w:val="center"/>
                    <w:rPr>
                      <w:szCs w:val="21"/>
                    </w:rPr>
                  </w:pPr>
                  <w:r>
                    <w:rPr>
                      <w:rFonts w:ascii="Times New Roman" w:hAnsi="Times New Roman"/>
                      <w:szCs w:val="21"/>
                    </w:rPr>
                    <w:t>%</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粉尘：6.57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45" w:type="dxa"/>
                  <w:tcBorders>
                    <w:top w:val="single" w:color="auto" w:sz="4" w:space="0"/>
                    <w:left w:val="single" w:color="auto" w:sz="12" w:space="0"/>
                    <w:bottom w:val="single" w:color="auto" w:sz="4" w:space="0"/>
                    <w:right w:val="single" w:color="auto" w:sz="4" w:space="0"/>
                  </w:tcBorders>
                  <w:noWrap/>
                  <w:vAlign w:val="center"/>
                </w:tcPr>
                <w:p>
                  <w:pPr>
                    <w:pStyle w:val="17"/>
                    <w:adjustRightInd w:val="0"/>
                    <w:spacing w:before="100" w:beforeAutospacing="1"/>
                    <w:jc w:val="center"/>
                    <w:rPr>
                      <w:szCs w:val="21"/>
                    </w:rPr>
                  </w:pPr>
                  <w:r>
                    <w:rPr>
                      <w:rFonts w:ascii="Times New Roman" w:hAnsi="Times New Roman"/>
                      <w:szCs w:val="21"/>
                    </w:rPr>
                    <w:t>D</w:t>
                  </w:r>
                  <w:r>
                    <w:rPr>
                      <w:rFonts w:ascii="Times New Roman" w:hAnsi="Times New Roman"/>
                      <w:szCs w:val="21"/>
                      <w:vertAlign w:val="subscript"/>
                    </w:rPr>
                    <w:t>10%</w:t>
                  </w:r>
                </w:p>
              </w:tc>
              <w:tc>
                <w:tcPr>
                  <w:tcW w:w="3235" w:type="dxa"/>
                  <w:tcBorders>
                    <w:top w:val="single" w:color="auto" w:sz="4" w:space="0"/>
                    <w:left w:val="single" w:color="auto" w:sz="4" w:space="0"/>
                    <w:bottom w:val="single" w:color="auto" w:sz="4" w:space="0"/>
                    <w:right w:val="single" w:color="auto" w:sz="4" w:space="0"/>
                  </w:tcBorders>
                  <w:noWrap/>
                  <w:vAlign w:val="center"/>
                </w:tcPr>
                <w:p>
                  <w:pPr>
                    <w:pStyle w:val="17"/>
                    <w:adjustRightInd w:val="0"/>
                    <w:spacing w:before="100" w:beforeAutospacing="1"/>
                    <w:jc w:val="center"/>
                    <w:rPr>
                      <w:szCs w:val="21"/>
                    </w:rPr>
                  </w:pPr>
                  <w:r>
                    <w:rPr>
                      <w:rFonts w:ascii="Times New Roman" w:hAnsi="Times New Roman"/>
                      <w:szCs w:val="21"/>
                    </w:rPr>
                    <w:t>km</w:t>
                  </w:r>
                </w:p>
              </w:tc>
              <w:tc>
                <w:tcPr>
                  <w:tcW w:w="4180" w:type="dxa"/>
                  <w:tcBorders>
                    <w:top w:val="single" w:color="auto" w:sz="4" w:space="0"/>
                    <w:left w:val="single" w:color="auto" w:sz="4" w:space="0"/>
                    <w:bottom w:val="single" w:color="auto" w:sz="4" w:space="0"/>
                    <w:right w:val="single" w:color="auto" w:sz="12" w:space="0"/>
                  </w:tcBorders>
                  <w:noWrap/>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180" w:type="dxa"/>
                  <w:gridSpan w:val="2"/>
                  <w:tcBorders>
                    <w:top w:val="single" w:color="auto" w:sz="4" w:space="0"/>
                    <w:left w:val="single" w:color="auto" w:sz="12" w:space="0"/>
                    <w:bottom w:val="single" w:color="auto" w:sz="12" w:space="0"/>
                    <w:right w:val="single" w:color="auto" w:sz="4" w:space="0"/>
                  </w:tcBorders>
                  <w:noWrap/>
                  <w:vAlign w:val="center"/>
                </w:tcPr>
                <w:p>
                  <w:pPr>
                    <w:pStyle w:val="17"/>
                    <w:adjustRightInd w:val="0"/>
                    <w:spacing w:before="100" w:beforeAutospacing="1"/>
                    <w:jc w:val="center"/>
                    <w:rPr>
                      <w:rFonts w:ascii="Times New Roman" w:hAnsi="Times New Roman"/>
                      <w:szCs w:val="21"/>
                    </w:rPr>
                  </w:pPr>
                  <w:r>
                    <w:rPr>
                      <w:rFonts w:hint="eastAsia" w:ascii="Times New Roman" w:hAnsi="Times New Roman"/>
                      <w:szCs w:val="21"/>
                    </w:rPr>
                    <w:t>评价等级</w:t>
                  </w:r>
                </w:p>
              </w:tc>
              <w:tc>
                <w:tcPr>
                  <w:tcW w:w="4180" w:type="dxa"/>
                  <w:tcBorders>
                    <w:top w:val="single" w:color="auto" w:sz="4" w:space="0"/>
                    <w:left w:val="single" w:color="auto" w:sz="4" w:space="0"/>
                    <w:bottom w:val="single" w:color="auto" w:sz="12" w:space="0"/>
                    <w:right w:val="single" w:color="auto" w:sz="12" w:space="0"/>
                  </w:tcBorders>
                  <w:noWrap/>
                  <w:vAlign w:val="center"/>
                </w:tcPr>
                <w:p>
                  <w:pPr>
                    <w:jc w:val="center"/>
                    <w:rPr>
                      <w:szCs w:val="21"/>
                    </w:rPr>
                  </w:pPr>
                  <w:r>
                    <w:rPr>
                      <w:rFonts w:hint="eastAsia"/>
                      <w:szCs w:val="21"/>
                    </w:rPr>
                    <w:t>二级</w:t>
                  </w:r>
                </w:p>
              </w:tc>
            </w:tr>
          </w:tbl>
          <w:p>
            <w:pPr>
              <w:pStyle w:val="115"/>
              <w:adjustRightInd/>
              <w:snapToGrid/>
              <w:ind w:firstLine="482"/>
              <w:jc w:val="center"/>
            </w:pPr>
            <w:r>
              <w:rPr>
                <w:b/>
                <w:sz w:val="24"/>
              </w:rPr>
              <w:t>表</w:t>
            </w:r>
            <w:r>
              <w:rPr>
                <w:rFonts w:hint="eastAsia"/>
                <w:b/>
                <w:sz w:val="24"/>
              </w:rPr>
              <w:t>7-</w:t>
            </w:r>
            <w:r>
              <w:rPr>
                <w:rFonts w:hint="eastAsia"/>
                <w:b/>
                <w:sz w:val="24"/>
                <w:lang w:val="en-US" w:eastAsia="zh-CN"/>
              </w:rPr>
              <w:t>5</w:t>
            </w:r>
            <w:r>
              <w:rPr>
                <w:rFonts w:hint="eastAsia"/>
                <w:b/>
                <w:sz w:val="24"/>
              </w:rPr>
              <w:t>无组织废气计算结果</w:t>
            </w:r>
            <w:r>
              <w:rPr>
                <w:b/>
                <w:sz w:val="24"/>
              </w:rPr>
              <w:t>表</w:t>
            </w:r>
          </w:p>
          <w:tbl>
            <w:tblPr>
              <w:tblStyle w:val="28"/>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7"/>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67" w:type="dxa"/>
                </w:tcPr>
                <w:p>
                  <w:pPr>
                    <w:pStyle w:val="115"/>
                    <w:adjustRightInd/>
                    <w:snapToGrid/>
                    <w:ind w:firstLine="420"/>
                    <w:jc w:val="center"/>
                    <w:rPr>
                      <w:szCs w:val="21"/>
                    </w:rPr>
                  </w:pPr>
                  <w:r>
                    <w:rPr>
                      <w:rFonts w:hint="eastAsia"/>
                      <w:szCs w:val="21"/>
                    </w:rPr>
                    <w:t>污染物</w:t>
                  </w:r>
                </w:p>
              </w:tc>
              <w:tc>
                <w:tcPr>
                  <w:tcW w:w="2633" w:type="dxa"/>
                </w:tcPr>
                <w:p>
                  <w:pPr>
                    <w:pStyle w:val="115"/>
                    <w:adjustRightInd/>
                    <w:snapToGrid/>
                    <w:ind w:firstLine="420"/>
                    <w:jc w:val="center"/>
                    <w:rPr>
                      <w:szCs w:val="21"/>
                    </w:rPr>
                  </w:pPr>
                  <w:r>
                    <w:rPr>
                      <w:rFonts w:hint="eastAsia"/>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5667" w:type="dxa"/>
                </w:tcPr>
                <w:p>
                  <w:pPr>
                    <w:pStyle w:val="115"/>
                    <w:adjustRightInd/>
                    <w:snapToGrid/>
                    <w:ind w:firstLine="420"/>
                    <w:jc w:val="center"/>
                    <w:rPr>
                      <w:szCs w:val="21"/>
                    </w:rPr>
                  </w:pPr>
                  <w:r>
                    <w:rPr>
                      <w:rFonts w:hint="eastAsia"/>
                      <w:szCs w:val="21"/>
                    </w:rPr>
                    <w:t>环境空气质量标准</w:t>
                  </w:r>
                  <w:r>
                    <w:rPr>
                      <w:szCs w:val="21"/>
                    </w:rPr>
                    <w:t>mg/m</w:t>
                  </w:r>
                  <w:r>
                    <w:rPr>
                      <w:szCs w:val="21"/>
                      <w:vertAlign w:val="superscript"/>
                    </w:rPr>
                    <w:t>3</w:t>
                  </w:r>
                </w:p>
              </w:tc>
              <w:tc>
                <w:tcPr>
                  <w:tcW w:w="2633" w:type="dxa"/>
                </w:tcPr>
                <w:p>
                  <w:pPr>
                    <w:pStyle w:val="115"/>
                    <w:adjustRightInd/>
                    <w:snapToGrid/>
                    <w:ind w:firstLine="420"/>
                    <w:jc w:val="center"/>
                    <w:rPr>
                      <w:szCs w:val="21"/>
                    </w:rPr>
                  </w:pPr>
                  <w:r>
                    <w:rPr>
                      <w:rFonts w:hint="eastAsia"/>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67" w:type="dxa"/>
                </w:tcPr>
                <w:p>
                  <w:pPr>
                    <w:pStyle w:val="115"/>
                    <w:adjustRightInd/>
                    <w:snapToGrid/>
                    <w:ind w:firstLine="420"/>
                    <w:jc w:val="center"/>
                    <w:rPr>
                      <w:szCs w:val="21"/>
                    </w:rPr>
                  </w:pPr>
                  <w:r>
                    <w:rPr>
                      <w:rFonts w:hint="eastAsia"/>
                      <w:szCs w:val="21"/>
                    </w:rPr>
                    <w:t>最大地面浓度</w:t>
                  </w:r>
                  <w:r>
                    <w:rPr>
                      <w:szCs w:val="21"/>
                    </w:rPr>
                    <w:t>mg/m</w:t>
                  </w:r>
                  <w:r>
                    <w:rPr>
                      <w:szCs w:val="21"/>
                      <w:vertAlign w:val="superscript"/>
                    </w:rPr>
                    <w:t>3</w:t>
                  </w:r>
                </w:p>
              </w:tc>
              <w:tc>
                <w:tcPr>
                  <w:tcW w:w="2633" w:type="dxa"/>
                </w:tcPr>
                <w:p>
                  <w:pPr>
                    <w:pStyle w:val="115"/>
                    <w:adjustRightInd/>
                    <w:snapToGrid/>
                    <w:ind w:firstLine="420"/>
                    <w:jc w:val="center"/>
                    <w:rPr>
                      <w:szCs w:val="21"/>
                    </w:rPr>
                  </w:pPr>
                  <w:r>
                    <w:rPr>
                      <w:rFonts w:hint="eastAsia"/>
                      <w:szCs w:val="21"/>
                    </w:rPr>
                    <w:t>0.0591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67" w:type="dxa"/>
                </w:tcPr>
                <w:p>
                  <w:pPr>
                    <w:pStyle w:val="115"/>
                    <w:adjustRightInd/>
                    <w:snapToGrid/>
                    <w:ind w:firstLine="420"/>
                    <w:jc w:val="center"/>
                    <w:rPr>
                      <w:szCs w:val="21"/>
                    </w:rPr>
                  </w:pPr>
                  <w:r>
                    <w:rPr>
                      <w:rFonts w:hint="eastAsia"/>
                      <w:szCs w:val="21"/>
                    </w:rPr>
                    <w:t>最大地面1小时浓度占标率</w:t>
                  </w:r>
                  <w:r>
                    <w:rPr>
                      <w:szCs w:val="21"/>
                    </w:rPr>
                    <w:t>Pmax</w:t>
                  </w:r>
                  <w:r>
                    <w:rPr>
                      <w:rFonts w:hint="eastAsia"/>
                      <w:szCs w:val="21"/>
                    </w:rPr>
                    <w:t>（</w:t>
                  </w:r>
                  <w:r>
                    <w:rPr>
                      <w:szCs w:val="21"/>
                    </w:rPr>
                    <w:t>%</w:t>
                  </w:r>
                  <w:r>
                    <w:rPr>
                      <w:rFonts w:hint="eastAsia"/>
                      <w:szCs w:val="21"/>
                    </w:rPr>
                    <w:t>）</w:t>
                  </w:r>
                </w:p>
              </w:tc>
              <w:tc>
                <w:tcPr>
                  <w:tcW w:w="2633" w:type="dxa"/>
                </w:tcPr>
                <w:p>
                  <w:pPr>
                    <w:pStyle w:val="115"/>
                    <w:adjustRightInd/>
                    <w:snapToGrid/>
                    <w:ind w:firstLine="420"/>
                    <w:jc w:val="center"/>
                    <w:rPr>
                      <w:szCs w:val="21"/>
                    </w:rPr>
                  </w:pPr>
                  <w:r>
                    <w:rPr>
                      <w:rFonts w:hint="eastAsia"/>
                      <w:szCs w:val="21"/>
                    </w:rPr>
                    <w:t>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667" w:type="dxa"/>
                </w:tcPr>
                <w:p>
                  <w:pPr>
                    <w:pStyle w:val="115"/>
                    <w:adjustRightInd/>
                    <w:snapToGrid/>
                    <w:ind w:firstLine="420"/>
                    <w:jc w:val="center"/>
                    <w:rPr>
                      <w:szCs w:val="21"/>
                    </w:rPr>
                  </w:pPr>
                  <w:r>
                    <w:rPr>
                      <w:rFonts w:hint="eastAsia"/>
                      <w:szCs w:val="21"/>
                    </w:rPr>
                    <w:t>评价工作等级</w:t>
                  </w:r>
                </w:p>
              </w:tc>
              <w:tc>
                <w:tcPr>
                  <w:tcW w:w="2633" w:type="dxa"/>
                </w:tcPr>
                <w:p>
                  <w:pPr>
                    <w:pStyle w:val="115"/>
                    <w:adjustRightInd/>
                    <w:snapToGrid/>
                    <w:ind w:firstLine="420"/>
                    <w:jc w:val="center"/>
                    <w:rPr>
                      <w:szCs w:val="21"/>
                    </w:rPr>
                  </w:pPr>
                  <w:r>
                    <w:rPr>
                      <w:rFonts w:hint="eastAsia"/>
                      <w:szCs w:val="21"/>
                    </w:rPr>
                    <w:t>二级</w:t>
                  </w:r>
                </w:p>
              </w:tc>
            </w:tr>
          </w:tbl>
          <w:p>
            <w:pPr>
              <w:pStyle w:val="115"/>
              <w:adjustRightInd/>
              <w:snapToGrid/>
              <w:ind w:firstLine="360"/>
              <w:rPr>
                <w:szCs w:val="21"/>
              </w:rPr>
            </w:pPr>
            <w:r>
              <w:rPr>
                <w:rFonts w:hint="eastAsia"/>
                <w:sz w:val="18"/>
                <w:szCs w:val="18"/>
              </w:rPr>
              <w:t>备注</w:t>
            </w:r>
            <w:r>
              <w:rPr>
                <w:rFonts w:hint="eastAsia"/>
                <w:szCs w:val="21"/>
              </w:rPr>
              <w:t>：</w:t>
            </w:r>
            <w:r>
              <w:rPr>
                <w:sz w:val="18"/>
                <w:szCs w:val="18"/>
              </w:rPr>
              <w:t>粉尘小时浓度标准值按</w:t>
            </w:r>
            <w:r>
              <w:rPr>
                <w:rFonts w:hint="eastAsia"/>
                <w:sz w:val="18"/>
                <w:szCs w:val="18"/>
              </w:rPr>
              <w:t>24小时浓度均</w:t>
            </w:r>
            <w:r>
              <w:rPr>
                <w:sz w:val="18"/>
                <w:szCs w:val="18"/>
              </w:rPr>
              <w:t>值的3倍计</w:t>
            </w:r>
            <w:r>
              <w:rPr>
                <w:rFonts w:hint="eastAsia"/>
                <w:szCs w:val="21"/>
              </w:rPr>
              <w:t>。</w:t>
            </w:r>
          </w:p>
          <w:p>
            <w:pPr>
              <w:spacing w:line="360" w:lineRule="auto"/>
              <w:ind w:firstLine="480" w:firstLineChars="200"/>
              <w:rPr>
                <w:sz w:val="24"/>
                <w:szCs w:val="22"/>
              </w:rPr>
            </w:pPr>
            <w:r>
              <w:rPr>
                <w:rFonts w:hint="eastAsia"/>
                <w:sz w:val="24"/>
                <w:szCs w:val="22"/>
              </w:rPr>
              <w:t>根据预测结果，综合以上分析，由于本项目主要大气污染物最大地面浓度占标率为</w:t>
            </w:r>
            <w:r>
              <w:rPr>
                <w:rFonts w:hint="eastAsia"/>
                <w:szCs w:val="21"/>
              </w:rPr>
              <w:t>6.57</w:t>
            </w:r>
            <w:r>
              <w:rPr>
                <w:rFonts w:hint="eastAsia"/>
                <w:sz w:val="24"/>
                <w:szCs w:val="22"/>
              </w:rPr>
              <w:t>，大于1％但不超过标准的10％，据此，依据《环境影响评价技术导则 大气环境》(HJ2.2-2018)规定，确定评价等级为二级，大气环境影响评价范围为边长5km矩形。</w:t>
            </w:r>
          </w:p>
          <w:p>
            <w:pPr>
              <w:pStyle w:val="2"/>
              <w:rPr>
                <w:szCs w:val="20"/>
              </w:rPr>
            </w:pPr>
            <w:r>
              <w:rPr>
                <w:rFonts w:hint="eastAsia"/>
                <w:sz w:val="24"/>
                <w:szCs w:val="22"/>
              </w:rPr>
              <w:t xml:space="preserve">   （2）大气环境防护距离</w:t>
            </w:r>
          </w:p>
          <w:p>
            <w:pPr>
              <w:spacing w:line="360" w:lineRule="auto"/>
              <w:ind w:firstLine="480" w:firstLineChars="200"/>
              <w:rPr>
                <w:sz w:val="24"/>
              </w:rPr>
            </w:pPr>
            <w:r>
              <w:rPr>
                <w:rFonts w:hint="eastAsia" w:hAnsi="宋体"/>
                <w:sz w:val="24"/>
              </w:rPr>
              <w:t>经SCREEN3模型预测可知，项目无组织排放粉尘预测结果最大落地浓度为0.0591</w:t>
            </w:r>
            <w:r>
              <w:rPr>
                <w:sz w:val="24"/>
              </w:rPr>
              <w:t>mg/m</w:t>
            </w:r>
            <w:r>
              <w:rPr>
                <w:sz w:val="24"/>
                <w:vertAlign w:val="superscript"/>
              </w:rPr>
              <w:t>3</w:t>
            </w:r>
            <w:r>
              <w:rPr>
                <w:rFonts w:hint="eastAsia"/>
                <w:sz w:val="24"/>
              </w:rPr>
              <w:t>，占标率为6.57%，位于厂界外95m处，属于二级评价，</w:t>
            </w:r>
            <w:r>
              <w:rPr>
                <w:rFonts w:hint="eastAsia"/>
                <w:sz w:val="24"/>
                <w:szCs w:val="21"/>
              </w:rPr>
              <w:t>小于</w:t>
            </w:r>
            <w:r>
              <w:rPr>
                <w:sz w:val="24"/>
              </w:rPr>
              <w:t>《环境空气质量标准》（GB3095</w:t>
            </w:r>
            <w:r>
              <w:rPr>
                <w:rFonts w:hint="eastAsia"/>
                <w:sz w:val="24"/>
              </w:rPr>
              <w:t>-2012</w:t>
            </w:r>
            <w:r>
              <w:rPr>
                <w:sz w:val="24"/>
              </w:rPr>
              <w:t>）</w:t>
            </w:r>
            <w:r>
              <w:rPr>
                <w:rFonts w:hint="eastAsia"/>
                <w:sz w:val="24"/>
              </w:rPr>
              <w:t>中</w:t>
            </w:r>
            <w:r>
              <w:rPr>
                <w:sz w:val="24"/>
              </w:rPr>
              <w:t>二级标准</w:t>
            </w:r>
            <w:r>
              <w:rPr>
                <w:rFonts w:hint="eastAsia" w:hAnsi="宋体"/>
                <w:sz w:val="24"/>
              </w:rPr>
              <w:t>TSP</w:t>
            </w:r>
            <w:r>
              <w:rPr>
                <w:rFonts w:hint="eastAsia"/>
                <w:sz w:val="24"/>
              </w:rPr>
              <w:t>日均值0.3</w:t>
            </w:r>
            <w:r>
              <w:rPr>
                <w:sz w:val="24"/>
              </w:rPr>
              <w:t>mg/m</w:t>
            </w:r>
            <w:r>
              <w:rPr>
                <w:sz w:val="24"/>
                <w:vertAlign w:val="superscript"/>
              </w:rPr>
              <w:t>3</w:t>
            </w:r>
            <w:r>
              <w:rPr>
                <w:rFonts w:hint="eastAsia"/>
                <w:sz w:val="24"/>
              </w:rPr>
              <w:t>三倍的要求，</w:t>
            </w:r>
            <w:r>
              <w:rPr>
                <w:rFonts w:hint="eastAsia"/>
                <w:sz w:val="24"/>
                <w:szCs w:val="22"/>
              </w:rPr>
              <w:t>依据《环境影响评价技术导则 大气环境》(HJ2.2-2018)规定，</w:t>
            </w:r>
            <w:r>
              <w:rPr>
                <w:rFonts w:hint="eastAsia"/>
                <w:sz w:val="24"/>
              </w:rPr>
              <w:t>无需设大气环境防护距离。</w:t>
            </w:r>
          </w:p>
          <w:p>
            <w:pPr>
              <w:widowControl/>
              <w:jc w:val="left"/>
            </w:pPr>
            <w:r>
              <w:rPr>
                <w:rFonts w:ascii="宋体" w:hAnsi="宋体" w:cs="宋体"/>
                <w:kern w:val="0"/>
                <w:sz w:val="24"/>
                <w:szCs w:val="24"/>
              </w:rPr>
              <w:drawing>
                <wp:inline distT="0" distB="0" distL="114300" distR="114300">
                  <wp:extent cx="2566670" cy="2498090"/>
                  <wp:effectExtent l="0" t="0" r="5080" b="1651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2" cstate="print"/>
                          <a:stretch>
                            <a:fillRect/>
                          </a:stretch>
                        </pic:blipFill>
                        <pic:spPr>
                          <a:xfrm>
                            <a:off x="0" y="0"/>
                            <a:ext cx="2566670" cy="2498090"/>
                          </a:xfrm>
                          <a:prstGeom prst="rect">
                            <a:avLst/>
                          </a:prstGeom>
                          <a:noFill/>
                          <a:ln w="9525">
                            <a:noFill/>
                          </a:ln>
                        </pic:spPr>
                      </pic:pic>
                    </a:graphicData>
                  </a:graphic>
                </wp:inline>
              </w:drawing>
            </w:r>
            <w:r>
              <w:rPr>
                <w:rFonts w:ascii="宋体" w:hAnsi="宋体" w:cs="宋体"/>
                <w:kern w:val="0"/>
                <w:sz w:val="24"/>
                <w:szCs w:val="24"/>
              </w:rPr>
              <w:drawing>
                <wp:inline distT="0" distB="0" distL="114300" distR="114300">
                  <wp:extent cx="2675255" cy="2651125"/>
                  <wp:effectExtent l="0" t="0" r="10795" b="15875"/>
                  <wp:docPr id="1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6"/>
                          <pic:cNvPicPr>
                            <a:picLocks noChangeAspect="1"/>
                          </pic:cNvPicPr>
                        </pic:nvPicPr>
                        <pic:blipFill>
                          <a:blip r:embed="rId13" cstate="print"/>
                          <a:stretch>
                            <a:fillRect/>
                          </a:stretch>
                        </pic:blipFill>
                        <pic:spPr>
                          <a:xfrm>
                            <a:off x="0" y="0"/>
                            <a:ext cx="2675255" cy="2651125"/>
                          </a:xfrm>
                          <a:prstGeom prst="rect">
                            <a:avLst/>
                          </a:prstGeom>
                          <a:noFill/>
                          <a:ln w="9525">
                            <a:noFill/>
                          </a:ln>
                        </pic:spPr>
                      </pic:pic>
                    </a:graphicData>
                  </a:graphic>
                </wp:inline>
              </w:drawing>
            </w:r>
          </w:p>
          <w:p>
            <w:pPr>
              <w:spacing w:line="360" w:lineRule="auto"/>
              <w:ind w:firstLine="482" w:firstLineChars="200"/>
              <w:jc w:val="center"/>
              <w:rPr>
                <w:b/>
                <w:sz w:val="24"/>
              </w:rPr>
            </w:pPr>
            <w:r>
              <w:rPr>
                <w:rFonts w:hint="eastAsia"/>
                <w:b/>
                <w:sz w:val="24"/>
              </w:rPr>
              <w:t>图7-</w:t>
            </w:r>
            <w:r>
              <w:rPr>
                <w:rFonts w:hint="eastAsia"/>
                <w:b/>
                <w:sz w:val="24"/>
                <w:lang w:val="en-US" w:eastAsia="zh-CN"/>
              </w:rPr>
              <w:t>1</w:t>
            </w:r>
            <w:r>
              <w:rPr>
                <w:rFonts w:hint="eastAsia"/>
                <w:b/>
                <w:sz w:val="24"/>
              </w:rPr>
              <w:t xml:space="preserve">    SCREEN3模型预测结果</w:t>
            </w:r>
          </w:p>
          <w:p>
            <w:pPr>
              <w:spacing w:line="360" w:lineRule="auto"/>
              <w:ind w:firstLine="480" w:firstLineChars="200"/>
              <w:jc w:val="left"/>
              <w:rPr>
                <w:b/>
                <w:sz w:val="24"/>
              </w:rPr>
            </w:pPr>
            <w:r>
              <w:rPr>
                <w:rFonts w:hint="eastAsia"/>
                <w:sz w:val="24"/>
              </w:rPr>
              <w:t>经预测，项目</w:t>
            </w:r>
            <w:r>
              <w:rPr>
                <w:rFonts w:hint="eastAsia"/>
                <w:sz w:val="24"/>
                <w:lang w:eastAsia="zh-CN"/>
              </w:rPr>
              <w:t>贺家咀距离本项目最近为</w:t>
            </w:r>
            <w:r>
              <w:rPr>
                <w:rFonts w:hint="eastAsia"/>
                <w:sz w:val="24"/>
                <w:lang w:val="en-US" w:eastAsia="zh-CN"/>
              </w:rPr>
              <w:t>1m，</w:t>
            </w:r>
            <w:r>
              <w:rPr>
                <w:rFonts w:hint="eastAsia"/>
                <w:sz w:val="24"/>
              </w:rPr>
              <w:t>大气贡献值浓度最大值处为0.0</w:t>
            </w:r>
            <w:r>
              <w:rPr>
                <w:rFonts w:hint="eastAsia"/>
                <w:sz w:val="24"/>
                <w:lang w:val="en-US" w:eastAsia="zh-CN"/>
              </w:rPr>
              <w:t>222</w:t>
            </w:r>
            <w:r>
              <w:rPr>
                <w:sz w:val="24"/>
              </w:rPr>
              <w:t>mg/m</w:t>
            </w:r>
            <w:r>
              <w:rPr>
                <w:sz w:val="24"/>
                <w:vertAlign w:val="superscript"/>
              </w:rPr>
              <w:t>3</w:t>
            </w:r>
            <w:r>
              <w:rPr>
                <w:rFonts w:hint="eastAsia" w:hAnsi="宋体"/>
                <w:sz w:val="24"/>
              </w:rPr>
              <w:t>，</w:t>
            </w:r>
            <w:r>
              <w:rPr>
                <w:rFonts w:hint="eastAsia"/>
                <w:sz w:val="24"/>
              </w:rPr>
              <w:t>苍苔村距离本项目最近距离为</w:t>
            </w:r>
            <w:r>
              <w:rPr>
                <w:rFonts w:hint="eastAsia"/>
                <w:sz w:val="24"/>
                <w:lang w:val="en-US" w:eastAsia="zh-CN"/>
              </w:rPr>
              <w:t>95</w:t>
            </w:r>
            <w:r>
              <w:rPr>
                <w:rFonts w:hint="eastAsia"/>
                <w:sz w:val="24"/>
              </w:rPr>
              <w:t>m处，属于大气贡献值浓度最大值处为0.0591</w:t>
            </w:r>
            <w:r>
              <w:rPr>
                <w:sz w:val="24"/>
              </w:rPr>
              <w:t>mg/m</w:t>
            </w:r>
            <w:r>
              <w:rPr>
                <w:sz w:val="24"/>
                <w:vertAlign w:val="superscript"/>
              </w:rPr>
              <w:t>3</w:t>
            </w:r>
            <w:r>
              <w:rPr>
                <w:rFonts w:hint="eastAsia" w:hAnsi="宋体"/>
                <w:sz w:val="24"/>
              </w:rPr>
              <w:t>，</w:t>
            </w:r>
            <w:r>
              <w:rPr>
                <w:rFonts w:hint="eastAsia" w:hAnsi="宋体"/>
                <w:sz w:val="24"/>
                <w:lang w:eastAsia="zh-CN"/>
              </w:rPr>
              <w:t>均</w:t>
            </w:r>
            <w:r>
              <w:rPr>
                <w:rFonts w:hint="eastAsia"/>
                <w:sz w:val="24"/>
              </w:rPr>
              <w:t>小于</w:t>
            </w:r>
            <w:r>
              <w:rPr>
                <w:rFonts w:hint="eastAsia" w:hAnsi="宋体"/>
                <w:sz w:val="24"/>
              </w:rPr>
              <w:t>TSP</w:t>
            </w:r>
            <w:r>
              <w:rPr>
                <w:rFonts w:hint="eastAsia"/>
                <w:sz w:val="24"/>
              </w:rPr>
              <w:t>小时浓度0.9</w:t>
            </w:r>
            <w:r>
              <w:rPr>
                <w:sz w:val="24"/>
              </w:rPr>
              <w:t>mg/m</w:t>
            </w:r>
            <w:r>
              <w:rPr>
                <w:sz w:val="24"/>
                <w:vertAlign w:val="superscript"/>
              </w:rPr>
              <w:t>3</w:t>
            </w:r>
            <w:r>
              <w:rPr>
                <w:rFonts w:hint="eastAsia"/>
                <w:sz w:val="24"/>
              </w:rPr>
              <w:t>（</w:t>
            </w:r>
            <w:r>
              <w:rPr>
                <w:sz w:val="24"/>
              </w:rPr>
              <w:t>《环境空气质量标准》（GB3095</w:t>
            </w:r>
            <w:r>
              <w:rPr>
                <w:rFonts w:hint="eastAsia"/>
                <w:sz w:val="24"/>
              </w:rPr>
              <w:t>-2012</w:t>
            </w:r>
            <w:r>
              <w:rPr>
                <w:sz w:val="24"/>
              </w:rPr>
              <w:t>）</w:t>
            </w:r>
            <w:r>
              <w:rPr>
                <w:rFonts w:hint="eastAsia"/>
                <w:sz w:val="24"/>
              </w:rPr>
              <w:t>中</w:t>
            </w:r>
            <w:r>
              <w:rPr>
                <w:sz w:val="24"/>
              </w:rPr>
              <w:t>二级标准</w:t>
            </w:r>
            <w:r>
              <w:rPr>
                <w:rFonts w:hint="eastAsia" w:hAnsi="宋体"/>
                <w:sz w:val="24"/>
              </w:rPr>
              <w:t>TSP</w:t>
            </w:r>
            <w:r>
              <w:rPr>
                <w:rFonts w:hint="eastAsia"/>
                <w:sz w:val="24"/>
              </w:rPr>
              <w:t>日均值0.3</w:t>
            </w:r>
            <w:r>
              <w:rPr>
                <w:sz w:val="24"/>
              </w:rPr>
              <w:t>mg/m</w:t>
            </w:r>
            <w:r>
              <w:rPr>
                <w:sz w:val="24"/>
                <w:vertAlign w:val="superscript"/>
              </w:rPr>
              <w:t>3</w:t>
            </w:r>
            <w:r>
              <w:rPr>
                <w:rFonts w:hint="eastAsia"/>
                <w:sz w:val="24"/>
              </w:rPr>
              <w:t>的三倍）的要求，因此，项目粉尘对周围居民的影响在可接受范围内。</w:t>
            </w:r>
          </w:p>
          <w:p>
            <w:pPr>
              <w:spacing w:line="360" w:lineRule="auto"/>
              <w:ind w:firstLine="480" w:firstLineChars="200"/>
              <w:rPr>
                <w:sz w:val="24"/>
                <w:u w:val="single"/>
              </w:rPr>
            </w:pPr>
            <w:r>
              <w:rPr>
                <w:rFonts w:hint="eastAsia"/>
                <w:sz w:val="24"/>
                <w:u w:val="single"/>
              </w:rPr>
              <w:t>项目在生产过程中需采取相应措施减少粉尘的产生量，并严格执行相应措施，具体措施如下：</w:t>
            </w:r>
          </w:p>
          <w:p>
            <w:pPr>
              <w:tabs>
                <w:tab w:val="left" w:pos="8820"/>
              </w:tabs>
              <w:spacing w:line="360" w:lineRule="auto"/>
              <w:ind w:firstLine="480" w:firstLineChars="200"/>
              <w:rPr>
                <w:sz w:val="24"/>
                <w:u w:val="single"/>
              </w:rPr>
            </w:pPr>
            <w:r>
              <w:rPr>
                <w:sz w:val="24"/>
                <w:u w:val="single"/>
              </w:rPr>
              <w:fldChar w:fldCharType="begin"/>
            </w:r>
            <w:r>
              <w:rPr>
                <w:rFonts w:hint="eastAsia"/>
                <w:sz w:val="24"/>
                <w:u w:val="single"/>
              </w:rPr>
              <w:instrText xml:space="preserve">= 1 \* GB3</w:instrText>
            </w:r>
            <w:r>
              <w:rPr>
                <w:sz w:val="24"/>
                <w:u w:val="single"/>
              </w:rPr>
              <w:fldChar w:fldCharType="separate"/>
            </w:r>
            <w:r>
              <w:rPr>
                <w:rFonts w:hint="eastAsia"/>
                <w:sz w:val="24"/>
                <w:u w:val="single"/>
              </w:rPr>
              <w:t>①</w:t>
            </w:r>
            <w:r>
              <w:rPr>
                <w:sz w:val="24"/>
                <w:u w:val="single"/>
              </w:rPr>
              <w:fldChar w:fldCharType="end"/>
            </w:r>
            <w:r>
              <w:rPr>
                <w:rFonts w:hint="eastAsia"/>
                <w:sz w:val="24"/>
                <w:u w:val="single"/>
              </w:rPr>
              <w:t>项目采用湿法破碎及湿法筛分的生产工艺，避免干法破碎及筛分过程产生大量粉尘；</w:t>
            </w:r>
          </w:p>
          <w:p>
            <w:pPr>
              <w:tabs>
                <w:tab w:val="left" w:pos="8820"/>
              </w:tabs>
              <w:spacing w:line="500" w:lineRule="exact"/>
              <w:ind w:firstLine="480" w:firstLineChars="200"/>
              <w:rPr>
                <w:sz w:val="24"/>
                <w:u w:val="single"/>
              </w:rPr>
            </w:pPr>
            <w:r>
              <w:rPr>
                <w:rFonts w:hint="eastAsia"/>
                <w:sz w:val="24"/>
                <w:u w:val="single"/>
              </w:rPr>
              <w:t>②</w:t>
            </w:r>
            <w:r>
              <w:rPr>
                <w:sz w:val="24"/>
                <w:u w:val="single"/>
              </w:rPr>
              <w:t>在设计中着重考虑充分利用台段高差，以减小卸料落差，减少</w:t>
            </w:r>
            <w:r>
              <w:rPr>
                <w:rFonts w:hint="eastAsia"/>
                <w:sz w:val="24"/>
                <w:u w:val="single"/>
              </w:rPr>
              <w:t>原料的</w:t>
            </w:r>
            <w:r>
              <w:rPr>
                <w:sz w:val="24"/>
                <w:u w:val="single"/>
              </w:rPr>
              <w:t>二次扬尘</w:t>
            </w:r>
            <w:r>
              <w:rPr>
                <w:rFonts w:hint="eastAsia"/>
                <w:sz w:val="24"/>
                <w:u w:val="single"/>
              </w:rPr>
              <w:t xml:space="preserve">； </w:t>
            </w:r>
          </w:p>
          <w:p>
            <w:pPr>
              <w:tabs>
                <w:tab w:val="left" w:pos="8820"/>
              </w:tabs>
              <w:spacing w:line="500" w:lineRule="exact"/>
              <w:ind w:firstLine="480" w:firstLineChars="200"/>
              <w:rPr>
                <w:sz w:val="24"/>
                <w:u w:val="single"/>
              </w:rPr>
            </w:pPr>
            <w:r>
              <w:rPr>
                <w:sz w:val="24"/>
                <w:u w:val="single"/>
              </w:rPr>
              <w:fldChar w:fldCharType="begin"/>
            </w:r>
            <w:r>
              <w:rPr>
                <w:rFonts w:hint="eastAsia"/>
                <w:sz w:val="24"/>
                <w:u w:val="single"/>
              </w:rPr>
              <w:instrText xml:space="preserve">= 3 \* GB3</w:instrText>
            </w:r>
            <w:r>
              <w:rPr>
                <w:sz w:val="24"/>
                <w:u w:val="single"/>
              </w:rPr>
              <w:fldChar w:fldCharType="separate"/>
            </w:r>
            <w:r>
              <w:rPr>
                <w:rFonts w:hint="eastAsia"/>
                <w:sz w:val="24"/>
                <w:u w:val="single"/>
              </w:rPr>
              <w:t>③</w:t>
            </w:r>
            <w:r>
              <w:rPr>
                <w:sz w:val="24"/>
                <w:u w:val="single"/>
              </w:rPr>
              <w:fldChar w:fldCharType="end"/>
            </w:r>
            <w:r>
              <w:rPr>
                <w:rFonts w:hint="eastAsia"/>
                <w:sz w:val="24"/>
                <w:u w:val="single"/>
              </w:rPr>
              <w:t>各物料堆存区采取防雨措施，避免雨水淋溶原料，造成水体污染。</w:t>
            </w:r>
          </w:p>
          <w:p>
            <w:pPr>
              <w:tabs>
                <w:tab w:val="left" w:pos="8820"/>
              </w:tabs>
              <w:spacing w:line="500" w:lineRule="exact"/>
              <w:ind w:firstLine="480" w:firstLineChars="200"/>
              <w:rPr>
                <w:sz w:val="24"/>
                <w:szCs w:val="22"/>
                <w:u w:val="single"/>
              </w:rPr>
            </w:pPr>
            <w:r>
              <w:rPr>
                <w:sz w:val="24"/>
                <w:u w:val="single"/>
              </w:rPr>
              <w:fldChar w:fldCharType="begin"/>
            </w:r>
            <w:r>
              <w:rPr>
                <w:rFonts w:hint="eastAsia"/>
                <w:sz w:val="24"/>
                <w:u w:val="single"/>
              </w:rPr>
              <w:instrText xml:space="preserve">= 4 \* GB3</w:instrText>
            </w:r>
            <w:r>
              <w:rPr>
                <w:sz w:val="24"/>
                <w:u w:val="single"/>
              </w:rPr>
              <w:fldChar w:fldCharType="separate"/>
            </w:r>
            <w:r>
              <w:rPr>
                <w:rFonts w:hint="eastAsia"/>
                <w:sz w:val="24"/>
                <w:u w:val="single"/>
              </w:rPr>
              <w:t>④</w:t>
            </w:r>
            <w:r>
              <w:rPr>
                <w:sz w:val="24"/>
                <w:u w:val="single"/>
              </w:rPr>
              <w:fldChar w:fldCharType="end"/>
            </w:r>
            <w:r>
              <w:rPr>
                <w:rFonts w:hint="eastAsia"/>
                <w:sz w:val="24"/>
                <w:u w:val="single"/>
              </w:rPr>
              <w:t>对货车运输道路</w:t>
            </w:r>
            <w:r>
              <w:rPr>
                <w:rFonts w:hint="eastAsia"/>
                <w:sz w:val="24"/>
                <w:szCs w:val="22"/>
                <w:u w:val="single"/>
              </w:rPr>
              <w:t>及厂区内道路采取洒水措施，频率不得少于4~5次，避免运输扬尘对周围居民造成影响。</w:t>
            </w:r>
          </w:p>
          <w:p>
            <w:pPr>
              <w:tabs>
                <w:tab w:val="left" w:pos="8820"/>
              </w:tabs>
              <w:spacing w:line="500" w:lineRule="exact"/>
              <w:ind w:firstLine="480" w:firstLineChars="200"/>
              <w:rPr>
                <w:sz w:val="24"/>
                <w:szCs w:val="22"/>
                <w:u w:val="single"/>
              </w:rPr>
            </w:pPr>
            <w:r>
              <w:rPr>
                <w:rFonts w:hint="eastAsia"/>
                <w:sz w:val="24"/>
                <w:szCs w:val="22"/>
                <w:u w:val="single"/>
              </w:rPr>
              <w:t>⑤</w:t>
            </w:r>
            <w:r>
              <w:rPr>
                <w:rFonts w:hint="eastAsia"/>
                <w:sz w:val="24"/>
                <w:u w:val="single"/>
              </w:rPr>
              <w:t>工人应佩戴防尘工具，</w:t>
            </w:r>
            <w:r>
              <w:rPr>
                <w:rFonts w:hint="eastAsia"/>
                <w:sz w:val="24"/>
                <w:szCs w:val="22"/>
                <w:u w:val="single"/>
              </w:rPr>
              <w:t>以减少无组织排放废气对生产工人的影响。</w:t>
            </w:r>
          </w:p>
          <w:p>
            <w:pPr>
              <w:tabs>
                <w:tab w:val="left" w:pos="8820"/>
              </w:tabs>
              <w:spacing w:line="500" w:lineRule="exact"/>
              <w:ind w:firstLine="480" w:firstLineChars="200"/>
              <w:rPr>
                <w:sz w:val="24"/>
                <w:szCs w:val="22"/>
              </w:rPr>
            </w:pPr>
            <w:r>
              <w:rPr>
                <w:rFonts w:hint="eastAsia"/>
                <w:sz w:val="24"/>
                <w:szCs w:val="22"/>
              </w:rPr>
              <w:t>以上措施为常用的降尘措施，易操作且效果明显，因此措施可行。</w:t>
            </w:r>
          </w:p>
          <w:p>
            <w:pPr>
              <w:tabs>
                <w:tab w:val="left" w:pos="8820"/>
              </w:tabs>
              <w:spacing w:line="500" w:lineRule="exact"/>
              <w:ind w:firstLine="480" w:firstLineChars="200"/>
              <w:rPr>
                <w:sz w:val="24"/>
                <w:szCs w:val="22"/>
              </w:rPr>
            </w:pPr>
            <w:r>
              <w:rPr>
                <w:rFonts w:hint="eastAsia"/>
                <w:sz w:val="24"/>
                <w:szCs w:val="22"/>
              </w:rPr>
              <w:t>根据《环境影响评价技术导则-大气环境》（HJ2.2-2018）：不达标区域建设项目环境影响评价，当同时满足以下条件时，则认为环境影响可以接受。a)达标规划未包含的新增污染源建设项目，需另有替代源的削减方案；b)新增污染源正常排放下污染物短期浓度贡献值的最大浓度占标率＜100%；c）新增污染源正常排放下污染物年均浓度贡献值的最大浓度占标率≤30%（其中一类区≤10％）；d）项目环境影响符合环境功能区划或区域环境质量改善目标。现状浓度超标的污染物评价，叠加达标年目标浓度、区域削减污染源以及在建、拟建项目的环境影响后，污染物的保证率日平均质量浓度和年平均质量浓度均符合环境质量标准或满足达标规划确定的区域环境质量改善目标，或按8.8.4计算的预测范围内年平均质量浓度变化率k≤-20％;对于现状达标的污染物评价，叠加后污染物浓度符合环境质量标准：对于项目排放的主要污染物仅有短期浓度限值的，叠加后的短期浓度符合环境质量标准。</w:t>
            </w:r>
          </w:p>
          <w:p>
            <w:pPr>
              <w:tabs>
                <w:tab w:val="left" w:pos="3240"/>
              </w:tabs>
              <w:spacing w:line="360" w:lineRule="auto"/>
              <w:ind w:firstLine="480" w:firstLineChars="200"/>
              <w:rPr>
                <w:sz w:val="24"/>
                <w:szCs w:val="22"/>
              </w:rPr>
            </w:pPr>
            <w:r>
              <w:rPr>
                <w:rFonts w:hint="eastAsia"/>
                <w:sz w:val="24"/>
                <w:szCs w:val="22"/>
              </w:rPr>
              <w:t>（1）本项目为不达标项目为PM2.5，本环评新增污染源为粉尘根据</w:t>
            </w:r>
            <w:r>
              <w:rPr>
                <w:sz w:val="24"/>
                <w:szCs w:val="24"/>
                <w:shd w:val="clear" w:color="auto" w:fill="FFFFFF"/>
              </w:rPr>
              <w:t>湖南省人民政府关于印发《湖南省污染防治攻坚战三年行动计划(2018—2020年)》的通知（湘政发〔2018〕17号）</w:t>
            </w:r>
            <w:r>
              <w:rPr>
                <w:rFonts w:hint="eastAsia"/>
                <w:sz w:val="24"/>
                <w:szCs w:val="22"/>
              </w:rPr>
              <w:t>，现华容县对于大气环境已采取全面控制及规划措施（包括PM2.5），预计2020年全面达标，达标项目包含粉尘，满足要求。</w:t>
            </w:r>
          </w:p>
          <w:p>
            <w:pPr>
              <w:tabs>
                <w:tab w:val="left" w:pos="8820"/>
              </w:tabs>
              <w:spacing w:line="500" w:lineRule="exact"/>
              <w:ind w:firstLine="480" w:firstLineChars="200"/>
              <w:rPr>
                <w:sz w:val="24"/>
                <w:szCs w:val="22"/>
              </w:rPr>
            </w:pPr>
            <w:r>
              <w:rPr>
                <w:rFonts w:hint="eastAsia"/>
                <w:sz w:val="24"/>
                <w:szCs w:val="22"/>
              </w:rPr>
              <w:t>（2）本项目新增粉尘的小时平均浓度贡献值的最大占标率均小于100%；</w:t>
            </w:r>
          </w:p>
          <w:p>
            <w:pPr>
              <w:tabs>
                <w:tab w:val="left" w:pos="8820"/>
              </w:tabs>
              <w:spacing w:line="500" w:lineRule="exact"/>
              <w:ind w:firstLine="480" w:firstLineChars="200"/>
              <w:rPr>
                <w:sz w:val="24"/>
                <w:szCs w:val="22"/>
              </w:rPr>
            </w:pPr>
            <w:r>
              <w:rPr>
                <w:rFonts w:hint="eastAsia"/>
                <w:sz w:val="24"/>
                <w:szCs w:val="22"/>
              </w:rPr>
              <w:t>（3）本项目新增污染源正常排放下污染物粉尘的年均浓度贡献值的最大浓度占标率＜30％；</w:t>
            </w:r>
          </w:p>
          <w:p>
            <w:pPr>
              <w:tabs>
                <w:tab w:val="left" w:pos="8820"/>
              </w:tabs>
              <w:spacing w:line="500" w:lineRule="exact"/>
              <w:ind w:firstLine="480" w:firstLineChars="200"/>
              <w:rPr>
                <w:sz w:val="24"/>
                <w:szCs w:val="22"/>
              </w:rPr>
            </w:pPr>
            <w:r>
              <w:rPr>
                <w:rFonts w:hint="eastAsia"/>
                <w:sz w:val="24"/>
                <w:szCs w:val="22"/>
              </w:rPr>
              <w:t>（4）项目环境影响符合环境功能区划，叠加现状浓度后，主要污染物的质量浓度均符合环境质量标准（0.9mg/m</w:t>
            </w:r>
            <w:r>
              <w:rPr>
                <w:rFonts w:hint="eastAsia"/>
                <w:sz w:val="24"/>
                <w:szCs w:val="22"/>
                <w:vertAlign w:val="superscript"/>
              </w:rPr>
              <w:t>3</w:t>
            </w:r>
            <w:r>
              <w:rPr>
                <w:rFonts w:hint="eastAsia"/>
                <w:sz w:val="24"/>
                <w:szCs w:val="22"/>
              </w:rPr>
              <w:t>）。</w:t>
            </w:r>
          </w:p>
          <w:p>
            <w:pPr>
              <w:tabs>
                <w:tab w:val="left" w:pos="8820"/>
              </w:tabs>
              <w:spacing w:line="500" w:lineRule="exact"/>
              <w:ind w:firstLine="480" w:firstLineChars="200"/>
              <w:rPr>
                <w:sz w:val="24"/>
                <w:szCs w:val="22"/>
              </w:rPr>
            </w:pPr>
            <w:r>
              <w:rPr>
                <w:rFonts w:hint="eastAsia"/>
                <w:sz w:val="24"/>
                <w:szCs w:val="22"/>
              </w:rPr>
              <w:t>综上，本评价认为项目建设对大气环境的影响在可接受范围内。</w:t>
            </w:r>
          </w:p>
          <w:p>
            <w:pPr>
              <w:tabs>
                <w:tab w:val="left" w:pos="8820"/>
              </w:tabs>
              <w:spacing w:line="500" w:lineRule="exact"/>
              <w:ind w:firstLine="480" w:firstLineChars="200"/>
              <w:rPr>
                <w:sz w:val="24"/>
                <w:szCs w:val="22"/>
              </w:rPr>
            </w:pPr>
            <w:r>
              <w:rPr>
                <w:rFonts w:hint="eastAsia"/>
                <w:sz w:val="24"/>
                <w:szCs w:val="22"/>
              </w:rPr>
              <w:t>拟建项目大气污染物年排放量核算详见表7-</w:t>
            </w:r>
            <w:r>
              <w:rPr>
                <w:rFonts w:hint="eastAsia"/>
                <w:sz w:val="24"/>
                <w:szCs w:val="22"/>
                <w:lang w:val="en-US" w:eastAsia="zh-CN"/>
              </w:rPr>
              <w:t>6</w:t>
            </w:r>
            <w:r>
              <w:rPr>
                <w:rFonts w:hint="eastAsia"/>
                <w:sz w:val="24"/>
                <w:szCs w:val="22"/>
              </w:rPr>
              <w:t>。</w:t>
            </w:r>
          </w:p>
          <w:p>
            <w:pPr>
              <w:pStyle w:val="115"/>
              <w:adjustRightInd/>
              <w:snapToGrid/>
              <w:ind w:firstLine="482"/>
              <w:jc w:val="center"/>
            </w:pPr>
            <w:r>
              <w:rPr>
                <w:b/>
                <w:sz w:val="24"/>
              </w:rPr>
              <w:t>表</w:t>
            </w:r>
            <w:r>
              <w:rPr>
                <w:rFonts w:hint="eastAsia"/>
                <w:b/>
                <w:sz w:val="24"/>
              </w:rPr>
              <w:t>7-</w:t>
            </w:r>
            <w:r>
              <w:rPr>
                <w:rFonts w:hint="eastAsia"/>
                <w:b/>
                <w:sz w:val="24"/>
                <w:lang w:val="en-US" w:eastAsia="zh-CN"/>
              </w:rPr>
              <w:t>6</w:t>
            </w:r>
            <w:r>
              <w:rPr>
                <w:rFonts w:hint="eastAsia"/>
                <w:b/>
                <w:sz w:val="24"/>
              </w:rPr>
              <w:t>大气污染物年排放量核算</w:t>
            </w:r>
            <w:r>
              <w:rPr>
                <w:b/>
                <w:sz w:val="24"/>
              </w:rPr>
              <w:t>表</w:t>
            </w:r>
          </w:p>
          <w:tbl>
            <w:tblPr>
              <w:tblStyle w:val="28"/>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0"/>
              <w:gridCol w:w="3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560" w:type="dxa"/>
                  <w:tcBorders>
                    <w:top w:val="single" w:color="auto" w:sz="12" w:space="0"/>
                  </w:tcBorders>
                </w:tcPr>
                <w:p>
                  <w:pPr>
                    <w:pStyle w:val="115"/>
                    <w:adjustRightInd/>
                    <w:snapToGrid/>
                    <w:ind w:firstLine="420"/>
                    <w:jc w:val="center"/>
                    <w:rPr>
                      <w:szCs w:val="21"/>
                    </w:rPr>
                  </w:pPr>
                  <w:r>
                    <w:rPr>
                      <w:rFonts w:hint="eastAsia"/>
                      <w:szCs w:val="21"/>
                    </w:rPr>
                    <w:t>污染物</w:t>
                  </w:r>
                </w:p>
              </w:tc>
              <w:tc>
                <w:tcPr>
                  <w:tcW w:w="3740" w:type="dxa"/>
                  <w:tcBorders>
                    <w:top w:val="single" w:color="auto" w:sz="12" w:space="0"/>
                    <w:right w:val="single" w:color="auto" w:sz="12" w:space="0"/>
                  </w:tcBorders>
                </w:tcPr>
                <w:p>
                  <w:pPr>
                    <w:pStyle w:val="115"/>
                    <w:adjustRightInd/>
                    <w:snapToGrid/>
                    <w:ind w:firstLine="420"/>
                    <w:jc w:val="center"/>
                    <w:rPr>
                      <w:szCs w:val="21"/>
                    </w:rPr>
                  </w:pPr>
                  <w:r>
                    <w:rPr>
                      <w:rFonts w:hint="eastAsia"/>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trPr>
              <w:tc>
                <w:tcPr>
                  <w:tcW w:w="4560" w:type="dxa"/>
                  <w:tcBorders>
                    <w:left w:val="single" w:color="auto" w:sz="4" w:space="0"/>
                    <w:bottom w:val="single" w:color="auto" w:sz="12" w:space="0"/>
                  </w:tcBorders>
                </w:tcPr>
                <w:p>
                  <w:pPr>
                    <w:pStyle w:val="115"/>
                    <w:adjustRightInd/>
                    <w:snapToGrid/>
                    <w:ind w:firstLine="420"/>
                    <w:jc w:val="center"/>
                    <w:rPr>
                      <w:szCs w:val="21"/>
                    </w:rPr>
                  </w:pPr>
                  <w:r>
                    <w:rPr>
                      <w:rFonts w:hint="eastAsia"/>
                      <w:szCs w:val="21"/>
                    </w:rPr>
                    <w:t>颗粒物</w:t>
                  </w:r>
                </w:p>
              </w:tc>
              <w:tc>
                <w:tcPr>
                  <w:tcW w:w="3740" w:type="dxa"/>
                  <w:tcBorders>
                    <w:bottom w:val="single" w:color="auto" w:sz="12" w:space="0"/>
                    <w:right w:val="single" w:color="auto" w:sz="12" w:space="0"/>
                  </w:tcBorders>
                </w:tcPr>
                <w:p>
                  <w:pPr>
                    <w:pStyle w:val="115"/>
                    <w:adjustRightInd/>
                    <w:snapToGrid/>
                    <w:ind w:firstLine="420"/>
                    <w:jc w:val="center"/>
                    <w:rPr>
                      <w:szCs w:val="21"/>
                    </w:rPr>
                  </w:pPr>
                  <w:r>
                    <w:rPr>
                      <w:rFonts w:hint="eastAsia"/>
                      <w:szCs w:val="21"/>
                    </w:rPr>
                    <w:t>0.78</w:t>
                  </w:r>
                </w:p>
              </w:tc>
            </w:tr>
          </w:tbl>
          <w:p>
            <w:pPr>
              <w:spacing w:line="360" w:lineRule="auto"/>
              <w:ind w:firstLine="482" w:firstLineChars="200"/>
              <w:rPr>
                <w:b/>
                <w:bCs/>
                <w:sz w:val="24"/>
              </w:rPr>
            </w:pPr>
            <w:r>
              <w:rPr>
                <w:rFonts w:hint="eastAsia"/>
                <w:b/>
                <w:bCs/>
                <w:sz w:val="24"/>
              </w:rPr>
              <w:t>项目大气环境自查表详见附表1。</w:t>
            </w:r>
          </w:p>
          <w:p>
            <w:pPr>
              <w:spacing w:line="360" w:lineRule="auto"/>
              <w:ind w:firstLine="480" w:firstLineChars="200"/>
              <w:rPr>
                <w:rFonts w:ascii="宋体" w:hAnsi="宋体"/>
                <w:kern w:val="24"/>
                <w:sz w:val="24"/>
              </w:rPr>
            </w:pPr>
            <w:r>
              <w:rPr>
                <w:rFonts w:hint="eastAsia"/>
                <w:sz w:val="24"/>
              </w:rPr>
              <w:t>（2）</w:t>
            </w:r>
            <w:r>
              <w:rPr>
                <w:rFonts w:hint="eastAsia" w:ascii="宋体" w:hAnsi="宋体"/>
                <w:kern w:val="24"/>
                <w:sz w:val="24"/>
              </w:rPr>
              <w:t>食堂油烟</w:t>
            </w:r>
          </w:p>
          <w:p>
            <w:pPr>
              <w:widowControl/>
              <w:spacing w:line="360" w:lineRule="auto"/>
              <w:ind w:firstLine="480" w:firstLineChars="200"/>
              <w:jc w:val="left"/>
              <w:rPr>
                <w:rFonts w:hAnsi="宋体"/>
                <w:sz w:val="24"/>
                <w:szCs w:val="22"/>
              </w:rPr>
            </w:pPr>
            <w:r>
              <w:rPr>
                <w:rFonts w:hint="eastAsia"/>
                <w:sz w:val="24"/>
              </w:rPr>
              <w:t>食堂废气主要是</w:t>
            </w:r>
            <w:r>
              <w:rPr>
                <w:sz w:val="24"/>
              </w:rPr>
              <w:t>在食物烹饪、加工过程中挥发的油脂、有机质及热分解或裂解，从而产生油烟废气</w:t>
            </w:r>
            <w:r>
              <w:rPr>
                <w:rFonts w:hint="eastAsia"/>
                <w:sz w:val="24"/>
              </w:rPr>
              <w:t>。食堂</w:t>
            </w:r>
            <w:r>
              <w:rPr>
                <w:sz w:val="24"/>
              </w:rPr>
              <w:t>油烟日产生量为</w:t>
            </w:r>
            <w:r>
              <w:rPr>
                <w:rFonts w:hint="eastAsia"/>
                <w:sz w:val="24"/>
              </w:rPr>
              <w:t>0.</w:t>
            </w:r>
            <w:r>
              <w:rPr>
                <w:rFonts w:hint="eastAsia"/>
                <w:sz w:val="24"/>
                <w:lang w:val="en-US" w:eastAsia="zh-CN"/>
              </w:rPr>
              <w:t>0</w:t>
            </w:r>
            <w:r>
              <w:rPr>
                <w:rFonts w:hint="eastAsia"/>
                <w:sz w:val="24"/>
              </w:rPr>
              <w:t>06</w:t>
            </w:r>
            <w:r>
              <w:rPr>
                <w:sz w:val="24"/>
              </w:rPr>
              <w:t>kg，年产生量为</w:t>
            </w:r>
            <w:r>
              <w:rPr>
                <w:rFonts w:hint="eastAsia"/>
                <w:sz w:val="24"/>
                <w:lang w:val="en-US" w:eastAsia="zh-CN"/>
              </w:rPr>
              <w:t>1.8</w:t>
            </w:r>
            <w:r>
              <w:rPr>
                <w:sz w:val="24"/>
              </w:rPr>
              <w:t>kg</w:t>
            </w:r>
            <w:r>
              <w:rPr>
                <w:rFonts w:hint="eastAsia"/>
                <w:sz w:val="24"/>
              </w:rPr>
              <w:t>，油烟产生浓度为</w:t>
            </w:r>
            <w:r>
              <w:rPr>
                <w:rFonts w:hint="eastAsia"/>
                <w:sz w:val="24"/>
                <w:lang w:val="en-US" w:eastAsia="zh-CN"/>
              </w:rPr>
              <w:t>1.2</w:t>
            </w:r>
            <w:r>
              <w:rPr>
                <w:rFonts w:hint="eastAsia"/>
                <w:sz w:val="24"/>
              </w:rPr>
              <w:t>mg/m</w:t>
            </w:r>
            <w:r>
              <w:rPr>
                <w:rFonts w:hint="eastAsia"/>
                <w:sz w:val="24"/>
                <w:vertAlign w:val="superscript"/>
              </w:rPr>
              <w:t>3</w:t>
            </w:r>
            <w:r>
              <w:rPr>
                <w:rFonts w:hint="eastAsia"/>
                <w:sz w:val="24"/>
              </w:rPr>
              <w:t>。</w:t>
            </w:r>
            <w:r>
              <w:rPr>
                <w:sz w:val="24"/>
              </w:rPr>
              <w:t>油烟废气收集后经油烟净化器处理达标后</w:t>
            </w:r>
            <w:r>
              <w:rPr>
                <w:rFonts w:hint="eastAsia"/>
                <w:sz w:val="24"/>
              </w:rPr>
              <w:t>通过15m排气筒高空排放</w:t>
            </w:r>
            <w:r>
              <w:rPr>
                <w:sz w:val="24"/>
              </w:rPr>
              <w:t>，油烟净化器处理效率不</w:t>
            </w:r>
            <w:r>
              <w:rPr>
                <w:rFonts w:hint="eastAsia"/>
                <w:sz w:val="24"/>
              </w:rPr>
              <w:t>得</w:t>
            </w:r>
            <w:r>
              <w:rPr>
                <w:sz w:val="24"/>
              </w:rPr>
              <w:t>低于</w:t>
            </w:r>
            <w:r>
              <w:rPr>
                <w:rFonts w:hint="eastAsia"/>
                <w:sz w:val="24"/>
              </w:rPr>
              <w:t>85</w:t>
            </w:r>
            <w:r>
              <w:rPr>
                <w:sz w:val="24"/>
              </w:rPr>
              <w:t>%（按</w:t>
            </w:r>
            <w:r>
              <w:rPr>
                <w:rFonts w:hint="eastAsia"/>
                <w:sz w:val="24"/>
              </w:rPr>
              <w:t>85</w:t>
            </w:r>
            <w:r>
              <w:rPr>
                <w:sz w:val="24"/>
              </w:rPr>
              <w:t>%计），则油烟排放量可降低至</w:t>
            </w:r>
            <w:r>
              <w:rPr>
                <w:rFonts w:hint="eastAsia"/>
                <w:sz w:val="24"/>
              </w:rPr>
              <w:t>0</w:t>
            </w:r>
            <w:r>
              <w:rPr>
                <w:rFonts w:hint="eastAsia"/>
                <w:sz w:val="24"/>
                <w:lang w:val="en-US" w:eastAsia="zh-CN"/>
              </w:rPr>
              <w:t>.27</w:t>
            </w:r>
            <w:r>
              <w:rPr>
                <w:rFonts w:hint="eastAsia"/>
                <w:sz w:val="24"/>
              </w:rPr>
              <w:t>kg</w:t>
            </w:r>
            <w:r>
              <w:rPr>
                <w:sz w:val="24"/>
              </w:rPr>
              <w:t>/a，排放浓度</w:t>
            </w:r>
            <w:r>
              <w:rPr>
                <w:rFonts w:hint="eastAsia"/>
                <w:sz w:val="24"/>
                <w:lang w:val="en-US" w:eastAsia="zh-CN"/>
              </w:rPr>
              <w:t>0.18</w:t>
            </w:r>
            <w:r>
              <w:rPr>
                <w:sz w:val="24"/>
              </w:rPr>
              <w:t>mg/m</w:t>
            </w:r>
            <w:r>
              <w:rPr>
                <w:sz w:val="24"/>
                <w:vertAlign w:val="superscript"/>
              </w:rPr>
              <w:t>3</w:t>
            </w:r>
            <w:r>
              <w:rPr>
                <w:rFonts w:hint="eastAsia"/>
                <w:sz w:val="24"/>
              </w:rPr>
              <w:t>，</w:t>
            </w:r>
            <w:r>
              <w:rPr>
                <w:sz w:val="24"/>
              </w:rPr>
              <w:t>小于2mg/m</w:t>
            </w:r>
            <w:r>
              <w:rPr>
                <w:sz w:val="24"/>
                <w:vertAlign w:val="superscript"/>
              </w:rPr>
              <w:t>3</w:t>
            </w:r>
            <w:r>
              <w:rPr>
                <w:sz w:val="24"/>
              </w:rPr>
              <w:t>，达到《饮食</w:t>
            </w:r>
            <w:r>
              <w:rPr>
                <w:rFonts w:hint="eastAsia" w:hAnsi="宋体"/>
                <w:sz w:val="24"/>
                <w:szCs w:val="22"/>
              </w:rPr>
              <w:t>业油烟排放标准（试行）》（GB18483-2001）的要求。</w:t>
            </w:r>
          </w:p>
          <w:p>
            <w:pPr>
              <w:spacing w:line="360" w:lineRule="auto"/>
              <w:ind w:firstLine="482" w:firstLineChars="200"/>
              <w:rPr>
                <w:b/>
                <w:sz w:val="24"/>
              </w:rPr>
            </w:pPr>
            <w:r>
              <w:rPr>
                <w:b/>
                <w:sz w:val="24"/>
              </w:rPr>
              <w:t>3</w:t>
            </w:r>
            <w:r>
              <w:rPr>
                <w:rFonts w:hint="eastAsia"/>
                <w:b/>
                <w:sz w:val="24"/>
              </w:rPr>
              <w:t>.</w:t>
            </w:r>
            <w:r>
              <w:rPr>
                <w:b/>
                <w:sz w:val="24"/>
              </w:rPr>
              <w:t>声环境影响分析</w:t>
            </w:r>
          </w:p>
          <w:p>
            <w:pPr>
              <w:spacing w:line="360" w:lineRule="auto"/>
              <w:ind w:firstLine="480" w:firstLineChars="200"/>
              <w:rPr>
                <w:sz w:val="24"/>
              </w:rPr>
            </w:pPr>
            <w:r>
              <w:rPr>
                <w:rFonts w:hint="eastAsia"/>
                <w:sz w:val="24"/>
              </w:rPr>
              <w:t>3.1 设备噪声影响</w:t>
            </w:r>
          </w:p>
          <w:p>
            <w:pPr>
              <w:spacing w:line="360" w:lineRule="auto"/>
              <w:ind w:firstLine="480" w:firstLineChars="200"/>
              <w:rPr>
                <w:rFonts w:hAnsi="宋体"/>
                <w:sz w:val="24"/>
              </w:rPr>
            </w:pPr>
            <w:r>
              <w:rPr>
                <w:rFonts w:hint="eastAsia"/>
                <w:sz w:val="24"/>
              </w:rPr>
              <w:t>项目</w:t>
            </w:r>
            <w:r>
              <w:rPr>
                <w:rFonts w:hint="eastAsia" w:ascii="宋体" w:hAnsi="宋体"/>
                <w:sz w:val="24"/>
              </w:rPr>
              <w:t>运营期噪声主要产生于</w:t>
            </w:r>
            <w:r>
              <w:rPr>
                <w:rFonts w:hint="eastAsia"/>
                <w:sz w:val="24"/>
              </w:rPr>
              <w:t>给料机、破碎机、振动筛、洗砂机、运输车辆等机械设备噪声，主要噪声设备位于生产车间，设备噪声源强及经减振、隔音后的噪声源强为45-65dB(A)。</w:t>
            </w:r>
            <w:r>
              <w:rPr>
                <w:rFonts w:hAnsi="宋体"/>
                <w:sz w:val="24"/>
              </w:rPr>
              <w:t>项目主要设备</w:t>
            </w:r>
            <w:r>
              <w:rPr>
                <w:rFonts w:hint="eastAsia" w:hAnsi="宋体"/>
                <w:sz w:val="24"/>
              </w:rPr>
              <w:t>噪声产生及治理情况</w:t>
            </w:r>
            <w:r>
              <w:rPr>
                <w:rFonts w:hAnsi="宋体"/>
                <w:sz w:val="24"/>
              </w:rPr>
              <w:t>见</w:t>
            </w:r>
            <w:r>
              <w:rPr>
                <w:rFonts w:hint="eastAsia" w:hAnsi="宋体"/>
                <w:sz w:val="24"/>
              </w:rPr>
              <w:t>下</w:t>
            </w:r>
            <w:r>
              <w:rPr>
                <w:rFonts w:hAnsi="宋体"/>
                <w:sz w:val="24"/>
              </w:rPr>
              <w:t>表</w:t>
            </w:r>
            <w:r>
              <w:rPr>
                <w:sz w:val="24"/>
              </w:rPr>
              <w:t>7-</w:t>
            </w:r>
            <w:r>
              <w:rPr>
                <w:rFonts w:hint="eastAsia"/>
                <w:sz w:val="24"/>
                <w:lang w:val="en-US" w:eastAsia="zh-CN"/>
              </w:rPr>
              <w:t>7</w:t>
            </w:r>
            <w:r>
              <w:rPr>
                <w:rFonts w:hAnsi="宋体"/>
                <w:sz w:val="24"/>
              </w:rPr>
              <w:t>：</w:t>
            </w:r>
          </w:p>
          <w:p>
            <w:pPr>
              <w:spacing w:line="360" w:lineRule="auto"/>
              <w:jc w:val="center"/>
              <w:rPr>
                <w:b/>
                <w:sz w:val="24"/>
              </w:rPr>
            </w:pPr>
            <w:r>
              <w:rPr>
                <w:b/>
                <w:sz w:val="24"/>
              </w:rPr>
              <w:t>表</w:t>
            </w:r>
            <w:r>
              <w:rPr>
                <w:rFonts w:hint="eastAsia"/>
                <w:b/>
                <w:sz w:val="24"/>
              </w:rPr>
              <w:t>7-</w:t>
            </w:r>
            <w:r>
              <w:rPr>
                <w:rFonts w:hint="eastAsia"/>
                <w:b/>
                <w:sz w:val="24"/>
                <w:lang w:val="en-US" w:eastAsia="zh-CN"/>
              </w:rPr>
              <w:t>7</w:t>
            </w:r>
            <w:r>
              <w:rPr>
                <w:rFonts w:hint="eastAsia"/>
                <w:b/>
                <w:sz w:val="24"/>
              </w:rPr>
              <w:t xml:space="preserve"> 项目</w:t>
            </w:r>
            <w:r>
              <w:rPr>
                <w:b/>
                <w:sz w:val="24"/>
              </w:rPr>
              <w:t>主要设备噪声</w:t>
            </w:r>
            <w:r>
              <w:rPr>
                <w:rFonts w:hint="eastAsia"/>
                <w:b/>
                <w:sz w:val="24"/>
              </w:rPr>
              <w:t xml:space="preserve">产生及治理情况一览表   </w:t>
            </w:r>
            <w:r>
              <w:rPr>
                <w:b/>
                <w:sz w:val="24"/>
              </w:rPr>
              <w:t>单位：dB</w:t>
            </w:r>
            <w:r>
              <w:rPr>
                <w:rFonts w:hint="eastAsia"/>
                <w:b/>
                <w:sz w:val="24"/>
              </w:rPr>
              <w:t>(A)</w:t>
            </w:r>
          </w:p>
          <w:tbl>
            <w:tblPr>
              <w:tblStyle w:val="28"/>
              <w:tblW w:w="81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108" w:type="dxa"/>
                <w:bottom w:w="0" w:type="dxa"/>
                <w:right w:w="108" w:type="dxa"/>
              </w:tblCellMar>
            </w:tblPr>
            <w:tblGrid>
              <w:gridCol w:w="554"/>
              <w:gridCol w:w="1094"/>
              <w:gridCol w:w="747"/>
              <w:gridCol w:w="691"/>
              <w:gridCol w:w="2182"/>
              <w:gridCol w:w="891"/>
              <w:gridCol w:w="1227"/>
              <w:gridCol w:w="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596" w:hRule="atLeast"/>
                <w:tblHeader/>
                <w:jc w:val="center"/>
              </w:trPr>
              <w:tc>
                <w:tcPr>
                  <w:tcW w:w="554" w:type="dxa"/>
                  <w:tcBorders>
                    <w:tl2br w:val="nil"/>
                    <w:tr2bl w:val="nil"/>
                  </w:tcBorders>
                  <w:vAlign w:val="center"/>
                </w:tcPr>
                <w:p>
                  <w:pPr>
                    <w:jc w:val="center"/>
                    <w:rPr>
                      <w:szCs w:val="21"/>
                    </w:rPr>
                  </w:pPr>
                  <w:r>
                    <w:rPr>
                      <w:szCs w:val="21"/>
                    </w:rPr>
                    <w:t>序号</w:t>
                  </w:r>
                </w:p>
              </w:tc>
              <w:tc>
                <w:tcPr>
                  <w:tcW w:w="1094" w:type="dxa"/>
                  <w:tcBorders>
                    <w:tl2br w:val="nil"/>
                    <w:tr2bl w:val="nil"/>
                  </w:tcBorders>
                  <w:vAlign w:val="center"/>
                </w:tcPr>
                <w:p>
                  <w:pPr>
                    <w:jc w:val="center"/>
                    <w:rPr>
                      <w:szCs w:val="21"/>
                    </w:rPr>
                  </w:pPr>
                  <w:r>
                    <w:rPr>
                      <w:szCs w:val="21"/>
                    </w:rPr>
                    <w:t>设备</w:t>
                  </w:r>
                </w:p>
                <w:p>
                  <w:pPr>
                    <w:jc w:val="center"/>
                    <w:rPr>
                      <w:szCs w:val="21"/>
                    </w:rPr>
                  </w:pPr>
                  <w:r>
                    <w:rPr>
                      <w:szCs w:val="21"/>
                    </w:rPr>
                    <w:t>名称</w:t>
                  </w:r>
                </w:p>
              </w:tc>
              <w:tc>
                <w:tcPr>
                  <w:tcW w:w="747" w:type="dxa"/>
                  <w:tcBorders>
                    <w:tl2br w:val="nil"/>
                    <w:tr2bl w:val="nil"/>
                  </w:tcBorders>
                  <w:vAlign w:val="center"/>
                </w:tcPr>
                <w:p>
                  <w:pPr>
                    <w:jc w:val="center"/>
                    <w:rPr>
                      <w:szCs w:val="21"/>
                    </w:rPr>
                  </w:pPr>
                  <w:r>
                    <w:rPr>
                      <w:szCs w:val="21"/>
                    </w:rPr>
                    <w:t>数量</w:t>
                  </w:r>
                </w:p>
              </w:tc>
              <w:tc>
                <w:tcPr>
                  <w:tcW w:w="691" w:type="dxa"/>
                  <w:tcBorders>
                    <w:tl2br w:val="nil"/>
                    <w:tr2bl w:val="nil"/>
                  </w:tcBorders>
                  <w:vAlign w:val="center"/>
                </w:tcPr>
                <w:p>
                  <w:pPr>
                    <w:jc w:val="center"/>
                    <w:rPr>
                      <w:szCs w:val="21"/>
                    </w:rPr>
                  </w:pPr>
                  <w:r>
                    <w:rPr>
                      <w:szCs w:val="21"/>
                    </w:rPr>
                    <w:t>治理前</w:t>
                  </w:r>
                </w:p>
              </w:tc>
              <w:tc>
                <w:tcPr>
                  <w:tcW w:w="2182" w:type="dxa"/>
                  <w:tcBorders>
                    <w:tl2br w:val="nil"/>
                    <w:tr2bl w:val="nil"/>
                  </w:tcBorders>
                  <w:vAlign w:val="center"/>
                </w:tcPr>
                <w:p>
                  <w:pPr>
                    <w:jc w:val="center"/>
                    <w:rPr>
                      <w:szCs w:val="21"/>
                    </w:rPr>
                  </w:pPr>
                  <w:r>
                    <w:rPr>
                      <w:szCs w:val="21"/>
                    </w:rPr>
                    <w:t>治理</w:t>
                  </w:r>
                </w:p>
                <w:p>
                  <w:pPr>
                    <w:jc w:val="center"/>
                    <w:rPr>
                      <w:szCs w:val="21"/>
                    </w:rPr>
                  </w:pPr>
                  <w:r>
                    <w:rPr>
                      <w:szCs w:val="21"/>
                    </w:rPr>
                    <w:t>措施</w:t>
                  </w:r>
                </w:p>
              </w:tc>
              <w:tc>
                <w:tcPr>
                  <w:tcW w:w="891" w:type="dxa"/>
                  <w:tcBorders>
                    <w:tl2br w:val="nil"/>
                    <w:tr2bl w:val="nil"/>
                  </w:tcBorders>
                  <w:vAlign w:val="center"/>
                </w:tcPr>
                <w:p>
                  <w:pPr>
                    <w:jc w:val="center"/>
                    <w:rPr>
                      <w:szCs w:val="21"/>
                    </w:rPr>
                  </w:pPr>
                  <w:r>
                    <w:rPr>
                      <w:szCs w:val="21"/>
                    </w:rPr>
                    <w:t>治理后车间外</w:t>
                  </w:r>
                </w:p>
              </w:tc>
              <w:tc>
                <w:tcPr>
                  <w:tcW w:w="1227" w:type="dxa"/>
                  <w:tcBorders>
                    <w:tl2br w:val="nil"/>
                    <w:tr2bl w:val="nil"/>
                  </w:tcBorders>
                  <w:vAlign w:val="center"/>
                </w:tcPr>
                <w:p>
                  <w:pPr>
                    <w:jc w:val="center"/>
                    <w:rPr>
                      <w:szCs w:val="21"/>
                    </w:rPr>
                  </w:pPr>
                  <w:r>
                    <w:rPr>
                      <w:szCs w:val="21"/>
                    </w:rPr>
                    <w:t>位置</w:t>
                  </w:r>
                </w:p>
              </w:tc>
              <w:tc>
                <w:tcPr>
                  <w:tcW w:w="754" w:type="dxa"/>
                  <w:tcBorders>
                    <w:tl2br w:val="nil"/>
                    <w:tr2bl w:val="nil"/>
                  </w:tcBorders>
                  <w:vAlign w:val="center"/>
                </w:tcPr>
                <w:p>
                  <w:pPr>
                    <w:jc w:val="center"/>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47" w:hRule="atLeast"/>
                <w:tblHeader/>
                <w:jc w:val="center"/>
              </w:trPr>
              <w:tc>
                <w:tcPr>
                  <w:tcW w:w="554" w:type="dxa"/>
                  <w:tcBorders>
                    <w:tl2br w:val="nil"/>
                    <w:tr2bl w:val="nil"/>
                  </w:tcBorders>
                  <w:vAlign w:val="center"/>
                </w:tcPr>
                <w:p>
                  <w:pPr>
                    <w:jc w:val="center"/>
                    <w:rPr>
                      <w:szCs w:val="21"/>
                    </w:rPr>
                  </w:pPr>
                  <w:r>
                    <w:rPr>
                      <w:szCs w:val="21"/>
                    </w:rPr>
                    <w:t>1</w:t>
                  </w:r>
                </w:p>
              </w:tc>
              <w:tc>
                <w:tcPr>
                  <w:tcW w:w="1094" w:type="dxa"/>
                  <w:tcBorders>
                    <w:tl2br w:val="nil"/>
                    <w:tr2bl w:val="nil"/>
                  </w:tcBorders>
                  <w:vAlign w:val="center"/>
                </w:tcPr>
                <w:p>
                  <w:pPr>
                    <w:snapToGrid w:val="0"/>
                    <w:jc w:val="center"/>
                    <w:rPr>
                      <w:szCs w:val="21"/>
                    </w:rPr>
                  </w:pPr>
                  <w:r>
                    <w:rPr>
                      <w:rFonts w:hint="eastAsia"/>
                      <w:szCs w:val="21"/>
                      <w:lang w:val="en-GB"/>
                    </w:rPr>
                    <w:t>给料机</w:t>
                  </w:r>
                </w:p>
              </w:tc>
              <w:tc>
                <w:tcPr>
                  <w:tcW w:w="747" w:type="dxa"/>
                  <w:tcBorders>
                    <w:tl2br w:val="nil"/>
                    <w:tr2bl w:val="nil"/>
                  </w:tcBorders>
                  <w:vAlign w:val="center"/>
                </w:tcPr>
                <w:p>
                  <w:pPr>
                    <w:snapToGrid w:val="0"/>
                    <w:jc w:val="center"/>
                    <w:rPr>
                      <w:szCs w:val="21"/>
                    </w:rPr>
                  </w:pPr>
                  <w:r>
                    <w:rPr>
                      <w:rFonts w:hint="eastAsia"/>
                      <w:szCs w:val="21"/>
                    </w:rPr>
                    <w:t>1</w:t>
                  </w:r>
                </w:p>
              </w:tc>
              <w:tc>
                <w:tcPr>
                  <w:tcW w:w="691" w:type="dxa"/>
                  <w:tcBorders>
                    <w:tl2br w:val="nil"/>
                    <w:tr2bl w:val="nil"/>
                  </w:tcBorders>
                  <w:vAlign w:val="center"/>
                </w:tcPr>
                <w:p>
                  <w:pPr>
                    <w:snapToGrid w:val="0"/>
                    <w:jc w:val="center"/>
                    <w:rPr>
                      <w:szCs w:val="21"/>
                    </w:rPr>
                  </w:pPr>
                  <w:r>
                    <w:rPr>
                      <w:rFonts w:hint="eastAsia"/>
                      <w:szCs w:val="21"/>
                      <w:lang w:val="en-GB"/>
                    </w:rPr>
                    <w:t>85</w:t>
                  </w:r>
                </w:p>
              </w:tc>
              <w:tc>
                <w:tcPr>
                  <w:tcW w:w="2182" w:type="dxa"/>
                  <w:vMerge w:val="restart"/>
                  <w:tcBorders>
                    <w:tl2br w:val="nil"/>
                    <w:tr2bl w:val="nil"/>
                  </w:tcBorders>
                  <w:vAlign w:val="center"/>
                </w:tcPr>
                <w:p>
                  <w:pPr>
                    <w:jc w:val="center"/>
                    <w:rPr>
                      <w:szCs w:val="21"/>
                    </w:rPr>
                  </w:pPr>
                  <w:r>
                    <w:rPr>
                      <w:szCs w:val="21"/>
                    </w:rPr>
                    <w:t>选用低噪设备、减震垫基础减震、车间和绿化带隔声</w:t>
                  </w:r>
                </w:p>
              </w:tc>
              <w:tc>
                <w:tcPr>
                  <w:tcW w:w="891" w:type="dxa"/>
                  <w:tcBorders>
                    <w:tl2br w:val="nil"/>
                    <w:tr2bl w:val="nil"/>
                  </w:tcBorders>
                  <w:vAlign w:val="center"/>
                </w:tcPr>
                <w:p>
                  <w:pPr>
                    <w:jc w:val="center"/>
                    <w:rPr>
                      <w:szCs w:val="21"/>
                    </w:rPr>
                  </w:pPr>
                  <w:r>
                    <w:rPr>
                      <w:rFonts w:hint="eastAsia"/>
                      <w:szCs w:val="21"/>
                    </w:rPr>
                    <w:t>60</w:t>
                  </w:r>
                </w:p>
              </w:tc>
              <w:tc>
                <w:tcPr>
                  <w:tcW w:w="1227" w:type="dxa"/>
                  <w:vMerge w:val="restart"/>
                  <w:tcBorders>
                    <w:tl2br w:val="nil"/>
                    <w:tr2bl w:val="nil"/>
                  </w:tcBorders>
                  <w:vAlign w:val="center"/>
                </w:tcPr>
                <w:p>
                  <w:pPr>
                    <w:jc w:val="center"/>
                    <w:rPr>
                      <w:szCs w:val="21"/>
                    </w:rPr>
                  </w:pPr>
                  <w:r>
                    <w:rPr>
                      <w:szCs w:val="21"/>
                    </w:rPr>
                    <w:t>生产车间厂房</w:t>
                  </w:r>
                </w:p>
              </w:tc>
              <w:tc>
                <w:tcPr>
                  <w:tcW w:w="754" w:type="dxa"/>
                  <w:vMerge w:val="restart"/>
                  <w:tcBorders>
                    <w:tl2br w:val="nil"/>
                    <w:tr2bl w:val="nil"/>
                  </w:tcBorders>
                  <w:vAlign w:val="center"/>
                </w:tcPr>
                <w:p>
                  <w:pPr>
                    <w:jc w:val="center"/>
                    <w:rPr>
                      <w:szCs w:val="21"/>
                    </w:rPr>
                  </w:pPr>
                  <w:r>
                    <w:rPr>
                      <w:szCs w:val="21"/>
                    </w:rPr>
                    <w:t>连续运行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47" w:hRule="atLeast"/>
                <w:jc w:val="center"/>
              </w:trPr>
              <w:tc>
                <w:tcPr>
                  <w:tcW w:w="554" w:type="dxa"/>
                  <w:tcBorders>
                    <w:tl2br w:val="nil"/>
                    <w:tr2bl w:val="nil"/>
                  </w:tcBorders>
                  <w:vAlign w:val="center"/>
                </w:tcPr>
                <w:p>
                  <w:pPr>
                    <w:jc w:val="center"/>
                    <w:rPr>
                      <w:szCs w:val="21"/>
                    </w:rPr>
                  </w:pPr>
                  <w:r>
                    <w:rPr>
                      <w:rFonts w:hint="eastAsia"/>
                      <w:szCs w:val="21"/>
                    </w:rPr>
                    <w:t>2</w:t>
                  </w:r>
                </w:p>
              </w:tc>
              <w:tc>
                <w:tcPr>
                  <w:tcW w:w="1094" w:type="dxa"/>
                  <w:tcBorders>
                    <w:tl2br w:val="nil"/>
                    <w:tr2bl w:val="nil"/>
                  </w:tcBorders>
                  <w:vAlign w:val="center"/>
                </w:tcPr>
                <w:p>
                  <w:pPr>
                    <w:snapToGrid w:val="0"/>
                    <w:jc w:val="center"/>
                    <w:rPr>
                      <w:szCs w:val="21"/>
                    </w:rPr>
                  </w:pPr>
                  <w:r>
                    <w:rPr>
                      <w:rFonts w:hint="eastAsia"/>
                      <w:szCs w:val="21"/>
                      <w:lang w:val="en-GB"/>
                    </w:rPr>
                    <w:t>破碎机</w:t>
                  </w:r>
                </w:p>
              </w:tc>
              <w:tc>
                <w:tcPr>
                  <w:tcW w:w="747" w:type="dxa"/>
                  <w:tcBorders>
                    <w:tl2br w:val="nil"/>
                    <w:tr2bl w:val="nil"/>
                  </w:tcBorders>
                  <w:vAlign w:val="center"/>
                </w:tcPr>
                <w:p>
                  <w:pPr>
                    <w:snapToGrid w:val="0"/>
                    <w:jc w:val="center"/>
                    <w:rPr>
                      <w:szCs w:val="21"/>
                    </w:rPr>
                  </w:pPr>
                  <w:r>
                    <w:rPr>
                      <w:rFonts w:hint="eastAsia"/>
                      <w:szCs w:val="21"/>
                    </w:rPr>
                    <w:t>1</w:t>
                  </w:r>
                </w:p>
              </w:tc>
              <w:tc>
                <w:tcPr>
                  <w:tcW w:w="691" w:type="dxa"/>
                  <w:tcBorders>
                    <w:tl2br w:val="nil"/>
                    <w:tr2bl w:val="nil"/>
                  </w:tcBorders>
                  <w:vAlign w:val="center"/>
                </w:tcPr>
                <w:p>
                  <w:pPr>
                    <w:snapToGrid w:val="0"/>
                    <w:jc w:val="center"/>
                    <w:rPr>
                      <w:szCs w:val="21"/>
                    </w:rPr>
                  </w:pPr>
                  <w:r>
                    <w:rPr>
                      <w:rFonts w:hint="eastAsia"/>
                      <w:szCs w:val="21"/>
                    </w:rPr>
                    <w:t>95</w:t>
                  </w:r>
                </w:p>
              </w:tc>
              <w:tc>
                <w:tcPr>
                  <w:tcW w:w="2182" w:type="dxa"/>
                  <w:vMerge w:val="continue"/>
                  <w:tcBorders>
                    <w:tl2br w:val="nil"/>
                    <w:tr2bl w:val="nil"/>
                  </w:tcBorders>
                  <w:vAlign w:val="center"/>
                </w:tcPr>
                <w:p>
                  <w:pPr>
                    <w:jc w:val="center"/>
                    <w:rPr>
                      <w:szCs w:val="21"/>
                    </w:rPr>
                  </w:pPr>
                </w:p>
              </w:tc>
              <w:tc>
                <w:tcPr>
                  <w:tcW w:w="891" w:type="dxa"/>
                  <w:tcBorders>
                    <w:tl2br w:val="nil"/>
                    <w:tr2bl w:val="nil"/>
                  </w:tcBorders>
                  <w:vAlign w:val="center"/>
                </w:tcPr>
                <w:p>
                  <w:pPr>
                    <w:jc w:val="center"/>
                    <w:rPr>
                      <w:szCs w:val="21"/>
                    </w:rPr>
                  </w:pPr>
                  <w:r>
                    <w:rPr>
                      <w:rFonts w:hint="eastAsia"/>
                      <w:szCs w:val="21"/>
                    </w:rPr>
                    <w:t>65</w:t>
                  </w:r>
                </w:p>
              </w:tc>
              <w:tc>
                <w:tcPr>
                  <w:tcW w:w="1227" w:type="dxa"/>
                  <w:vMerge w:val="continue"/>
                  <w:tcBorders>
                    <w:tl2br w:val="nil"/>
                    <w:tr2bl w:val="nil"/>
                  </w:tcBorders>
                  <w:vAlign w:val="center"/>
                </w:tcPr>
                <w:p>
                  <w:pPr>
                    <w:jc w:val="center"/>
                    <w:rPr>
                      <w:szCs w:val="21"/>
                    </w:rPr>
                  </w:pPr>
                </w:p>
              </w:tc>
              <w:tc>
                <w:tcPr>
                  <w:tcW w:w="754"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47" w:hRule="atLeast"/>
                <w:jc w:val="center"/>
              </w:trPr>
              <w:tc>
                <w:tcPr>
                  <w:tcW w:w="554" w:type="dxa"/>
                  <w:tcBorders>
                    <w:tl2br w:val="nil"/>
                    <w:tr2bl w:val="nil"/>
                  </w:tcBorders>
                  <w:vAlign w:val="center"/>
                </w:tcPr>
                <w:p>
                  <w:pPr>
                    <w:jc w:val="center"/>
                    <w:rPr>
                      <w:szCs w:val="21"/>
                    </w:rPr>
                  </w:pPr>
                  <w:r>
                    <w:rPr>
                      <w:rFonts w:hint="eastAsia"/>
                      <w:szCs w:val="21"/>
                    </w:rPr>
                    <w:t>3</w:t>
                  </w:r>
                </w:p>
              </w:tc>
              <w:tc>
                <w:tcPr>
                  <w:tcW w:w="1094" w:type="dxa"/>
                  <w:tcBorders>
                    <w:tl2br w:val="nil"/>
                    <w:tr2bl w:val="nil"/>
                  </w:tcBorders>
                  <w:vAlign w:val="center"/>
                </w:tcPr>
                <w:p>
                  <w:pPr>
                    <w:snapToGrid w:val="0"/>
                    <w:jc w:val="center"/>
                    <w:rPr>
                      <w:szCs w:val="21"/>
                    </w:rPr>
                  </w:pPr>
                  <w:r>
                    <w:rPr>
                      <w:rFonts w:hint="eastAsia"/>
                      <w:szCs w:val="21"/>
                    </w:rPr>
                    <w:t>振动筛</w:t>
                  </w:r>
                </w:p>
              </w:tc>
              <w:tc>
                <w:tcPr>
                  <w:tcW w:w="747" w:type="dxa"/>
                  <w:tcBorders>
                    <w:tl2br w:val="nil"/>
                    <w:tr2bl w:val="nil"/>
                  </w:tcBorders>
                  <w:vAlign w:val="center"/>
                </w:tcPr>
                <w:p>
                  <w:pPr>
                    <w:snapToGrid w:val="0"/>
                    <w:jc w:val="center"/>
                    <w:rPr>
                      <w:szCs w:val="21"/>
                    </w:rPr>
                  </w:pPr>
                  <w:r>
                    <w:rPr>
                      <w:rFonts w:hint="eastAsia"/>
                      <w:szCs w:val="21"/>
                    </w:rPr>
                    <w:t>1</w:t>
                  </w:r>
                </w:p>
              </w:tc>
              <w:tc>
                <w:tcPr>
                  <w:tcW w:w="691" w:type="dxa"/>
                  <w:tcBorders>
                    <w:tl2br w:val="nil"/>
                    <w:tr2bl w:val="nil"/>
                  </w:tcBorders>
                  <w:vAlign w:val="center"/>
                </w:tcPr>
                <w:p>
                  <w:pPr>
                    <w:snapToGrid w:val="0"/>
                    <w:jc w:val="center"/>
                    <w:rPr>
                      <w:szCs w:val="21"/>
                    </w:rPr>
                  </w:pPr>
                  <w:r>
                    <w:rPr>
                      <w:rFonts w:hint="eastAsia"/>
                      <w:szCs w:val="21"/>
                      <w:lang w:val="en-GB"/>
                    </w:rPr>
                    <w:t>75</w:t>
                  </w:r>
                </w:p>
              </w:tc>
              <w:tc>
                <w:tcPr>
                  <w:tcW w:w="2182" w:type="dxa"/>
                  <w:vMerge w:val="continue"/>
                  <w:tcBorders>
                    <w:tl2br w:val="nil"/>
                    <w:tr2bl w:val="nil"/>
                  </w:tcBorders>
                  <w:vAlign w:val="center"/>
                </w:tcPr>
                <w:p>
                  <w:pPr>
                    <w:jc w:val="center"/>
                    <w:rPr>
                      <w:szCs w:val="21"/>
                    </w:rPr>
                  </w:pPr>
                </w:p>
              </w:tc>
              <w:tc>
                <w:tcPr>
                  <w:tcW w:w="891" w:type="dxa"/>
                  <w:tcBorders>
                    <w:tl2br w:val="nil"/>
                    <w:tr2bl w:val="nil"/>
                  </w:tcBorders>
                  <w:vAlign w:val="center"/>
                </w:tcPr>
                <w:p>
                  <w:pPr>
                    <w:jc w:val="center"/>
                    <w:rPr>
                      <w:szCs w:val="21"/>
                    </w:rPr>
                  </w:pPr>
                  <w:r>
                    <w:rPr>
                      <w:rFonts w:hint="eastAsia"/>
                      <w:szCs w:val="21"/>
                    </w:rPr>
                    <w:t>45</w:t>
                  </w:r>
                </w:p>
              </w:tc>
              <w:tc>
                <w:tcPr>
                  <w:tcW w:w="1227" w:type="dxa"/>
                  <w:vMerge w:val="continue"/>
                  <w:tcBorders>
                    <w:tl2br w:val="nil"/>
                    <w:tr2bl w:val="nil"/>
                  </w:tcBorders>
                  <w:vAlign w:val="center"/>
                </w:tcPr>
                <w:p>
                  <w:pPr>
                    <w:jc w:val="center"/>
                    <w:rPr>
                      <w:szCs w:val="21"/>
                    </w:rPr>
                  </w:pPr>
                </w:p>
              </w:tc>
              <w:tc>
                <w:tcPr>
                  <w:tcW w:w="754"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47" w:hRule="atLeast"/>
                <w:jc w:val="center"/>
              </w:trPr>
              <w:tc>
                <w:tcPr>
                  <w:tcW w:w="554" w:type="dxa"/>
                  <w:tcBorders>
                    <w:tl2br w:val="nil"/>
                    <w:tr2bl w:val="nil"/>
                  </w:tcBorders>
                  <w:vAlign w:val="center"/>
                </w:tcPr>
                <w:p>
                  <w:pPr>
                    <w:jc w:val="center"/>
                    <w:rPr>
                      <w:szCs w:val="21"/>
                    </w:rPr>
                  </w:pPr>
                  <w:r>
                    <w:rPr>
                      <w:rFonts w:hint="eastAsia"/>
                      <w:szCs w:val="21"/>
                    </w:rPr>
                    <w:t>4</w:t>
                  </w:r>
                </w:p>
              </w:tc>
              <w:tc>
                <w:tcPr>
                  <w:tcW w:w="1094" w:type="dxa"/>
                  <w:tcBorders>
                    <w:tl2br w:val="nil"/>
                    <w:tr2bl w:val="nil"/>
                  </w:tcBorders>
                  <w:vAlign w:val="center"/>
                </w:tcPr>
                <w:p>
                  <w:pPr>
                    <w:snapToGrid w:val="0"/>
                    <w:jc w:val="center"/>
                    <w:rPr>
                      <w:szCs w:val="21"/>
                    </w:rPr>
                  </w:pPr>
                  <w:r>
                    <w:rPr>
                      <w:rFonts w:hint="eastAsia"/>
                      <w:szCs w:val="21"/>
                    </w:rPr>
                    <w:t>洗砂机</w:t>
                  </w:r>
                </w:p>
              </w:tc>
              <w:tc>
                <w:tcPr>
                  <w:tcW w:w="747" w:type="dxa"/>
                  <w:tcBorders>
                    <w:tl2br w:val="nil"/>
                    <w:tr2bl w:val="nil"/>
                  </w:tcBorders>
                  <w:vAlign w:val="center"/>
                </w:tcPr>
                <w:p>
                  <w:pPr>
                    <w:snapToGrid w:val="0"/>
                    <w:jc w:val="center"/>
                    <w:rPr>
                      <w:rFonts w:hint="eastAsia" w:eastAsia="宋体"/>
                      <w:szCs w:val="21"/>
                      <w:lang w:eastAsia="zh-CN"/>
                    </w:rPr>
                  </w:pPr>
                  <w:r>
                    <w:rPr>
                      <w:rFonts w:hint="eastAsia"/>
                      <w:szCs w:val="21"/>
                      <w:lang w:val="en-US" w:eastAsia="zh-CN"/>
                    </w:rPr>
                    <w:t>2</w:t>
                  </w:r>
                </w:p>
              </w:tc>
              <w:tc>
                <w:tcPr>
                  <w:tcW w:w="691" w:type="dxa"/>
                  <w:tcBorders>
                    <w:tl2br w:val="nil"/>
                    <w:tr2bl w:val="nil"/>
                  </w:tcBorders>
                  <w:vAlign w:val="center"/>
                </w:tcPr>
                <w:p>
                  <w:pPr>
                    <w:snapToGrid w:val="0"/>
                    <w:jc w:val="center"/>
                    <w:rPr>
                      <w:szCs w:val="21"/>
                    </w:rPr>
                  </w:pPr>
                  <w:r>
                    <w:rPr>
                      <w:rFonts w:hint="eastAsia"/>
                      <w:szCs w:val="21"/>
                      <w:lang w:val="en-GB"/>
                    </w:rPr>
                    <w:t>75</w:t>
                  </w:r>
                </w:p>
              </w:tc>
              <w:tc>
                <w:tcPr>
                  <w:tcW w:w="2182" w:type="dxa"/>
                  <w:vMerge w:val="continue"/>
                  <w:tcBorders>
                    <w:tl2br w:val="nil"/>
                    <w:tr2bl w:val="nil"/>
                  </w:tcBorders>
                  <w:vAlign w:val="center"/>
                </w:tcPr>
                <w:p>
                  <w:pPr>
                    <w:jc w:val="center"/>
                    <w:rPr>
                      <w:szCs w:val="21"/>
                    </w:rPr>
                  </w:pPr>
                </w:p>
              </w:tc>
              <w:tc>
                <w:tcPr>
                  <w:tcW w:w="891" w:type="dxa"/>
                  <w:tcBorders>
                    <w:tl2br w:val="nil"/>
                    <w:tr2bl w:val="nil"/>
                  </w:tcBorders>
                  <w:vAlign w:val="center"/>
                </w:tcPr>
                <w:p>
                  <w:pPr>
                    <w:jc w:val="center"/>
                    <w:rPr>
                      <w:szCs w:val="21"/>
                    </w:rPr>
                  </w:pPr>
                  <w:r>
                    <w:rPr>
                      <w:rFonts w:hint="eastAsia"/>
                      <w:szCs w:val="21"/>
                    </w:rPr>
                    <w:t>45</w:t>
                  </w:r>
                </w:p>
              </w:tc>
              <w:tc>
                <w:tcPr>
                  <w:tcW w:w="1227" w:type="dxa"/>
                  <w:vMerge w:val="continue"/>
                  <w:tcBorders>
                    <w:tl2br w:val="nil"/>
                    <w:tr2bl w:val="nil"/>
                  </w:tcBorders>
                  <w:vAlign w:val="center"/>
                </w:tcPr>
                <w:p>
                  <w:pPr>
                    <w:jc w:val="center"/>
                    <w:rPr>
                      <w:szCs w:val="21"/>
                    </w:rPr>
                  </w:pPr>
                </w:p>
              </w:tc>
              <w:tc>
                <w:tcPr>
                  <w:tcW w:w="754"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447" w:hRule="atLeast"/>
                <w:jc w:val="center"/>
              </w:trPr>
              <w:tc>
                <w:tcPr>
                  <w:tcW w:w="554" w:type="dxa"/>
                  <w:tcBorders>
                    <w:tl2br w:val="nil"/>
                    <w:tr2bl w:val="nil"/>
                  </w:tcBorders>
                  <w:vAlign w:val="center"/>
                </w:tcPr>
                <w:p>
                  <w:pPr>
                    <w:jc w:val="center"/>
                    <w:rPr>
                      <w:szCs w:val="21"/>
                    </w:rPr>
                  </w:pPr>
                  <w:r>
                    <w:rPr>
                      <w:rFonts w:hint="eastAsia"/>
                      <w:szCs w:val="21"/>
                    </w:rPr>
                    <w:t>5</w:t>
                  </w:r>
                </w:p>
              </w:tc>
              <w:tc>
                <w:tcPr>
                  <w:tcW w:w="1094" w:type="dxa"/>
                  <w:tcBorders>
                    <w:tl2br w:val="nil"/>
                    <w:tr2bl w:val="nil"/>
                  </w:tcBorders>
                  <w:vAlign w:val="center"/>
                </w:tcPr>
                <w:p>
                  <w:pPr>
                    <w:snapToGrid w:val="0"/>
                    <w:jc w:val="center"/>
                    <w:rPr>
                      <w:szCs w:val="21"/>
                    </w:rPr>
                  </w:pPr>
                  <w:r>
                    <w:rPr>
                      <w:rFonts w:hint="eastAsia"/>
                      <w:szCs w:val="21"/>
                    </w:rPr>
                    <w:t>脱水筛</w:t>
                  </w:r>
                </w:p>
              </w:tc>
              <w:tc>
                <w:tcPr>
                  <w:tcW w:w="747" w:type="dxa"/>
                  <w:tcBorders>
                    <w:tl2br w:val="nil"/>
                    <w:tr2bl w:val="nil"/>
                  </w:tcBorders>
                  <w:vAlign w:val="center"/>
                </w:tcPr>
                <w:p>
                  <w:pPr>
                    <w:snapToGrid w:val="0"/>
                    <w:jc w:val="center"/>
                    <w:rPr>
                      <w:szCs w:val="21"/>
                    </w:rPr>
                  </w:pPr>
                  <w:r>
                    <w:rPr>
                      <w:rFonts w:hint="eastAsia"/>
                      <w:szCs w:val="21"/>
                    </w:rPr>
                    <w:t>1</w:t>
                  </w:r>
                </w:p>
              </w:tc>
              <w:tc>
                <w:tcPr>
                  <w:tcW w:w="691" w:type="dxa"/>
                  <w:tcBorders>
                    <w:tl2br w:val="nil"/>
                    <w:tr2bl w:val="nil"/>
                  </w:tcBorders>
                  <w:vAlign w:val="center"/>
                </w:tcPr>
                <w:p>
                  <w:pPr>
                    <w:snapToGrid w:val="0"/>
                    <w:jc w:val="center"/>
                    <w:rPr>
                      <w:szCs w:val="21"/>
                    </w:rPr>
                  </w:pPr>
                  <w:r>
                    <w:rPr>
                      <w:rFonts w:hint="eastAsia"/>
                      <w:szCs w:val="21"/>
                    </w:rPr>
                    <w:t>75</w:t>
                  </w:r>
                </w:p>
              </w:tc>
              <w:tc>
                <w:tcPr>
                  <w:tcW w:w="2182" w:type="dxa"/>
                  <w:tcBorders>
                    <w:tl2br w:val="nil"/>
                    <w:tr2bl w:val="nil"/>
                  </w:tcBorders>
                  <w:vAlign w:val="center"/>
                </w:tcPr>
                <w:p>
                  <w:pPr>
                    <w:jc w:val="center"/>
                    <w:rPr>
                      <w:szCs w:val="21"/>
                    </w:rPr>
                  </w:pPr>
                </w:p>
              </w:tc>
              <w:tc>
                <w:tcPr>
                  <w:tcW w:w="891" w:type="dxa"/>
                  <w:tcBorders>
                    <w:tl2br w:val="nil"/>
                    <w:tr2bl w:val="nil"/>
                  </w:tcBorders>
                  <w:vAlign w:val="center"/>
                </w:tcPr>
                <w:p>
                  <w:pPr>
                    <w:jc w:val="center"/>
                    <w:rPr>
                      <w:szCs w:val="21"/>
                    </w:rPr>
                  </w:pPr>
                  <w:r>
                    <w:rPr>
                      <w:rFonts w:hint="eastAsia"/>
                      <w:szCs w:val="21"/>
                    </w:rPr>
                    <w:t>50</w:t>
                  </w:r>
                </w:p>
              </w:tc>
              <w:tc>
                <w:tcPr>
                  <w:tcW w:w="1227" w:type="dxa"/>
                  <w:vMerge w:val="continue"/>
                  <w:tcBorders>
                    <w:tl2br w:val="nil"/>
                    <w:tr2bl w:val="nil"/>
                  </w:tcBorders>
                  <w:vAlign w:val="center"/>
                </w:tcPr>
                <w:p>
                  <w:pPr>
                    <w:jc w:val="center"/>
                    <w:rPr>
                      <w:szCs w:val="21"/>
                    </w:rPr>
                  </w:pPr>
                </w:p>
              </w:tc>
              <w:tc>
                <w:tcPr>
                  <w:tcW w:w="754"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658" w:hRule="atLeast"/>
                <w:jc w:val="center"/>
              </w:trPr>
              <w:tc>
                <w:tcPr>
                  <w:tcW w:w="554" w:type="dxa"/>
                  <w:tcBorders>
                    <w:tl2br w:val="nil"/>
                    <w:tr2bl w:val="nil"/>
                  </w:tcBorders>
                  <w:vAlign w:val="center"/>
                </w:tcPr>
                <w:p>
                  <w:pPr>
                    <w:jc w:val="center"/>
                    <w:rPr>
                      <w:szCs w:val="21"/>
                    </w:rPr>
                  </w:pPr>
                  <w:r>
                    <w:rPr>
                      <w:rFonts w:hint="eastAsia"/>
                      <w:szCs w:val="21"/>
                    </w:rPr>
                    <w:t>6</w:t>
                  </w:r>
                </w:p>
              </w:tc>
              <w:tc>
                <w:tcPr>
                  <w:tcW w:w="1094" w:type="dxa"/>
                  <w:tcBorders>
                    <w:tl2br w:val="nil"/>
                    <w:tr2bl w:val="nil"/>
                  </w:tcBorders>
                  <w:vAlign w:val="center"/>
                </w:tcPr>
                <w:p>
                  <w:pPr>
                    <w:snapToGrid w:val="0"/>
                    <w:jc w:val="center"/>
                    <w:rPr>
                      <w:szCs w:val="21"/>
                    </w:rPr>
                  </w:pPr>
                  <w:r>
                    <w:rPr>
                      <w:rFonts w:hint="eastAsia"/>
                      <w:szCs w:val="21"/>
                    </w:rPr>
                    <w:t>运输车辆</w:t>
                  </w:r>
                </w:p>
              </w:tc>
              <w:tc>
                <w:tcPr>
                  <w:tcW w:w="747" w:type="dxa"/>
                  <w:tcBorders>
                    <w:tl2br w:val="nil"/>
                    <w:tr2bl w:val="nil"/>
                  </w:tcBorders>
                  <w:vAlign w:val="center"/>
                </w:tcPr>
                <w:p>
                  <w:pPr>
                    <w:snapToGrid w:val="0"/>
                    <w:jc w:val="center"/>
                    <w:rPr>
                      <w:szCs w:val="21"/>
                    </w:rPr>
                  </w:pPr>
                  <w:r>
                    <w:rPr>
                      <w:rFonts w:hint="eastAsia"/>
                      <w:szCs w:val="21"/>
                    </w:rPr>
                    <w:t>/</w:t>
                  </w:r>
                </w:p>
              </w:tc>
              <w:tc>
                <w:tcPr>
                  <w:tcW w:w="691" w:type="dxa"/>
                  <w:tcBorders>
                    <w:tl2br w:val="nil"/>
                    <w:tr2bl w:val="nil"/>
                  </w:tcBorders>
                  <w:vAlign w:val="center"/>
                </w:tcPr>
                <w:p>
                  <w:pPr>
                    <w:snapToGrid w:val="0"/>
                    <w:jc w:val="center"/>
                    <w:rPr>
                      <w:szCs w:val="21"/>
                    </w:rPr>
                  </w:pPr>
                  <w:r>
                    <w:rPr>
                      <w:rFonts w:hint="eastAsia"/>
                      <w:szCs w:val="21"/>
                    </w:rPr>
                    <w:t>80</w:t>
                  </w:r>
                </w:p>
              </w:tc>
              <w:tc>
                <w:tcPr>
                  <w:tcW w:w="2182" w:type="dxa"/>
                  <w:tcBorders>
                    <w:tl2br w:val="nil"/>
                    <w:tr2bl w:val="nil"/>
                  </w:tcBorders>
                  <w:vAlign w:val="center"/>
                </w:tcPr>
                <w:p>
                  <w:pPr>
                    <w:jc w:val="center"/>
                    <w:rPr>
                      <w:szCs w:val="21"/>
                    </w:rPr>
                  </w:pPr>
                  <w:r>
                    <w:rPr>
                      <w:rFonts w:hint="eastAsia"/>
                      <w:szCs w:val="21"/>
                    </w:rPr>
                    <w:t>禁止鸣笛，减速，道路及厂房带隔声绿化</w:t>
                  </w:r>
                </w:p>
              </w:tc>
              <w:tc>
                <w:tcPr>
                  <w:tcW w:w="891" w:type="dxa"/>
                  <w:tcBorders>
                    <w:tl2br w:val="nil"/>
                    <w:tr2bl w:val="nil"/>
                  </w:tcBorders>
                  <w:vAlign w:val="center"/>
                </w:tcPr>
                <w:p>
                  <w:pPr>
                    <w:jc w:val="center"/>
                    <w:rPr>
                      <w:szCs w:val="21"/>
                    </w:rPr>
                  </w:pPr>
                  <w:r>
                    <w:rPr>
                      <w:rFonts w:hint="eastAsia"/>
                      <w:szCs w:val="21"/>
                    </w:rPr>
                    <w:t>50</w:t>
                  </w:r>
                </w:p>
              </w:tc>
              <w:tc>
                <w:tcPr>
                  <w:tcW w:w="1227" w:type="dxa"/>
                  <w:vMerge w:val="continue"/>
                  <w:tcBorders>
                    <w:tl2br w:val="nil"/>
                    <w:tr2bl w:val="nil"/>
                  </w:tcBorders>
                  <w:vAlign w:val="center"/>
                </w:tcPr>
                <w:p>
                  <w:pPr>
                    <w:jc w:val="center"/>
                    <w:rPr>
                      <w:szCs w:val="21"/>
                    </w:rPr>
                  </w:pPr>
                </w:p>
              </w:tc>
              <w:tc>
                <w:tcPr>
                  <w:tcW w:w="754"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658" w:hRule="atLeast"/>
                <w:jc w:val="center"/>
              </w:trPr>
              <w:tc>
                <w:tcPr>
                  <w:tcW w:w="554" w:type="dxa"/>
                  <w:tcBorders>
                    <w:tl2br w:val="nil"/>
                    <w:tr2bl w:val="nil"/>
                  </w:tcBorders>
                  <w:vAlign w:val="center"/>
                </w:tcPr>
                <w:p>
                  <w:pPr>
                    <w:jc w:val="center"/>
                    <w:rPr>
                      <w:rFonts w:hint="eastAsia" w:eastAsia="宋体"/>
                      <w:szCs w:val="21"/>
                      <w:lang w:val="en-US" w:eastAsia="zh-CN"/>
                    </w:rPr>
                  </w:pPr>
                  <w:r>
                    <w:rPr>
                      <w:rFonts w:hint="eastAsia"/>
                      <w:szCs w:val="21"/>
                      <w:lang w:val="en-US" w:eastAsia="zh-CN"/>
                    </w:rPr>
                    <w:t>7</w:t>
                  </w:r>
                </w:p>
              </w:tc>
              <w:tc>
                <w:tcPr>
                  <w:tcW w:w="1094" w:type="dxa"/>
                  <w:tcBorders>
                    <w:tl2br w:val="nil"/>
                    <w:tr2bl w:val="nil"/>
                  </w:tcBorders>
                  <w:vAlign w:val="center"/>
                </w:tcPr>
                <w:p>
                  <w:pPr>
                    <w:jc w:val="center"/>
                    <w:rPr>
                      <w:rFonts w:hint="eastAsia"/>
                      <w:szCs w:val="21"/>
                    </w:rPr>
                  </w:pPr>
                  <w:r>
                    <w:rPr>
                      <w:rFonts w:hint="eastAsia"/>
                      <w:szCs w:val="21"/>
                      <w:lang w:eastAsia="zh-CN"/>
                    </w:rPr>
                    <w:t>压泥机</w:t>
                  </w:r>
                </w:p>
              </w:tc>
              <w:tc>
                <w:tcPr>
                  <w:tcW w:w="747" w:type="dxa"/>
                  <w:tcBorders>
                    <w:tl2br w:val="nil"/>
                    <w:tr2bl w:val="nil"/>
                  </w:tcBorders>
                  <w:vAlign w:val="center"/>
                </w:tcPr>
                <w:p>
                  <w:pPr>
                    <w:snapToGrid w:val="0"/>
                    <w:jc w:val="center"/>
                    <w:rPr>
                      <w:rFonts w:hint="eastAsia" w:eastAsia="宋体"/>
                      <w:szCs w:val="21"/>
                      <w:lang w:val="en-US" w:eastAsia="zh-CN"/>
                    </w:rPr>
                  </w:pPr>
                  <w:r>
                    <w:rPr>
                      <w:rFonts w:hint="eastAsia"/>
                      <w:szCs w:val="21"/>
                      <w:lang w:val="en-US" w:eastAsia="zh-CN"/>
                    </w:rPr>
                    <w:t>1</w:t>
                  </w:r>
                </w:p>
              </w:tc>
              <w:tc>
                <w:tcPr>
                  <w:tcW w:w="691" w:type="dxa"/>
                  <w:tcBorders>
                    <w:tl2br w:val="nil"/>
                    <w:tr2bl w:val="nil"/>
                  </w:tcBorders>
                  <w:vAlign w:val="center"/>
                </w:tcPr>
                <w:p>
                  <w:pPr>
                    <w:snapToGrid w:val="0"/>
                    <w:jc w:val="center"/>
                    <w:rPr>
                      <w:rFonts w:hint="default" w:eastAsia="宋体"/>
                      <w:szCs w:val="21"/>
                      <w:lang w:val="en-US" w:eastAsia="zh-CN"/>
                    </w:rPr>
                  </w:pPr>
                  <w:r>
                    <w:rPr>
                      <w:rFonts w:hint="eastAsia"/>
                      <w:szCs w:val="21"/>
                      <w:lang w:val="en-US" w:eastAsia="zh-CN"/>
                    </w:rPr>
                    <w:t>75</w:t>
                  </w:r>
                </w:p>
              </w:tc>
              <w:tc>
                <w:tcPr>
                  <w:tcW w:w="2182" w:type="dxa"/>
                  <w:tcBorders>
                    <w:tl2br w:val="nil"/>
                    <w:tr2bl w:val="nil"/>
                  </w:tcBorders>
                  <w:vAlign w:val="center"/>
                </w:tcPr>
                <w:p>
                  <w:pPr>
                    <w:jc w:val="center"/>
                    <w:rPr>
                      <w:rFonts w:hint="eastAsia"/>
                      <w:szCs w:val="21"/>
                    </w:rPr>
                  </w:pPr>
                </w:p>
              </w:tc>
              <w:tc>
                <w:tcPr>
                  <w:tcW w:w="891"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50</w:t>
                  </w:r>
                </w:p>
              </w:tc>
              <w:tc>
                <w:tcPr>
                  <w:tcW w:w="1227" w:type="dxa"/>
                  <w:vMerge w:val="restart"/>
                  <w:tcBorders>
                    <w:tl2br w:val="nil"/>
                    <w:tr2bl w:val="nil"/>
                  </w:tcBorders>
                  <w:vAlign w:val="center"/>
                </w:tcPr>
                <w:p>
                  <w:pPr>
                    <w:jc w:val="center"/>
                    <w:rPr>
                      <w:rFonts w:hint="eastAsia" w:eastAsia="宋体"/>
                      <w:szCs w:val="21"/>
                      <w:lang w:eastAsia="zh-CN"/>
                    </w:rPr>
                  </w:pPr>
                  <w:r>
                    <w:rPr>
                      <w:rFonts w:hint="eastAsia"/>
                      <w:szCs w:val="21"/>
                      <w:lang w:eastAsia="zh-CN"/>
                    </w:rPr>
                    <w:t>厂区</w:t>
                  </w:r>
                </w:p>
              </w:tc>
              <w:tc>
                <w:tcPr>
                  <w:tcW w:w="754"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658" w:hRule="atLeast"/>
                <w:jc w:val="center"/>
              </w:trPr>
              <w:tc>
                <w:tcPr>
                  <w:tcW w:w="554" w:type="dxa"/>
                  <w:tcBorders>
                    <w:tl2br w:val="nil"/>
                    <w:tr2bl w:val="nil"/>
                  </w:tcBorders>
                  <w:vAlign w:val="center"/>
                </w:tcPr>
                <w:p>
                  <w:pPr>
                    <w:jc w:val="center"/>
                    <w:rPr>
                      <w:rFonts w:hint="eastAsia" w:eastAsia="宋体"/>
                      <w:szCs w:val="21"/>
                      <w:lang w:val="en-US" w:eastAsia="zh-CN"/>
                    </w:rPr>
                  </w:pPr>
                  <w:r>
                    <w:rPr>
                      <w:rFonts w:hint="eastAsia"/>
                      <w:szCs w:val="21"/>
                      <w:lang w:val="en-US" w:eastAsia="zh-CN"/>
                    </w:rPr>
                    <w:t>8</w:t>
                  </w:r>
                </w:p>
              </w:tc>
              <w:tc>
                <w:tcPr>
                  <w:tcW w:w="1094" w:type="dxa"/>
                  <w:tcBorders>
                    <w:tl2br w:val="nil"/>
                    <w:tr2bl w:val="nil"/>
                  </w:tcBorders>
                  <w:vAlign w:val="center"/>
                </w:tcPr>
                <w:p>
                  <w:pPr>
                    <w:jc w:val="center"/>
                    <w:rPr>
                      <w:rFonts w:hint="eastAsia"/>
                      <w:szCs w:val="21"/>
                    </w:rPr>
                  </w:pPr>
                  <w:r>
                    <w:rPr>
                      <w:rFonts w:hint="eastAsia"/>
                      <w:szCs w:val="21"/>
                      <w:lang w:eastAsia="zh-CN"/>
                    </w:rPr>
                    <w:t>污水循环塔</w:t>
                  </w:r>
                </w:p>
              </w:tc>
              <w:tc>
                <w:tcPr>
                  <w:tcW w:w="747" w:type="dxa"/>
                  <w:tcBorders>
                    <w:tl2br w:val="nil"/>
                    <w:tr2bl w:val="nil"/>
                  </w:tcBorders>
                  <w:vAlign w:val="center"/>
                </w:tcPr>
                <w:p>
                  <w:pPr>
                    <w:snapToGrid w:val="0"/>
                    <w:jc w:val="center"/>
                    <w:rPr>
                      <w:rFonts w:hint="eastAsia" w:eastAsia="宋体"/>
                      <w:szCs w:val="21"/>
                      <w:lang w:val="en-US" w:eastAsia="zh-CN"/>
                    </w:rPr>
                  </w:pPr>
                  <w:r>
                    <w:rPr>
                      <w:rFonts w:hint="eastAsia"/>
                      <w:szCs w:val="21"/>
                      <w:lang w:val="en-US" w:eastAsia="zh-CN"/>
                    </w:rPr>
                    <w:t>2</w:t>
                  </w:r>
                </w:p>
              </w:tc>
              <w:tc>
                <w:tcPr>
                  <w:tcW w:w="691" w:type="dxa"/>
                  <w:tcBorders>
                    <w:tl2br w:val="nil"/>
                    <w:tr2bl w:val="nil"/>
                  </w:tcBorders>
                  <w:vAlign w:val="center"/>
                </w:tcPr>
                <w:p>
                  <w:pPr>
                    <w:snapToGrid w:val="0"/>
                    <w:jc w:val="center"/>
                    <w:rPr>
                      <w:rFonts w:hint="default" w:eastAsia="宋体"/>
                      <w:szCs w:val="21"/>
                      <w:lang w:val="en-US" w:eastAsia="zh-CN"/>
                    </w:rPr>
                  </w:pPr>
                  <w:r>
                    <w:rPr>
                      <w:rFonts w:hint="eastAsia"/>
                      <w:szCs w:val="21"/>
                      <w:lang w:val="en-US" w:eastAsia="zh-CN"/>
                    </w:rPr>
                    <w:t>70</w:t>
                  </w:r>
                </w:p>
              </w:tc>
              <w:tc>
                <w:tcPr>
                  <w:tcW w:w="2182" w:type="dxa"/>
                  <w:tcBorders>
                    <w:tl2br w:val="nil"/>
                    <w:tr2bl w:val="nil"/>
                  </w:tcBorders>
                  <w:vAlign w:val="center"/>
                </w:tcPr>
                <w:p>
                  <w:pPr>
                    <w:jc w:val="center"/>
                    <w:rPr>
                      <w:rFonts w:hint="eastAsia"/>
                      <w:szCs w:val="21"/>
                    </w:rPr>
                  </w:pPr>
                </w:p>
              </w:tc>
              <w:tc>
                <w:tcPr>
                  <w:tcW w:w="891"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45</w:t>
                  </w:r>
                </w:p>
              </w:tc>
              <w:tc>
                <w:tcPr>
                  <w:tcW w:w="1227" w:type="dxa"/>
                  <w:vMerge w:val="continue"/>
                  <w:tcBorders>
                    <w:tl2br w:val="nil"/>
                    <w:tr2bl w:val="nil"/>
                  </w:tcBorders>
                  <w:vAlign w:val="center"/>
                </w:tcPr>
                <w:p>
                  <w:pPr>
                    <w:jc w:val="center"/>
                    <w:rPr>
                      <w:szCs w:val="21"/>
                    </w:rPr>
                  </w:pPr>
                </w:p>
              </w:tc>
              <w:tc>
                <w:tcPr>
                  <w:tcW w:w="754" w:type="dxa"/>
                  <w:vMerge w:val="continue"/>
                  <w:tcBorders>
                    <w:tl2br w:val="nil"/>
                    <w:tr2bl w:val="nil"/>
                  </w:tcBorders>
                  <w:vAlign w:val="center"/>
                </w:tcPr>
                <w:p>
                  <w:pPr>
                    <w:jc w:val="center"/>
                    <w:rPr>
                      <w:szCs w:val="21"/>
                    </w:rPr>
                  </w:pPr>
                </w:p>
              </w:tc>
            </w:tr>
          </w:tbl>
          <w:p>
            <w:pPr>
              <w:spacing w:line="360" w:lineRule="auto"/>
              <w:ind w:firstLine="480" w:firstLineChars="200"/>
              <w:rPr>
                <w:sz w:val="24"/>
              </w:rPr>
            </w:pPr>
            <w:r>
              <w:rPr>
                <w:rFonts w:hint="eastAsia"/>
                <w:sz w:val="24"/>
              </w:rPr>
              <w:t>本项目</w:t>
            </w:r>
            <w:r>
              <w:rPr>
                <w:rFonts w:hint="eastAsia" w:hAnsi="宋体"/>
                <w:sz w:val="24"/>
              </w:rPr>
              <w:t>噪声源</w:t>
            </w:r>
            <w:r>
              <w:rPr>
                <w:rFonts w:hAnsi="宋体"/>
                <w:sz w:val="24"/>
              </w:rPr>
              <w:t>与厂区北侧</w:t>
            </w:r>
            <w:r>
              <w:rPr>
                <w:rFonts w:hint="eastAsia" w:hAnsi="宋体"/>
                <w:sz w:val="24"/>
              </w:rPr>
              <w:t>厂界</w:t>
            </w:r>
            <w:r>
              <w:rPr>
                <w:rFonts w:hAnsi="宋体"/>
                <w:sz w:val="24"/>
              </w:rPr>
              <w:t>距离</w:t>
            </w:r>
            <w:r>
              <w:rPr>
                <w:sz w:val="24"/>
              </w:rPr>
              <w:t>约为</w:t>
            </w:r>
            <w:r>
              <w:rPr>
                <w:rFonts w:hint="eastAsia"/>
                <w:sz w:val="24"/>
              </w:rPr>
              <w:t>5</w:t>
            </w:r>
            <w:r>
              <w:rPr>
                <w:sz w:val="24"/>
              </w:rPr>
              <w:t>m</w:t>
            </w:r>
            <w:r>
              <w:rPr>
                <w:rFonts w:hAnsi="宋体"/>
                <w:sz w:val="24"/>
              </w:rPr>
              <w:t>、与厂区西侧距离</w:t>
            </w:r>
            <w:r>
              <w:rPr>
                <w:sz w:val="24"/>
              </w:rPr>
              <w:t>约为</w:t>
            </w:r>
            <w:r>
              <w:rPr>
                <w:rFonts w:hint="eastAsia"/>
                <w:sz w:val="24"/>
              </w:rPr>
              <w:t>3</w:t>
            </w:r>
            <w:r>
              <w:rPr>
                <w:sz w:val="24"/>
              </w:rPr>
              <w:t>m、</w:t>
            </w:r>
            <w:r>
              <w:rPr>
                <w:rFonts w:hAnsi="宋体"/>
                <w:sz w:val="24"/>
              </w:rPr>
              <w:t>与厂区东侧距离</w:t>
            </w:r>
            <w:r>
              <w:rPr>
                <w:sz w:val="24"/>
              </w:rPr>
              <w:t>约为</w:t>
            </w:r>
            <w:r>
              <w:rPr>
                <w:rFonts w:hint="eastAsia"/>
                <w:sz w:val="24"/>
              </w:rPr>
              <w:t>30</w:t>
            </w:r>
            <w:r>
              <w:rPr>
                <w:sz w:val="24"/>
              </w:rPr>
              <w:t>m、</w:t>
            </w:r>
            <w:r>
              <w:rPr>
                <w:rFonts w:hAnsi="宋体"/>
                <w:sz w:val="24"/>
              </w:rPr>
              <w:t>与厂区南侧距离</w:t>
            </w:r>
            <w:r>
              <w:rPr>
                <w:sz w:val="24"/>
              </w:rPr>
              <w:t>约为</w:t>
            </w:r>
            <w:r>
              <w:rPr>
                <w:rFonts w:hint="eastAsia"/>
                <w:sz w:val="24"/>
              </w:rPr>
              <w:t>60</w:t>
            </w:r>
            <w:r>
              <w:rPr>
                <w:sz w:val="24"/>
              </w:rPr>
              <w:t>m。</w:t>
            </w:r>
            <w:r>
              <w:rPr>
                <w:rFonts w:hint="eastAsia"/>
                <w:sz w:val="24"/>
              </w:rPr>
              <w:t>项目设备运行12小时（白班制）。项目东侧居民位于本项目厂界</w:t>
            </w:r>
            <w:r>
              <w:rPr>
                <w:rFonts w:hint="eastAsia"/>
                <w:sz w:val="24"/>
                <w:lang w:val="en-US" w:eastAsia="zh-CN"/>
              </w:rPr>
              <w:t>28</w:t>
            </w:r>
            <w:r>
              <w:rPr>
                <w:rFonts w:hint="eastAsia"/>
                <w:sz w:val="24"/>
              </w:rPr>
              <w:t>m处，距离声源</w:t>
            </w:r>
            <w:r>
              <w:rPr>
                <w:rFonts w:hint="eastAsia"/>
                <w:sz w:val="24"/>
                <w:lang w:val="en-US" w:eastAsia="zh-CN"/>
              </w:rPr>
              <w:t>58</w:t>
            </w:r>
            <w:r>
              <w:rPr>
                <w:rFonts w:hint="eastAsia"/>
                <w:sz w:val="24"/>
              </w:rPr>
              <w:t>m；项目南侧居民位于本项目厂界1m处，距离声源61m；项目北侧居民位于本项目厂界95m处，距离声源100m。</w:t>
            </w:r>
          </w:p>
          <w:p>
            <w:pPr>
              <w:spacing w:line="360" w:lineRule="auto"/>
              <w:ind w:firstLine="360" w:firstLineChars="150"/>
              <w:rPr>
                <w:sz w:val="24"/>
              </w:rPr>
            </w:pPr>
            <w:r>
              <w:rPr>
                <w:rFonts w:hint="eastAsia" w:hAnsi="宋体"/>
                <w:sz w:val="24"/>
              </w:rPr>
              <w:t>项目设备</w:t>
            </w:r>
            <w:r>
              <w:rPr>
                <w:rFonts w:hAnsi="宋体"/>
                <w:sz w:val="24"/>
              </w:rPr>
              <w:t>多个噪声源叠加的综合噪声计算公式如下：</w:t>
            </w:r>
          </w:p>
          <w:p>
            <w:pPr>
              <w:spacing w:line="360" w:lineRule="auto"/>
              <w:ind w:firstLine="556"/>
              <w:rPr>
                <w:sz w:val="24"/>
              </w:rPr>
            </w:pPr>
            <w:r>
              <w:rPr>
                <w:position w:val="-30"/>
                <w:sz w:val="24"/>
              </w:rPr>
              <w:object>
                <v:shape id="_x0000_i1025" o:spt="75" type="#_x0000_t75" style="height:36.3pt;width:105.8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p>
          <w:p>
            <w:pPr>
              <w:spacing w:line="360" w:lineRule="auto"/>
              <w:ind w:firstLine="555"/>
              <w:rPr>
                <w:sz w:val="24"/>
              </w:rPr>
            </w:pPr>
            <w:r>
              <w:rPr>
                <w:rFonts w:hAnsi="宋体"/>
                <w:sz w:val="24"/>
              </w:rPr>
              <w:t>式中：</w:t>
            </w:r>
            <w:r>
              <w:rPr>
                <w:position w:val="-10"/>
                <w:sz w:val="24"/>
              </w:rPr>
              <w:object>
                <v:shape id="_x0000_i1026" o:spt="75" type="#_x0000_t75" style="height:16.9pt;width:16.3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sz w:val="24"/>
              </w:rPr>
              <w:t>—</w:t>
            </w:r>
            <w:r>
              <w:rPr>
                <w:rFonts w:hAnsi="宋体"/>
                <w:sz w:val="24"/>
              </w:rPr>
              <w:t>多个噪声源叠加的综合噪声声级，</w:t>
            </w:r>
            <w:r>
              <w:rPr>
                <w:sz w:val="24"/>
              </w:rPr>
              <w:t>dB</w:t>
            </w:r>
            <w:r>
              <w:rPr>
                <w:rFonts w:hAnsi="宋体"/>
                <w:sz w:val="24"/>
              </w:rPr>
              <w:t>（</w:t>
            </w:r>
            <w:r>
              <w:rPr>
                <w:sz w:val="24"/>
              </w:rPr>
              <w:t>A</w:t>
            </w:r>
            <w:r>
              <w:rPr>
                <w:rFonts w:hAnsi="宋体"/>
                <w:sz w:val="24"/>
              </w:rPr>
              <w:t>）；</w:t>
            </w:r>
          </w:p>
          <w:p>
            <w:pPr>
              <w:spacing w:line="360" w:lineRule="auto"/>
              <w:ind w:firstLine="555"/>
              <w:rPr>
                <w:sz w:val="24"/>
              </w:rPr>
            </w:pPr>
            <w:r>
              <w:rPr>
                <w:position w:val="-12"/>
                <w:sz w:val="24"/>
              </w:rPr>
              <w:object>
                <v:shape id="_x0000_i1027" o:spt="75" type="#_x0000_t75" style="height:18.15pt;width:13.1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sz w:val="24"/>
              </w:rPr>
              <w:t>—</w:t>
            </w:r>
            <w:r>
              <w:rPr>
                <w:rFonts w:hAnsi="宋体"/>
                <w:sz w:val="24"/>
              </w:rPr>
              <w:t>第</w:t>
            </w:r>
            <w:r>
              <w:rPr>
                <w:sz w:val="24"/>
              </w:rPr>
              <w:t>I</w:t>
            </w:r>
            <w:r>
              <w:rPr>
                <w:rFonts w:hAnsi="宋体"/>
                <w:sz w:val="24"/>
              </w:rPr>
              <w:t>个噪声源的声级，</w:t>
            </w:r>
            <w:r>
              <w:rPr>
                <w:sz w:val="24"/>
              </w:rPr>
              <w:t>dB</w:t>
            </w:r>
            <w:r>
              <w:rPr>
                <w:rFonts w:hAnsi="宋体"/>
                <w:sz w:val="24"/>
              </w:rPr>
              <w:t>（</w:t>
            </w:r>
            <w:r>
              <w:rPr>
                <w:sz w:val="24"/>
              </w:rPr>
              <w:t>A</w:t>
            </w:r>
            <w:r>
              <w:rPr>
                <w:rFonts w:hAnsi="宋体"/>
                <w:sz w:val="24"/>
              </w:rPr>
              <w:t>）；</w:t>
            </w:r>
          </w:p>
          <w:p>
            <w:pPr>
              <w:spacing w:line="360" w:lineRule="auto"/>
              <w:ind w:firstLine="555"/>
              <w:rPr>
                <w:sz w:val="24"/>
              </w:rPr>
            </w:pPr>
            <w:r>
              <w:rPr>
                <w:position w:val="-6"/>
                <w:sz w:val="24"/>
              </w:rPr>
              <w:object>
                <v:shape id="_x0000_i1028" o:spt="75" type="#_x0000_t75" style="height:11.25pt;width:10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sz w:val="24"/>
              </w:rPr>
              <w:t>—</w:t>
            </w:r>
            <w:r>
              <w:rPr>
                <w:rFonts w:hAnsi="宋体"/>
                <w:sz w:val="24"/>
              </w:rPr>
              <w:t>噪声源的个数。</w:t>
            </w:r>
          </w:p>
          <w:p>
            <w:pPr>
              <w:tabs>
                <w:tab w:val="left" w:pos="7620"/>
              </w:tabs>
              <w:spacing w:line="360" w:lineRule="auto"/>
              <w:ind w:firstLine="480" w:firstLineChars="200"/>
              <w:rPr>
                <w:sz w:val="24"/>
              </w:rPr>
            </w:pPr>
            <w:r>
              <w:rPr>
                <w:rFonts w:hAnsi="宋体"/>
                <w:sz w:val="24"/>
              </w:rPr>
              <w:t>本项目依据表</w:t>
            </w:r>
            <w:r>
              <w:rPr>
                <w:sz w:val="24"/>
              </w:rPr>
              <w:t>7-</w:t>
            </w:r>
            <w:r>
              <w:rPr>
                <w:rFonts w:hint="eastAsia"/>
                <w:sz w:val="24"/>
              </w:rPr>
              <w:t>1</w:t>
            </w:r>
            <w:r>
              <w:rPr>
                <w:rFonts w:hAnsi="宋体"/>
                <w:sz w:val="24"/>
              </w:rPr>
              <w:t>中数据计算得综合噪声源强（以最大计）为</w:t>
            </w:r>
            <w:r>
              <w:rPr>
                <w:rFonts w:hint="eastAsia" w:hAnsi="宋体"/>
                <w:sz w:val="24"/>
              </w:rPr>
              <w:t>66.36</w:t>
            </w:r>
            <w:r>
              <w:rPr>
                <w:sz w:val="24"/>
              </w:rPr>
              <w:t>dB(A)</w:t>
            </w:r>
            <w:r>
              <w:rPr>
                <w:rFonts w:hAnsi="宋体"/>
                <w:sz w:val="24"/>
              </w:rPr>
              <w:t>。对运营期噪声采用点源模式进行预测，点源衰减模式为：</w:t>
            </w:r>
          </w:p>
          <w:p>
            <w:pPr>
              <w:spacing w:line="360" w:lineRule="auto"/>
              <w:ind w:firstLine="2128" w:firstLineChars="887"/>
              <w:rPr>
                <w:sz w:val="24"/>
              </w:rPr>
            </w:pPr>
            <w:r>
              <w:rPr>
                <w:sz w:val="24"/>
              </w:rPr>
              <w:t>L</w:t>
            </w:r>
            <w:r>
              <w:rPr>
                <w:sz w:val="24"/>
                <w:vertAlign w:val="subscript"/>
              </w:rPr>
              <w:t>A</w:t>
            </w:r>
            <w:r>
              <w:rPr>
                <w:sz w:val="24"/>
              </w:rPr>
              <w:t>=L</w:t>
            </w:r>
            <w:r>
              <w:rPr>
                <w:sz w:val="24"/>
                <w:vertAlign w:val="subscript"/>
              </w:rPr>
              <w:t>0</w:t>
            </w:r>
            <w:r>
              <w:rPr>
                <w:sz w:val="24"/>
              </w:rPr>
              <w:t>-20lg(r</w:t>
            </w:r>
            <w:r>
              <w:rPr>
                <w:sz w:val="24"/>
                <w:vertAlign w:val="subscript"/>
              </w:rPr>
              <w:t>a</w:t>
            </w:r>
            <w:r>
              <w:rPr>
                <w:sz w:val="24"/>
              </w:rPr>
              <w:t>/r</w:t>
            </w:r>
            <w:r>
              <w:rPr>
                <w:sz w:val="24"/>
                <w:vertAlign w:val="subscript"/>
              </w:rPr>
              <w:t>0</w:t>
            </w:r>
            <w:r>
              <w:rPr>
                <w:sz w:val="24"/>
              </w:rPr>
              <w:t>)-</w:t>
            </w:r>
            <w:r>
              <w:rPr>
                <w:rFonts w:ascii="宋体" w:hAnsi="宋体"/>
                <w:sz w:val="24"/>
              </w:rPr>
              <w:t>△</w:t>
            </w:r>
            <w:r>
              <w:rPr>
                <w:sz w:val="24"/>
              </w:rPr>
              <w:t>L</w:t>
            </w:r>
          </w:p>
          <w:p>
            <w:pPr>
              <w:spacing w:line="360" w:lineRule="auto"/>
              <w:ind w:firstLine="573"/>
              <w:rPr>
                <w:sz w:val="24"/>
              </w:rPr>
            </w:pPr>
            <w:r>
              <w:rPr>
                <w:rFonts w:hAnsi="宋体"/>
                <w:sz w:val="24"/>
              </w:rPr>
              <w:t>式中：</w:t>
            </w:r>
            <w:r>
              <w:rPr>
                <w:sz w:val="24"/>
              </w:rPr>
              <w:t>L</w:t>
            </w:r>
            <w:r>
              <w:rPr>
                <w:sz w:val="24"/>
                <w:vertAlign w:val="subscript"/>
              </w:rPr>
              <w:t>A</w:t>
            </w:r>
            <w:r>
              <w:rPr>
                <w:rFonts w:hAnsi="宋体"/>
                <w:sz w:val="24"/>
              </w:rPr>
              <w:t>：距声源为</w:t>
            </w:r>
            <w:r>
              <w:rPr>
                <w:sz w:val="24"/>
              </w:rPr>
              <w:t>r</w:t>
            </w:r>
            <w:r>
              <w:rPr>
                <w:sz w:val="24"/>
                <w:vertAlign w:val="subscript"/>
              </w:rPr>
              <w:t>a</w:t>
            </w:r>
            <w:r>
              <w:rPr>
                <w:rFonts w:hAnsi="宋体"/>
                <w:sz w:val="24"/>
              </w:rPr>
              <w:t>米处的声级，</w:t>
            </w:r>
            <w:r>
              <w:rPr>
                <w:sz w:val="24"/>
              </w:rPr>
              <w:t>dB</w:t>
            </w:r>
            <w:r>
              <w:rPr>
                <w:rFonts w:hAnsi="宋体"/>
                <w:sz w:val="24"/>
              </w:rPr>
              <w:t>（</w:t>
            </w:r>
            <w:r>
              <w:rPr>
                <w:sz w:val="24"/>
              </w:rPr>
              <w:t>A</w:t>
            </w:r>
            <w:r>
              <w:rPr>
                <w:rFonts w:hAnsi="宋体"/>
                <w:sz w:val="24"/>
              </w:rPr>
              <w:t>）；</w:t>
            </w:r>
          </w:p>
          <w:p>
            <w:pPr>
              <w:spacing w:line="360" w:lineRule="auto"/>
              <w:ind w:firstLine="573"/>
              <w:rPr>
                <w:sz w:val="24"/>
              </w:rPr>
            </w:pPr>
            <w:r>
              <w:rPr>
                <w:sz w:val="24"/>
              </w:rPr>
              <w:t xml:space="preserve">      L</w:t>
            </w:r>
            <w:r>
              <w:rPr>
                <w:sz w:val="24"/>
                <w:vertAlign w:val="subscript"/>
              </w:rPr>
              <w:t>0</w:t>
            </w:r>
            <w:r>
              <w:rPr>
                <w:rFonts w:hAnsi="宋体"/>
                <w:sz w:val="24"/>
              </w:rPr>
              <w:t>：距声源为</w:t>
            </w:r>
            <w:r>
              <w:rPr>
                <w:sz w:val="24"/>
              </w:rPr>
              <w:t>r</w:t>
            </w:r>
            <w:r>
              <w:rPr>
                <w:sz w:val="24"/>
                <w:vertAlign w:val="subscript"/>
              </w:rPr>
              <w:t>0</w:t>
            </w:r>
            <w:r>
              <w:rPr>
                <w:rFonts w:hAnsi="宋体"/>
                <w:sz w:val="24"/>
              </w:rPr>
              <w:t>米处的声级，</w:t>
            </w:r>
            <w:r>
              <w:rPr>
                <w:sz w:val="24"/>
              </w:rPr>
              <w:t>dB</w:t>
            </w:r>
            <w:r>
              <w:rPr>
                <w:rFonts w:hAnsi="宋体"/>
                <w:sz w:val="24"/>
              </w:rPr>
              <w:t>（</w:t>
            </w:r>
            <w:r>
              <w:rPr>
                <w:sz w:val="24"/>
              </w:rPr>
              <w:t>A</w:t>
            </w:r>
            <w:r>
              <w:rPr>
                <w:rFonts w:hAnsi="宋体"/>
                <w:sz w:val="24"/>
              </w:rPr>
              <w:t>）；</w:t>
            </w:r>
          </w:p>
          <w:p>
            <w:pPr>
              <w:spacing w:line="360" w:lineRule="auto"/>
              <w:ind w:firstLine="573"/>
              <w:rPr>
                <w:sz w:val="24"/>
              </w:rPr>
            </w:pPr>
            <w:r>
              <w:rPr>
                <w:rFonts w:ascii="宋体" w:hAnsi="宋体"/>
                <w:sz w:val="24"/>
              </w:rPr>
              <w:t>△</w:t>
            </w:r>
            <w:r>
              <w:rPr>
                <w:sz w:val="24"/>
              </w:rPr>
              <w:t>L</w:t>
            </w:r>
            <w:r>
              <w:rPr>
                <w:rFonts w:hAnsi="宋体"/>
                <w:sz w:val="24"/>
              </w:rPr>
              <w:t>：附加衰减量，</w:t>
            </w:r>
            <w:r>
              <w:rPr>
                <w:sz w:val="24"/>
              </w:rPr>
              <w:t>dB</w:t>
            </w:r>
            <w:r>
              <w:rPr>
                <w:rFonts w:hAnsi="宋体"/>
                <w:sz w:val="24"/>
              </w:rPr>
              <w:t>（</w:t>
            </w:r>
            <w:r>
              <w:rPr>
                <w:sz w:val="24"/>
              </w:rPr>
              <w:t>A</w:t>
            </w:r>
            <w:r>
              <w:rPr>
                <w:rFonts w:hAnsi="宋体"/>
                <w:sz w:val="24"/>
              </w:rPr>
              <w:t>）</w:t>
            </w:r>
            <w:r>
              <w:rPr>
                <w:rFonts w:hint="eastAsia"/>
                <w:sz w:val="24"/>
              </w:rPr>
              <w:t>，</w:t>
            </w:r>
            <w:r>
              <w:rPr>
                <w:rFonts w:hAnsi="宋体"/>
                <w:sz w:val="24"/>
              </w:rPr>
              <w:t>在此取</w:t>
            </w:r>
            <w:r>
              <w:rPr>
                <w:sz w:val="24"/>
              </w:rPr>
              <w:t>15dB</w:t>
            </w:r>
            <w:r>
              <w:rPr>
                <w:rFonts w:hAnsi="宋体"/>
                <w:sz w:val="24"/>
              </w:rPr>
              <w:t>（</w:t>
            </w:r>
            <w:r>
              <w:rPr>
                <w:sz w:val="24"/>
              </w:rPr>
              <w:t>A</w:t>
            </w:r>
            <w:r>
              <w:rPr>
                <w:rFonts w:hAnsi="宋体"/>
                <w:sz w:val="24"/>
              </w:rPr>
              <w:t>）；</w:t>
            </w:r>
          </w:p>
          <w:p>
            <w:pPr>
              <w:spacing w:line="360" w:lineRule="auto"/>
              <w:ind w:firstLine="480" w:firstLineChars="200"/>
              <w:rPr>
                <w:rFonts w:hAnsi="宋体"/>
                <w:b/>
                <w:sz w:val="24"/>
              </w:rPr>
            </w:pPr>
            <w:r>
              <w:rPr>
                <w:rFonts w:hAnsi="宋体"/>
                <w:sz w:val="24"/>
              </w:rPr>
              <w:t>根据以上预测模式计算，</w:t>
            </w:r>
            <w:r>
              <w:rPr>
                <w:rFonts w:hint="eastAsia" w:hAnsi="宋体"/>
                <w:sz w:val="24"/>
              </w:rPr>
              <w:t>项目各预测点</w:t>
            </w:r>
            <w:r>
              <w:rPr>
                <w:rFonts w:hAnsi="宋体"/>
                <w:sz w:val="24"/>
              </w:rPr>
              <w:t>噪声</w:t>
            </w:r>
            <w:r>
              <w:rPr>
                <w:rFonts w:hint="eastAsia" w:hAnsi="宋体"/>
                <w:sz w:val="24"/>
              </w:rPr>
              <w:t>贡献值如下表所示，经与现状噪声叠加后噪声见下表。</w:t>
            </w:r>
          </w:p>
          <w:p>
            <w:pPr>
              <w:spacing w:line="360" w:lineRule="auto"/>
              <w:jc w:val="center"/>
              <w:rPr>
                <w:rFonts w:hAnsi="宋体"/>
                <w:b/>
                <w:sz w:val="24"/>
              </w:rPr>
            </w:pPr>
            <w:r>
              <w:rPr>
                <w:rFonts w:hint="eastAsia" w:hAnsi="宋体"/>
                <w:b/>
                <w:sz w:val="24"/>
              </w:rPr>
              <w:t>表7-</w:t>
            </w:r>
            <w:r>
              <w:rPr>
                <w:rFonts w:hint="eastAsia" w:hAnsi="宋体"/>
                <w:b/>
                <w:sz w:val="24"/>
                <w:lang w:val="en-US" w:eastAsia="zh-CN"/>
              </w:rPr>
              <w:t>8</w:t>
            </w:r>
            <w:r>
              <w:rPr>
                <w:rFonts w:hint="eastAsia" w:hAnsi="宋体"/>
                <w:b/>
                <w:sz w:val="24"/>
              </w:rPr>
              <w:t xml:space="preserve">  项目厂界噪声预测值    单位：</w:t>
            </w:r>
            <w:r>
              <w:rPr>
                <w:b/>
                <w:sz w:val="24"/>
              </w:rPr>
              <w:t>dB（A）</w:t>
            </w:r>
          </w:p>
          <w:tbl>
            <w:tblPr>
              <w:tblStyle w:val="28"/>
              <w:tblW w:w="84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19"/>
              <w:gridCol w:w="1687"/>
              <w:gridCol w:w="1651"/>
              <w:gridCol w:w="1368"/>
              <w:gridCol w:w="13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2419" w:type="dxa"/>
                  <w:vAlign w:val="center"/>
                </w:tcPr>
                <w:p>
                  <w:pPr>
                    <w:jc w:val="center"/>
                    <w:rPr>
                      <w:rFonts w:hAnsi="宋体"/>
                      <w:szCs w:val="21"/>
                    </w:rPr>
                  </w:pPr>
                  <w:r>
                    <w:rPr>
                      <w:rFonts w:hAnsi="宋体"/>
                      <w:szCs w:val="21"/>
                    </w:rPr>
                    <w:t>噪声源与厂界距离</w:t>
                  </w:r>
                </w:p>
              </w:tc>
              <w:tc>
                <w:tcPr>
                  <w:tcW w:w="1687" w:type="dxa"/>
                  <w:vAlign w:val="center"/>
                </w:tcPr>
                <w:p>
                  <w:pPr>
                    <w:jc w:val="center"/>
                    <w:rPr>
                      <w:rFonts w:hAnsi="宋体"/>
                      <w:szCs w:val="21"/>
                    </w:rPr>
                  </w:pPr>
                  <w:r>
                    <w:rPr>
                      <w:rFonts w:hint="eastAsia" w:hAnsi="宋体"/>
                      <w:szCs w:val="21"/>
                    </w:rPr>
                    <w:t>贡献值</w:t>
                  </w:r>
                </w:p>
              </w:tc>
              <w:tc>
                <w:tcPr>
                  <w:tcW w:w="1651" w:type="dxa"/>
                  <w:vAlign w:val="center"/>
                </w:tcPr>
                <w:p>
                  <w:pPr>
                    <w:jc w:val="center"/>
                    <w:rPr>
                      <w:rFonts w:hAnsi="宋体"/>
                      <w:szCs w:val="21"/>
                    </w:rPr>
                  </w:pPr>
                  <w:r>
                    <w:rPr>
                      <w:rFonts w:hint="eastAsia" w:hAnsi="宋体"/>
                      <w:szCs w:val="21"/>
                    </w:rPr>
                    <w:t>昼间预测</w:t>
                  </w:r>
                  <w:r>
                    <w:rPr>
                      <w:rFonts w:hAnsi="宋体"/>
                      <w:szCs w:val="21"/>
                    </w:rPr>
                    <w:t>值</w:t>
                  </w:r>
                </w:p>
              </w:tc>
              <w:tc>
                <w:tcPr>
                  <w:tcW w:w="1368" w:type="dxa"/>
                  <w:vAlign w:val="center"/>
                </w:tcPr>
                <w:p>
                  <w:pPr>
                    <w:jc w:val="center"/>
                    <w:rPr>
                      <w:rFonts w:hAnsi="宋体"/>
                      <w:szCs w:val="21"/>
                    </w:rPr>
                  </w:pPr>
                  <w:r>
                    <w:rPr>
                      <w:rFonts w:hint="eastAsia" w:hAnsi="宋体"/>
                      <w:szCs w:val="21"/>
                    </w:rPr>
                    <w:t>夜间</w:t>
                  </w:r>
                  <w:r>
                    <w:rPr>
                      <w:rFonts w:hAnsi="宋体"/>
                      <w:szCs w:val="21"/>
                    </w:rPr>
                    <w:t>预测值</w:t>
                  </w:r>
                </w:p>
              </w:tc>
              <w:tc>
                <w:tcPr>
                  <w:tcW w:w="1365" w:type="dxa"/>
                  <w:vAlign w:val="center"/>
                </w:tcPr>
                <w:p>
                  <w:pPr>
                    <w:jc w:val="center"/>
                    <w:rPr>
                      <w:rFonts w:hAnsi="宋体"/>
                      <w:szCs w:val="21"/>
                    </w:rPr>
                  </w:pPr>
                  <w:r>
                    <w:rPr>
                      <w:rFonts w:hint="eastAsia" w:hAnsi="宋体"/>
                      <w:szCs w:val="21"/>
                    </w:rPr>
                    <w:t xml:space="preserve">达标与否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2419" w:type="dxa"/>
                  <w:vAlign w:val="center"/>
                </w:tcPr>
                <w:p>
                  <w:pPr>
                    <w:jc w:val="center"/>
                    <w:rPr>
                      <w:rFonts w:hAnsi="宋体"/>
                      <w:szCs w:val="21"/>
                    </w:rPr>
                  </w:pPr>
                  <w:r>
                    <w:rPr>
                      <w:rFonts w:hint="eastAsia" w:hAnsi="宋体"/>
                      <w:szCs w:val="21"/>
                    </w:rPr>
                    <w:t>东厂界</w:t>
                  </w:r>
                </w:p>
              </w:tc>
              <w:tc>
                <w:tcPr>
                  <w:tcW w:w="1687" w:type="dxa"/>
                  <w:vAlign w:val="center"/>
                </w:tcPr>
                <w:p>
                  <w:pPr>
                    <w:jc w:val="center"/>
                    <w:rPr>
                      <w:rFonts w:hAnsi="宋体"/>
                      <w:szCs w:val="21"/>
                    </w:rPr>
                  </w:pPr>
                  <w:r>
                    <w:rPr>
                      <w:rFonts w:hint="eastAsia" w:hAnsi="宋体"/>
                      <w:szCs w:val="21"/>
                    </w:rPr>
                    <w:t>36.82</w:t>
                  </w:r>
                </w:p>
              </w:tc>
              <w:tc>
                <w:tcPr>
                  <w:tcW w:w="1651" w:type="dxa"/>
                  <w:vAlign w:val="center"/>
                </w:tcPr>
                <w:p>
                  <w:pPr>
                    <w:jc w:val="center"/>
                    <w:rPr>
                      <w:rFonts w:hAnsi="宋体"/>
                      <w:szCs w:val="21"/>
                    </w:rPr>
                  </w:pPr>
                  <w:r>
                    <w:rPr>
                      <w:rFonts w:hint="eastAsia" w:hAnsi="宋体"/>
                      <w:szCs w:val="21"/>
                    </w:rPr>
                    <w:t>/</w:t>
                  </w:r>
                </w:p>
              </w:tc>
              <w:tc>
                <w:tcPr>
                  <w:tcW w:w="1368" w:type="dxa"/>
                  <w:vAlign w:val="center"/>
                </w:tcPr>
                <w:p>
                  <w:pPr>
                    <w:jc w:val="center"/>
                    <w:rPr>
                      <w:rFonts w:hAnsi="宋体"/>
                      <w:szCs w:val="21"/>
                    </w:rPr>
                  </w:pPr>
                  <w:r>
                    <w:rPr>
                      <w:rFonts w:hint="eastAsia" w:hAnsi="宋体"/>
                      <w:szCs w:val="21"/>
                    </w:rPr>
                    <w:t>/</w:t>
                  </w:r>
                </w:p>
              </w:tc>
              <w:tc>
                <w:tcPr>
                  <w:tcW w:w="1365" w:type="dxa"/>
                  <w:vAlign w:val="center"/>
                </w:tcPr>
                <w:p>
                  <w:pPr>
                    <w:jc w:val="center"/>
                    <w:rPr>
                      <w:szCs w:val="21"/>
                    </w:rPr>
                  </w:pPr>
                  <w:r>
                    <w:rPr>
                      <w:rFonts w:hint="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2419" w:type="dxa"/>
                  <w:vAlign w:val="center"/>
                </w:tcPr>
                <w:p>
                  <w:pPr>
                    <w:jc w:val="center"/>
                    <w:rPr>
                      <w:rFonts w:hAnsi="宋体"/>
                      <w:szCs w:val="21"/>
                    </w:rPr>
                  </w:pPr>
                  <w:r>
                    <w:rPr>
                      <w:rFonts w:hint="eastAsia" w:hAnsi="宋体"/>
                      <w:szCs w:val="21"/>
                    </w:rPr>
                    <w:t>南厂界</w:t>
                  </w:r>
                </w:p>
              </w:tc>
              <w:tc>
                <w:tcPr>
                  <w:tcW w:w="1687" w:type="dxa"/>
                  <w:vAlign w:val="center"/>
                </w:tcPr>
                <w:p>
                  <w:pPr>
                    <w:jc w:val="center"/>
                    <w:rPr>
                      <w:rFonts w:hAnsi="宋体"/>
                      <w:szCs w:val="21"/>
                    </w:rPr>
                  </w:pPr>
                  <w:r>
                    <w:rPr>
                      <w:rFonts w:hint="eastAsia" w:hAnsi="宋体"/>
                      <w:szCs w:val="21"/>
                    </w:rPr>
                    <w:t>30.80</w:t>
                  </w:r>
                </w:p>
              </w:tc>
              <w:tc>
                <w:tcPr>
                  <w:tcW w:w="1651" w:type="dxa"/>
                  <w:vAlign w:val="center"/>
                </w:tcPr>
                <w:p>
                  <w:pPr>
                    <w:jc w:val="center"/>
                    <w:rPr>
                      <w:rFonts w:hAnsi="宋体"/>
                      <w:szCs w:val="21"/>
                    </w:rPr>
                  </w:pPr>
                  <w:r>
                    <w:rPr>
                      <w:rFonts w:hint="eastAsia" w:hAnsi="宋体"/>
                      <w:szCs w:val="21"/>
                    </w:rPr>
                    <w:t>/</w:t>
                  </w:r>
                </w:p>
              </w:tc>
              <w:tc>
                <w:tcPr>
                  <w:tcW w:w="1368" w:type="dxa"/>
                  <w:vAlign w:val="center"/>
                </w:tcPr>
                <w:p>
                  <w:pPr>
                    <w:jc w:val="center"/>
                    <w:rPr>
                      <w:rFonts w:hAnsi="宋体"/>
                      <w:szCs w:val="21"/>
                    </w:rPr>
                  </w:pPr>
                  <w:r>
                    <w:rPr>
                      <w:rFonts w:hint="eastAsia" w:hAnsi="宋体"/>
                      <w:szCs w:val="21"/>
                    </w:rPr>
                    <w:t>/</w:t>
                  </w:r>
                </w:p>
              </w:tc>
              <w:tc>
                <w:tcPr>
                  <w:tcW w:w="1365" w:type="dxa"/>
                  <w:vAlign w:val="center"/>
                </w:tcPr>
                <w:p>
                  <w:pPr>
                    <w:jc w:val="center"/>
                    <w:rPr>
                      <w:szCs w:val="21"/>
                    </w:rPr>
                  </w:pPr>
                  <w:r>
                    <w:rPr>
                      <w:rFonts w:hint="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2419" w:type="dxa"/>
                  <w:vAlign w:val="center"/>
                </w:tcPr>
                <w:p>
                  <w:pPr>
                    <w:jc w:val="center"/>
                    <w:rPr>
                      <w:rFonts w:hAnsi="宋体"/>
                      <w:szCs w:val="21"/>
                    </w:rPr>
                  </w:pPr>
                  <w:r>
                    <w:rPr>
                      <w:rFonts w:hint="eastAsia" w:hAnsi="宋体"/>
                      <w:szCs w:val="21"/>
                    </w:rPr>
                    <w:t>西</w:t>
                  </w:r>
                  <w:r>
                    <w:rPr>
                      <w:rFonts w:hAnsi="宋体"/>
                      <w:szCs w:val="21"/>
                    </w:rPr>
                    <w:t>厂界</w:t>
                  </w:r>
                </w:p>
              </w:tc>
              <w:tc>
                <w:tcPr>
                  <w:tcW w:w="1687" w:type="dxa"/>
                  <w:vAlign w:val="center"/>
                </w:tcPr>
                <w:p>
                  <w:pPr>
                    <w:jc w:val="center"/>
                    <w:rPr>
                      <w:rFonts w:hAnsi="宋体"/>
                      <w:szCs w:val="21"/>
                    </w:rPr>
                  </w:pPr>
                  <w:r>
                    <w:rPr>
                      <w:rFonts w:hint="eastAsia" w:hAnsi="宋体"/>
                      <w:szCs w:val="21"/>
                    </w:rPr>
                    <w:t>56.82</w:t>
                  </w:r>
                </w:p>
              </w:tc>
              <w:tc>
                <w:tcPr>
                  <w:tcW w:w="1651" w:type="dxa"/>
                  <w:vAlign w:val="center"/>
                </w:tcPr>
                <w:p>
                  <w:pPr>
                    <w:jc w:val="center"/>
                    <w:rPr>
                      <w:rFonts w:hAnsi="宋体"/>
                      <w:szCs w:val="21"/>
                    </w:rPr>
                  </w:pPr>
                  <w:r>
                    <w:rPr>
                      <w:rFonts w:hint="eastAsia" w:hAnsi="宋体"/>
                      <w:szCs w:val="21"/>
                    </w:rPr>
                    <w:t>/</w:t>
                  </w:r>
                </w:p>
              </w:tc>
              <w:tc>
                <w:tcPr>
                  <w:tcW w:w="1368" w:type="dxa"/>
                  <w:vAlign w:val="center"/>
                </w:tcPr>
                <w:p>
                  <w:pPr>
                    <w:jc w:val="center"/>
                    <w:rPr>
                      <w:rFonts w:hAnsi="宋体"/>
                      <w:szCs w:val="21"/>
                    </w:rPr>
                  </w:pPr>
                  <w:r>
                    <w:rPr>
                      <w:rFonts w:hint="eastAsia" w:hAnsi="宋体"/>
                      <w:szCs w:val="21"/>
                    </w:rPr>
                    <w:t>/</w:t>
                  </w:r>
                </w:p>
              </w:tc>
              <w:tc>
                <w:tcPr>
                  <w:tcW w:w="1365" w:type="dxa"/>
                  <w:vAlign w:val="center"/>
                </w:tcPr>
                <w:p>
                  <w:pPr>
                    <w:jc w:val="center"/>
                    <w:rPr>
                      <w:szCs w:val="21"/>
                    </w:rPr>
                  </w:pPr>
                  <w:r>
                    <w:rPr>
                      <w:rFonts w:hint="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2419" w:type="dxa"/>
                  <w:vAlign w:val="center"/>
                </w:tcPr>
                <w:p>
                  <w:pPr>
                    <w:jc w:val="center"/>
                    <w:rPr>
                      <w:rFonts w:hAnsi="宋体"/>
                      <w:szCs w:val="21"/>
                    </w:rPr>
                  </w:pPr>
                  <w:r>
                    <w:rPr>
                      <w:rFonts w:hint="eastAsia" w:hAnsi="宋体"/>
                      <w:szCs w:val="21"/>
                    </w:rPr>
                    <w:t>北厂界</w:t>
                  </w:r>
                </w:p>
              </w:tc>
              <w:tc>
                <w:tcPr>
                  <w:tcW w:w="1687" w:type="dxa"/>
                  <w:vAlign w:val="center"/>
                </w:tcPr>
                <w:p>
                  <w:pPr>
                    <w:jc w:val="center"/>
                    <w:rPr>
                      <w:rFonts w:hAnsi="宋体"/>
                      <w:szCs w:val="21"/>
                    </w:rPr>
                  </w:pPr>
                  <w:r>
                    <w:rPr>
                      <w:rFonts w:hint="eastAsia" w:hAnsi="宋体"/>
                      <w:szCs w:val="21"/>
                    </w:rPr>
                    <w:t>52.34</w:t>
                  </w:r>
                </w:p>
              </w:tc>
              <w:tc>
                <w:tcPr>
                  <w:tcW w:w="1651" w:type="dxa"/>
                  <w:vAlign w:val="center"/>
                </w:tcPr>
                <w:p>
                  <w:pPr>
                    <w:jc w:val="center"/>
                    <w:rPr>
                      <w:rFonts w:hAnsi="宋体"/>
                      <w:szCs w:val="21"/>
                    </w:rPr>
                  </w:pPr>
                  <w:r>
                    <w:rPr>
                      <w:rFonts w:hint="eastAsia" w:hAnsi="宋体"/>
                      <w:szCs w:val="21"/>
                    </w:rPr>
                    <w:t>/</w:t>
                  </w:r>
                </w:p>
              </w:tc>
              <w:tc>
                <w:tcPr>
                  <w:tcW w:w="1368" w:type="dxa"/>
                  <w:vAlign w:val="center"/>
                </w:tcPr>
                <w:p>
                  <w:pPr>
                    <w:jc w:val="center"/>
                    <w:rPr>
                      <w:rFonts w:hAnsi="宋体"/>
                      <w:szCs w:val="21"/>
                    </w:rPr>
                  </w:pPr>
                  <w:r>
                    <w:rPr>
                      <w:rFonts w:hint="eastAsia" w:hAnsi="宋体"/>
                      <w:szCs w:val="21"/>
                    </w:rPr>
                    <w:t>/</w:t>
                  </w:r>
                </w:p>
              </w:tc>
              <w:tc>
                <w:tcPr>
                  <w:tcW w:w="1365" w:type="dxa"/>
                  <w:vAlign w:val="center"/>
                </w:tcPr>
                <w:p>
                  <w:pPr>
                    <w:jc w:val="center"/>
                    <w:rPr>
                      <w:szCs w:val="21"/>
                    </w:rPr>
                  </w:pPr>
                  <w:r>
                    <w:rPr>
                      <w:rFonts w:hint="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2419" w:type="dxa"/>
                  <w:vAlign w:val="center"/>
                </w:tcPr>
                <w:p>
                  <w:pPr>
                    <w:jc w:val="center"/>
                    <w:rPr>
                      <w:rFonts w:hAnsi="宋体"/>
                      <w:szCs w:val="21"/>
                    </w:rPr>
                  </w:pPr>
                  <w:r>
                    <w:rPr>
                      <w:rFonts w:hint="eastAsia" w:hAnsi="宋体"/>
                      <w:szCs w:val="21"/>
                    </w:rPr>
                    <w:t>项目南侧紧邻厂界居民处</w:t>
                  </w:r>
                </w:p>
              </w:tc>
              <w:tc>
                <w:tcPr>
                  <w:tcW w:w="1687" w:type="dxa"/>
                  <w:vAlign w:val="center"/>
                </w:tcPr>
                <w:p>
                  <w:pPr>
                    <w:jc w:val="center"/>
                    <w:rPr>
                      <w:rFonts w:hAnsi="宋体"/>
                      <w:szCs w:val="21"/>
                    </w:rPr>
                  </w:pPr>
                  <w:r>
                    <w:rPr>
                      <w:rFonts w:hint="eastAsia" w:hAnsi="宋体"/>
                      <w:szCs w:val="21"/>
                    </w:rPr>
                    <w:t>30.65</w:t>
                  </w:r>
                </w:p>
              </w:tc>
              <w:tc>
                <w:tcPr>
                  <w:tcW w:w="1651" w:type="dxa"/>
                  <w:vAlign w:val="center"/>
                </w:tcPr>
                <w:p>
                  <w:pPr>
                    <w:jc w:val="center"/>
                    <w:rPr>
                      <w:rFonts w:hAnsi="宋体"/>
                      <w:szCs w:val="21"/>
                    </w:rPr>
                  </w:pPr>
                  <w:r>
                    <w:rPr>
                      <w:rFonts w:hint="eastAsia" w:hAnsi="宋体"/>
                      <w:szCs w:val="21"/>
                    </w:rPr>
                    <w:t>54.22</w:t>
                  </w:r>
                </w:p>
              </w:tc>
              <w:tc>
                <w:tcPr>
                  <w:tcW w:w="1368" w:type="dxa"/>
                  <w:vAlign w:val="center"/>
                </w:tcPr>
                <w:p>
                  <w:pPr>
                    <w:jc w:val="center"/>
                    <w:rPr>
                      <w:rFonts w:hint="default" w:hAnsi="宋体" w:eastAsia="宋体"/>
                      <w:szCs w:val="21"/>
                      <w:lang w:val="en-US" w:eastAsia="zh-CN"/>
                    </w:rPr>
                  </w:pPr>
                  <w:r>
                    <w:rPr>
                      <w:rFonts w:hint="eastAsia" w:hAnsi="宋体"/>
                      <w:szCs w:val="21"/>
                      <w:lang w:val="en-US" w:eastAsia="zh-CN"/>
                    </w:rPr>
                    <w:t>/</w:t>
                  </w:r>
                </w:p>
              </w:tc>
              <w:tc>
                <w:tcPr>
                  <w:tcW w:w="1365" w:type="dxa"/>
                  <w:vAlign w:val="center"/>
                </w:tcPr>
                <w:p>
                  <w:pPr>
                    <w:jc w:val="center"/>
                    <w:rPr>
                      <w:szCs w:val="21"/>
                    </w:rPr>
                  </w:pPr>
                  <w:r>
                    <w:rPr>
                      <w:rFonts w:hint="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19" w:type="dxa"/>
                  <w:vAlign w:val="center"/>
                </w:tcPr>
                <w:p>
                  <w:pPr>
                    <w:jc w:val="center"/>
                    <w:rPr>
                      <w:rFonts w:hAnsi="宋体"/>
                      <w:szCs w:val="21"/>
                    </w:rPr>
                  </w:pPr>
                  <w:r>
                    <w:rPr>
                      <w:rFonts w:hint="eastAsia" w:hAnsi="宋体"/>
                      <w:szCs w:val="21"/>
                    </w:rPr>
                    <w:t>项目东侧</w:t>
                  </w:r>
                  <w:r>
                    <w:rPr>
                      <w:rFonts w:hint="eastAsia" w:hAnsi="宋体"/>
                      <w:szCs w:val="21"/>
                      <w:lang w:val="en-US" w:eastAsia="zh-CN"/>
                    </w:rPr>
                    <w:t>28m</w:t>
                  </w:r>
                  <w:r>
                    <w:rPr>
                      <w:rFonts w:hint="eastAsia" w:hAnsi="宋体"/>
                      <w:szCs w:val="21"/>
                    </w:rPr>
                    <w:t>居民处</w:t>
                  </w:r>
                </w:p>
              </w:tc>
              <w:tc>
                <w:tcPr>
                  <w:tcW w:w="1687" w:type="dxa"/>
                  <w:vAlign w:val="center"/>
                </w:tcPr>
                <w:p>
                  <w:pPr>
                    <w:jc w:val="center"/>
                    <w:rPr>
                      <w:rFonts w:hint="default" w:hAnsi="宋体" w:eastAsia="宋体"/>
                      <w:color w:val="auto"/>
                      <w:szCs w:val="21"/>
                      <w:lang w:val="en-US" w:eastAsia="zh-CN"/>
                    </w:rPr>
                  </w:pPr>
                  <w:r>
                    <w:rPr>
                      <w:rFonts w:hint="eastAsia" w:hAnsi="宋体"/>
                      <w:color w:val="auto"/>
                      <w:szCs w:val="21"/>
                    </w:rPr>
                    <w:t>3</w:t>
                  </w:r>
                  <w:r>
                    <w:rPr>
                      <w:rFonts w:hint="eastAsia" w:hAnsi="宋体"/>
                      <w:color w:val="auto"/>
                      <w:szCs w:val="21"/>
                      <w:lang w:val="en-US" w:eastAsia="zh-CN"/>
                    </w:rPr>
                    <w:t>1.09</w:t>
                  </w:r>
                </w:p>
              </w:tc>
              <w:tc>
                <w:tcPr>
                  <w:tcW w:w="1651" w:type="dxa"/>
                  <w:vAlign w:val="center"/>
                </w:tcPr>
                <w:p>
                  <w:pPr>
                    <w:jc w:val="center"/>
                    <w:rPr>
                      <w:rFonts w:hint="default" w:hAnsi="宋体" w:eastAsia="宋体"/>
                      <w:color w:val="auto"/>
                      <w:szCs w:val="21"/>
                      <w:lang w:val="en-US" w:eastAsia="zh-CN"/>
                    </w:rPr>
                  </w:pPr>
                  <w:r>
                    <w:rPr>
                      <w:rFonts w:hint="eastAsia" w:hAnsi="宋体"/>
                      <w:color w:val="auto"/>
                      <w:szCs w:val="21"/>
                      <w:lang w:val="en-US" w:eastAsia="zh-CN"/>
                    </w:rPr>
                    <w:t>53.03</w:t>
                  </w:r>
                </w:p>
              </w:tc>
              <w:tc>
                <w:tcPr>
                  <w:tcW w:w="1368" w:type="dxa"/>
                  <w:vAlign w:val="center"/>
                </w:tcPr>
                <w:p>
                  <w:pPr>
                    <w:jc w:val="center"/>
                    <w:rPr>
                      <w:rFonts w:hint="eastAsia" w:hAnsi="宋体" w:eastAsia="宋体"/>
                      <w:szCs w:val="21"/>
                      <w:lang w:eastAsia="zh-CN"/>
                    </w:rPr>
                  </w:pPr>
                  <w:r>
                    <w:rPr>
                      <w:rFonts w:hint="eastAsia" w:hAnsi="宋体"/>
                      <w:color w:val="auto"/>
                      <w:szCs w:val="21"/>
                      <w:lang w:val="en-US" w:eastAsia="zh-CN"/>
                    </w:rPr>
                    <w:t>/</w:t>
                  </w:r>
                </w:p>
              </w:tc>
              <w:tc>
                <w:tcPr>
                  <w:tcW w:w="1365" w:type="dxa"/>
                  <w:vAlign w:val="center"/>
                </w:tcPr>
                <w:p>
                  <w:pPr>
                    <w:jc w:val="center"/>
                    <w:rPr>
                      <w:szCs w:val="21"/>
                    </w:rPr>
                  </w:pPr>
                  <w:r>
                    <w:rPr>
                      <w:rFonts w:hint="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2419" w:type="dxa"/>
                  <w:vAlign w:val="center"/>
                </w:tcPr>
                <w:p>
                  <w:pPr>
                    <w:jc w:val="center"/>
                    <w:rPr>
                      <w:rFonts w:hAnsi="宋体"/>
                      <w:szCs w:val="21"/>
                    </w:rPr>
                  </w:pPr>
                  <w:r>
                    <w:rPr>
                      <w:rFonts w:hint="eastAsia" w:hAnsi="宋体"/>
                      <w:szCs w:val="21"/>
                    </w:rPr>
                    <w:t>项目北侧95m居民处</w:t>
                  </w:r>
                </w:p>
              </w:tc>
              <w:tc>
                <w:tcPr>
                  <w:tcW w:w="1687" w:type="dxa"/>
                  <w:vAlign w:val="center"/>
                </w:tcPr>
                <w:p>
                  <w:pPr>
                    <w:jc w:val="center"/>
                    <w:rPr>
                      <w:rFonts w:hAnsi="宋体"/>
                      <w:szCs w:val="21"/>
                    </w:rPr>
                  </w:pPr>
                  <w:r>
                    <w:rPr>
                      <w:rFonts w:hint="eastAsia" w:hAnsi="宋体"/>
                      <w:szCs w:val="21"/>
                    </w:rPr>
                    <w:t>26.36</w:t>
                  </w:r>
                </w:p>
              </w:tc>
              <w:tc>
                <w:tcPr>
                  <w:tcW w:w="1651" w:type="dxa"/>
                  <w:vAlign w:val="center"/>
                </w:tcPr>
                <w:p>
                  <w:pPr>
                    <w:jc w:val="center"/>
                    <w:rPr>
                      <w:rFonts w:hAnsi="宋体"/>
                      <w:szCs w:val="21"/>
                    </w:rPr>
                  </w:pPr>
                  <w:r>
                    <w:rPr>
                      <w:rFonts w:hint="eastAsia" w:hAnsi="宋体"/>
                      <w:szCs w:val="21"/>
                    </w:rPr>
                    <w:t>54.41</w:t>
                  </w:r>
                </w:p>
              </w:tc>
              <w:tc>
                <w:tcPr>
                  <w:tcW w:w="1368" w:type="dxa"/>
                  <w:vAlign w:val="center"/>
                </w:tcPr>
                <w:p>
                  <w:pPr>
                    <w:jc w:val="center"/>
                    <w:rPr>
                      <w:rFonts w:hint="eastAsia" w:hAnsi="宋体" w:eastAsia="宋体"/>
                      <w:szCs w:val="21"/>
                      <w:lang w:eastAsia="zh-CN"/>
                    </w:rPr>
                  </w:pPr>
                  <w:r>
                    <w:rPr>
                      <w:rFonts w:hint="eastAsia" w:hAnsi="宋体"/>
                      <w:szCs w:val="21"/>
                      <w:lang w:val="en-US" w:eastAsia="zh-CN"/>
                    </w:rPr>
                    <w:t>/</w:t>
                  </w:r>
                </w:p>
              </w:tc>
              <w:tc>
                <w:tcPr>
                  <w:tcW w:w="1365" w:type="dxa"/>
                  <w:vAlign w:val="center"/>
                </w:tcPr>
                <w:p>
                  <w:pPr>
                    <w:jc w:val="center"/>
                    <w:rPr>
                      <w:szCs w:val="21"/>
                    </w:rPr>
                  </w:pPr>
                  <w:r>
                    <w:rPr>
                      <w:rFonts w:hint="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2419" w:type="dxa"/>
                  <w:vAlign w:val="center"/>
                </w:tcPr>
                <w:p>
                  <w:pPr>
                    <w:jc w:val="center"/>
                    <w:rPr>
                      <w:szCs w:val="21"/>
                    </w:rPr>
                  </w:pPr>
                  <w:r>
                    <w:rPr>
                      <w:rFonts w:hAnsi="宋体"/>
                      <w:szCs w:val="21"/>
                    </w:rPr>
                    <w:t>评价标准（</w:t>
                  </w:r>
                  <w:r>
                    <w:rPr>
                      <w:rFonts w:hint="eastAsia"/>
                      <w:szCs w:val="21"/>
                    </w:rPr>
                    <w:t>2</w:t>
                  </w:r>
                  <w:r>
                    <w:rPr>
                      <w:rFonts w:hAnsi="宋体"/>
                      <w:szCs w:val="21"/>
                    </w:rPr>
                    <w:t>类）</w:t>
                  </w:r>
                </w:p>
              </w:tc>
              <w:tc>
                <w:tcPr>
                  <w:tcW w:w="6071" w:type="dxa"/>
                  <w:gridSpan w:val="4"/>
                  <w:vAlign w:val="center"/>
                </w:tcPr>
                <w:p>
                  <w:pPr>
                    <w:jc w:val="center"/>
                    <w:rPr>
                      <w:rFonts w:hAnsi="宋体"/>
                      <w:szCs w:val="21"/>
                    </w:rPr>
                  </w:pPr>
                  <w:r>
                    <w:rPr>
                      <w:rFonts w:hAnsi="宋体"/>
                      <w:szCs w:val="21"/>
                    </w:rPr>
                    <w:t>昼间</w:t>
                  </w:r>
                  <w:r>
                    <w:rPr>
                      <w:szCs w:val="21"/>
                    </w:rPr>
                    <w:t>6</w:t>
                  </w:r>
                  <w:r>
                    <w:rPr>
                      <w:rFonts w:hint="eastAsia"/>
                      <w:szCs w:val="21"/>
                    </w:rPr>
                    <w:t>0</w:t>
                  </w:r>
                  <w:r>
                    <w:rPr>
                      <w:szCs w:val="21"/>
                    </w:rPr>
                    <w:t xml:space="preserve"> dB</w:t>
                  </w:r>
                  <w:r>
                    <w:rPr>
                      <w:rFonts w:hAnsi="宋体"/>
                      <w:szCs w:val="21"/>
                    </w:rPr>
                    <w:t>（</w:t>
                  </w:r>
                  <w:r>
                    <w:rPr>
                      <w:szCs w:val="21"/>
                    </w:rPr>
                    <w:t>A</w:t>
                  </w:r>
                  <w:r>
                    <w:rPr>
                      <w:rFonts w:hAnsi="宋体"/>
                      <w:szCs w:val="21"/>
                    </w:rPr>
                    <w:t>）；夜间</w:t>
                  </w:r>
                  <w:r>
                    <w:rPr>
                      <w:szCs w:val="21"/>
                    </w:rPr>
                    <w:t>5</w:t>
                  </w:r>
                  <w:r>
                    <w:rPr>
                      <w:rFonts w:hint="eastAsia"/>
                      <w:szCs w:val="21"/>
                    </w:rPr>
                    <w:t>0</w:t>
                  </w:r>
                  <w:r>
                    <w:rPr>
                      <w:szCs w:val="21"/>
                    </w:rPr>
                    <w:t xml:space="preserve"> dB</w:t>
                  </w:r>
                  <w:r>
                    <w:rPr>
                      <w:rFonts w:hAnsi="宋体"/>
                      <w:szCs w:val="21"/>
                    </w:rPr>
                    <w:t>（</w:t>
                  </w:r>
                  <w:r>
                    <w:rPr>
                      <w:szCs w:val="21"/>
                    </w:rPr>
                    <w:t>A</w:t>
                  </w:r>
                  <w:r>
                    <w:rPr>
                      <w:rFonts w:hAnsi="宋体"/>
                      <w:szCs w:val="21"/>
                    </w:rPr>
                    <w:t>）</w:t>
                  </w:r>
                </w:p>
              </w:tc>
            </w:tr>
          </w:tbl>
          <w:p>
            <w:pPr>
              <w:spacing w:line="360" w:lineRule="auto"/>
              <w:ind w:firstLine="480" w:firstLineChars="200"/>
              <w:rPr>
                <w:rFonts w:hAnsi="宋体"/>
                <w:sz w:val="24"/>
              </w:rPr>
            </w:pPr>
            <w:r>
              <w:rPr>
                <w:rFonts w:hint="eastAsia" w:hAnsi="宋体"/>
                <w:sz w:val="24"/>
              </w:rPr>
              <w:t>由上表可知，项目在采取消声、减振措施后，项目对周边环境昼间的贡献值</w:t>
            </w:r>
            <w:r>
              <w:rPr>
                <w:rFonts w:hAnsi="宋体"/>
                <w:sz w:val="24"/>
              </w:rPr>
              <w:t>为</w:t>
            </w:r>
            <w:r>
              <w:rPr>
                <w:rFonts w:hint="eastAsia"/>
                <w:sz w:val="24"/>
              </w:rPr>
              <w:t>30.80-~56.82</w:t>
            </w:r>
            <w:r>
              <w:rPr>
                <w:sz w:val="24"/>
              </w:rPr>
              <w:t>dB(A)</w:t>
            </w:r>
            <w:r>
              <w:rPr>
                <w:rFonts w:hint="eastAsia" w:hAnsi="宋体"/>
                <w:sz w:val="24"/>
              </w:rPr>
              <w:t>，厂界四周达到了</w:t>
            </w:r>
            <w:r>
              <w:rPr>
                <w:rFonts w:hAnsi="宋体"/>
                <w:sz w:val="24"/>
              </w:rPr>
              <w:t>《工业企业厂界环境噪声排放标准》（</w:t>
            </w:r>
            <w:r>
              <w:rPr>
                <w:sz w:val="24"/>
              </w:rPr>
              <w:t>GB12348-2008</w:t>
            </w:r>
            <w:r>
              <w:rPr>
                <w:rFonts w:hAnsi="宋体"/>
                <w:sz w:val="24"/>
              </w:rPr>
              <w:t>）中</w:t>
            </w:r>
            <w:r>
              <w:rPr>
                <w:rFonts w:hint="eastAsia" w:hAnsi="宋体"/>
                <w:sz w:val="24"/>
              </w:rPr>
              <w:t>2</w:t>
            </w:r>
            <w:r>
              <w:rPr>
                <w:rFonts w:hAnsi="宋体"/>
                <w:sz w:val="24"/>
              </w:rPr>
              <w:t>类</w:t>
            </w:r>
            <w:r>
              <w:rPr>
                <w:rFonts w:hint="eastAsia" w:hAnsi="宋体"/>
                <w:sz w:val="24"/>
              </w:rPr>
              <w:t>标准要求，叠加现状值后环境保护目标达到了《声环境质量标准》（GB3096-2008）</w:t>
            </w:r>
            <w:r>
              <w:rPr>
                <w:rFonts w:hint="eastAsia"/>
                <w:sz w:val="24"/>
              </w:rPr>
              <w:t>中2类标准，</w:t>
            </w:r>
            <w:r>
              <w:rPr>
                <w:sz w:val="24"/>
              </w:rPr>
              <w:t>因此，</w:t>
            </w:r>
            <w:r>
              <w:rPr>
                <w:rFonts w:hint="eastAsia"/>
                <w:sz w:val="24"/>
              </w:rPr>
              <w:t>本</w:t>
            </w:r>
            <w:r>
              <w:rPr>
                <w:sz w:val="24"/>
              </w:rPr>
              <w:t>项目</w:t>
            </w:r>
            <w:r>
              <w:rPr>
                <w:rFonts w:hint="eastAsia"/>
                <w:sz w:val="24"/>
              </w:rPr>
              <w:t>产生噪声经有效处理后达标排放具有可靠性，同时</w:t>
            </w:r>
            <w:r>
              <w:rPr>
                <w:sz w:val="24"/>
              </w:rPr>
              <w:t>对周围声环境不会产生明显的影响。</w:t>
            </w:r>
          </w:p>
          <w:p>
            <w:pPr>
              <w:spacing w:line="360" w:lineRule="auto"/>
              <w:ind w:firstLine="470" w:firstLineChars="196"/>
              <w:rPr>
                <w:rFonts w:hAnsi="宋体"/>
                <w:sz w:val="24"/>
              </w:rPr>
            </w:pPr>
            <w:r>
              <w:rPr>
                <w:rFonts w:hint="eastAsia" w:hAnsi="宋体"/>
                <w:sz w:val="24"/>
              </w:rPr>
              <w:t>由上述可知，项目噪声经采取上述措施后，达标排放具有可靠性。</w:t>
            </w:r>
          </w:p>
          <w:p>
            <w:pPr>
              <w:spacing w:line="360" w:lineRule="auto"/>
              <w:ind w:firstLine="480" w:firstLineChars="200"/>
              <w:rPr>
                <w:sz w:val="24"/>
              </w:rPr>
            </w:pPr>
            <w:r>
              <w:rPr>
                <w:rFonts w:hint="eastAsia"/>
                <w:sz w:val="24"/>
              </w:rPr>
              <w:t>本项目机器主要高噪声设备为破碎机、筛分机均位于密闭厂房内，且布置于厂区西侧远离项目北侧</w:t>
            </w:r>
            <w:r>
              <w:rPr>
                <w:rFonts w:hint="eastAsia"/>
                <w:sz w:val="24"/>
                <w:lang w:eastAsia="zh-CN"/>
              </w:rPr>
              <w:t>、东侧及</w:t>
            </w:r>
            <w:r>
              <w:rPr>
                <w:rFonts w:hint="eastAsia"/>
                <w:sz w:val="24"/>
              </w:rPr>
              <w:t>南侧的居民，高噪声设备不多。项目在厂房建筑、绿化设计等方面采取有效措施，以降低噪声的传播和干扰，同时在工厂总体布置上利用建筑物、构筑物来阻隔声波的传播。</w:t>
            </w:r>
          </w:p>
          <w:p>
            <w:pPr>
              <w:spacing w:line="360" w:lineRule="auto"/>
              <w:ind w:firstLine="480" w:firstLineChars="200"/>
              <w:rPr>
                <w:sz w:val="24"/>
              </w:rPr>
            </w:pPr>
            <w:r>
              <w:rPr>
                <w:rFonts w:hint="eastAsia"/>
                <w:sz w:val="24"/>
              </w:rPr>
              <w:t>为使项目噪声对周围环境影响降低，建议采取以下噪声防治措施：</w:t>
            </w:r>
          </w:p>
          <w:p>
            <w:pPr>
              <w:spacing w:line="360" w:lineRule="auto"/>
              <w:ind w:firstLine="480"/>
              <w:rPr>
                <w:sz w:val="24"/>
              </w:rPr>
            </w:pPr>
            <w:r>
              <w:rPr>
                <w:sz w:val="24"/>
              </w:rPr>
              <w:fldChar w:fldCharType="begin"/>
            </w:r>
            <w:r>
              <w:rPr>
                <w:sz w:val="24"/>
              </w:rPr>
              <w:instrText xml:space="preserve"> = 1 \* GB3 </w:instrText>
            </w:r>
            <w:r>
              <w:rPr>
                <w:sz w:val="24"/>
              </w:rPr>
              <w:fldChar w:fldCharType="separate"/>
            </w:r>
            <w:r>
              <w:rPr>
                <w:rFonts w:hint="eastAsia"/>
                <w:sz w:val="24"/>
              </w:rPr>
              <w:t>①</w:t>
            </w:r>
            <w:r>
              <w:rPr>
                <w:sz w:val="24"/>
              </w:rPr>
              <w:fldChar w:fldCharType="end"/>
            </w:r>
            <w:r>
              <w:rPr>
                <w:rFonts w:hint="eastAsia"/>
                <w:sz w:val="24"/>
              </w:rPr>
              <w:t>加强设备日常运行维护及保养，确保运行正常；</w:t>
            </w:r>
          </w:p>
          <w:p>
            <w:pPr>
              <w:spacing w:line="360" w:lineRule="auto"/>
              <w:ind w:firstLine="480"/>
              <w:rPr>
                <w:sz w:val="24"/>
              </w:rPr>
            </w:pPr>
            <w:r>
              <w:rPr>
                <w:rFonts w:hint="eastAsia"/>
                <w:sz w:val="24"/>
              </w:rPr>
              <w:t>②对于传输设备的旋转和传动部分以及接近地面的连轴节，传动轴，皮带轮等均装设防护装置。</w:t>
            </w:r>
          </w:p>
          <w:p>
            <w:pPr>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rFonts w:hint="eastAsia"/>
                <w:sz w:val="24"/>
              </w:rPr>
              <w:t>③</w:t>
            </w:r>
            <w:r>
              <w:rPr>
                <w:sz w:val="24"/>
              </w:rPr>
              <w:fldChar w:fldCharType="end"/>
            </w:r>
            <w:r>
              <w:rPr>
                <w:rFonts w:hint="eastAsia"/>
                <w:sz w:val="24"/>
              </w:rPr>
              <w:t>对强噪声设备在支架下面安装橡胶减震设施，以降低噪声；</w:t>
            </w:r>
          </w:p>
          <w:p>
            <w:pPr>
              <w:spacing w:line="360" w:lineRule="auto"/>
              <w:ind w:firstLine="480"/>
              <w:rPr>
                <w:sz w:val="24"/>
              </w:rPr>
            </w:pPr>
            <w:r>
              <w:rPr>
                <w:sz w:val="24"/>
              </w:rPr>
              <w:fldChar w:fldCharType="begin"/>
            </w:r>
            <w:r>
              <w:rPr>
                <w:sz w:val="24"/>
              </w:rPr>
              <w:instrText xml:space="preserve"> = 4 \* GB3 </w:instrText>
            </w:r>
            <w:r>
              <w:rPr>
                <w:sz w:val="24"/>
              </w:rPr>
              <w:fldChar w:fldCharType="separate"/>
            </w:r>
            <w:r>
              <w:rPr>
                <w:rFonts w:hint="eastAsia"/>
                <w:sz w:val="24"/>
              </w:rPr>
              <w:t>④</w:t>
            </w:r>
            <w:r>
              <w:rPr>
                <w:sz w:val="24"/>
              </w:rPr>
              <w:fldChar w:fldCharType="end"/>
            </w:r>
            <w:r>
              <w:rPr>
                <w:sz w:val="24"/>
              </w:rPr>
              <w:t>加强物料装卸管理，降低物料装卸过程产生的噪声影响，厂区内禁止运输车辆鸣笛。</w:t>
            </w:r>
          </w:p>
          <w:p>
            <w:pPr>
              <w:widowControl/>
              <w:spacing w:line="360" w:lineRule="auto"/>
              <w:ind w:firstLine="480" w:firstLineChars="200"/>
              <w:jc w:val="left"/>
              <w:rPr>
                <w:rFonts w:hAnsi="宋体"/>
                <w:sz w:val="24"/>
              </w:rPr>
            </w:pPr>
            <w:r>
              <w:rPr>
                <w:rFonts w:hint="eastAsia"/>
                <w:sz w:val="24"/>
              </w:rPr>
              <w:t>⑤厂房设计中靠近厂界的墙尽量不设门窗或少设门窗，否则需设隔声门窗</w:t>
            </w:r>
            <w:r>
              <w:rPr>
                <w:rFonts w:hint="eastAsia" w:hAnsi="宋体"/>
                <w:sz w:val="24"/>
              </w:rPr>
              <w:t>，</w:t>
            </w:r>
            <w:r>
              <w:rPr>
                <w:sz w:val="24"/>
              </w:rPr>
              <w:t>做到尽可能屏蔽声源</w:t>
            </w:r>
            <w:r>
              <w:rPr>
                <w:rFonts w:hint="eastAsia"/>
                <w:sz w:val="24"/>
              </w:rPr>
              <w:t>；</w:t>
            </w:r>
            <w:r>
              <w:rPr>
                <w:sz w:val="24"/>
              </w:rPr>
              <w:t>利用墙壁的作用，使噪声受到不同程度的隔绝和吸收，做到尽可能屏蔽声源</w:t>
            </w:r>
            <w:r>
              <w:rPr>
                <w:rFonts w:hAnsi="宋体"/>
                <w:sz w:val="24"/>
              </w:rPr>
              <w:t>，靠厂房的围</w:t>
            </w:r>
            <w:r>
              <w:rPr>
                <w:rFonts w:hint="eastAsia" w:hAnsi="宋体"/>
                <w:sz w:val="24"/>
              </w:rPr>
              <w:t>墙</w:t>
            </w:r>
            <w:r>
              <w:rPr>
                <w:rFonts w:hAnsi="宋体"/>
                <w:sz w:val="24"/>
              </w:rPr>
              <w:t>结构隔声</w:t>
            </w:r>
            <w:r>
              <w:rPr>
                <w:rFonts w:hint="eastAsia" w:hAnsi="宋体"/>
                <w:sz w:val="24"/>
              </w:rPr>
              <w:t>，</w:t>
            </w:r>
            <w:r>
              <w:rPr>
                <w:rFonts w:hAnsi="宋体"/>
                <w:sz w:val="24"/>
              </w:rPr>
              <w:t>该措施可以降低噪声</w:t>
            </w:r>
            <w:r>
              <w:rPr>
                <w:rFonts w:hint="eastAsia"/>
                <w:sz w:val="24"/>
              </w:rPr>
              <w:t>15~20</w:t>
            </w:r>
            <w:r>
              <w:rPr>
                <w:sz w:val="24"/>
              </w:rPr>
              <w:t>dB</w:t>
            </w:r>
            <w:r>
              <w:rPr>
                <w:rFonts w:hint="eastAsia" w:hAnsi="宋体"/>
                <w:sz w:val="24"/>
              </w:rPr>
              <w:t>；</w:t>
            </w:r>
          </w:p>
          <w:p>
            <w:pPr>
              <w:spacing w:line="360" w:lineRule="auto"/>
              <w:ind w:firstLine="480" w:firstLineChars="200"/>
              <w:rPr>
                <w:sz w:val="24"/>
              </w:rPr>
            </w:pPr>
            <w:r>
              <w:rPr>
                <w:rFonts w:hint="eastAsia"/>
                <w:sz w:val="24"/>
              </w:rPr>
              <w:t>因此，本项目经采取以上防治措施后，厂界噪声可满足《工业企业厂界环境噪声排放标准》（</w:t>
            </w:r>
            <w:r>
              <w:rPr>
                <w:sz w:val="24"/>
              </w:rPr>
              <w:t>GB12348-2008</w:t>
            </w:r>
            <w:r>
              <w:rPr>
                <w:rFonts w:hint="eastAsia"/>
                <w:sz w:val="24"/>
              </w:rPr>
              <w:t>）2类标准的要求，对区域声环境影响较小。</w:t>
            </w:r>
          </w:p>
          <w:p>
            <w:pPr>
              <w:spacing w:line="360" w:lineRule="auto"/>
              <w:ind w:firstLine="480" w:firstLineChars="200"/>
              <w:rPr>
                <w:sz w:val="24"/>
              </w:rPr>
            </w:pPr>
            <w:r>
              <w:rPr>
                <w:rFonts w:hint="eastAsia"/>
                <w:sz w:val="24"/>
              </w:rPr>
              <w:t>3.2 交通运输噪声影响</w:t>
            </w:r>
          </w:p>
          <w:p>
            <w:pPr>
              <w:spacing w:line="360" w:lineRule="auto"/>
              <w:ind w:firstLine="480" w:firstLineChars="200"/>
              <w:rPr>
                <w:sz w:val="24"/>
                <w:szCs w:val="22"/>
              </w:rPr>
            </w:pPr>
            <w:r>
              <w:rPr>
                <w:rFonts w:hint="eastAsia"/>
                <w:sz w:val="24"/>
                <w:szCs w:val="22"/>
              </w:rPr>
              <w:t>项目运输路线主要为东侧S203道路，项目运输过程产生的扬尘及交通运输噪声将不可避免地对当地居民产生一定影响。</w:t>
            </w:r>
          </w:p>
          <w:p>
            <w:pPr>
              <w:spacing w:line="360" w:lineRule="auto"/>
              <w:ind w:firstLine="480" w:firstLineChars="200"/>
              <w:rPr>
                <w:sz w:val="24"/>
              </w:rPr>
            </w:pPr>
            <w:r>
              <w:rPr>
                <w:rFonts w:hint="eastAsia"/>
                <w:sz w:val="24"/>
              </w:rPr>
              <w:t>①小时车流量</w:t>
            </w:r>
          </w:p>
          <w:p>
            <w:pPr>
              <w:spacing w:line="360" w:lineRule="auto"/>
              <w:ind w:firstLine="480" w:firstLineChars="200"/>
              <w:rPr>
                <w:sz w:val="24"/>
              </w:rPr>
            </w:pPr>
            <w:r>
              <w:rPr>
                <w:sz w:val="24"/>
              </w:rPr>
              <w:t>本项目交通量</w:t>
            </w:r>
            <w:r>
              <w:rPr>
                <w:rFonts w:hint="eastAsia"/>
                <w:sz w:val="24"/>
              </w:rPr>
              <w:t>根据计算为40000次，项目生产300天，每天12个小时，则为11次/h。均为载重量为30t大货车。</w:t>
            </w:r>
          </w:p>
          <w:p>
            <w:pPr>
              <w:spacing w:line="360" w:lineRule="auto"/>
              <w:ind w:firstLine="480" w:firstLineChars="200"/>
              <w:outlineLvl w:val="3"/>
              <w:rPr>
                <w:sz w:val="24"/>
              </w:rPr>
            </w:pPr>
            <w:r>
              <w:rPr>
                <w:rFonts w:hint="eastAsia"/>
                <w:sz w:val="24"/>
              </w:rPr>
              <w:t>②</w:t>
            </w:r>
            <w:r>
              <w:rPr>
                <w:sz w:val="24"/>
              </w:rPr>
              <w:t xml:space="preserve"> 预测点位分析</w:t>
            </w:r>
          </w:p>
          <w:p>
            <w:pPr>
              <w:spacing w:line="360" w:lineRule="auto"/>
              <w:ind w:firstLine="480" w:firstLineChars="200"/>
              <w:rPr>
                <w:sz w:val="24"/>
                <w:szCs w:val="22"/>
              </w:rPr>
            </w:pPr>
            <w:r>
              <w:rPr>
                <w:snapToGrid w:val="0"/>
                <w:kern w:val="0"/>
                <w:sz w:val="24"/>
              </w:rPr>
              <w:t>根据现场踏勘，</w:t>
            </w:r>
            <w:r>
              <w:rPr>
                <w:rFonts w:hint="eastAsia"/>
                <w:snapToGrid w:val="0"/>
                <w:kern w:val="0"/>
                <w:sz w:val="24"/>
              </w:rPr>
              <w:t>运营期道</w:t>
            </w:r>
            <w:r>
              <w:rPr>
                <w:snapToGrid w:val="0"/>
                <w:kern w:val="0"/>
                <w:sz w:val="24"/>
              </w:rPr>
              <w:t>路沿线两侧200m范围内</w:t>
            </w:r>
            <w:r>
              <w:rPr>
                <w:rFonts w:hint="eastAsia"/>
                <w:snapToGrid w:val="0"/>
                <w:kern w:val="0"/>
                <w:sz w:val="24"/>
              </w:rPr>
              <w:t>有几户居民，</w:t>
            </w:r>
            <w:r>
              <w:rPr>
                <w:sz w:val="24"/>
              </w:rPr>
              <w:t>按照《声环境质量标准》（GB3096-2008）和《关于公路、铁路（含轻轨）等建设项目环境影响评价中环境噪声有关问题的通知</w:t>
            </w:r>
            <w:r>
              <w:rPr>
                <w:rFonts w:hint="eastAsia"/>
                <w:sz w:val="24"/>
                <w:szCs w:val="22"/>
              </w:rPr>
              <w:t>》（环发[2003]94号），本项目沿线属于2类区，执行《声环境质量标准》（GB3096-2008）中2类标准。根据预测结果，项目道路两侧昼间最大噪声值为51.0dB（A），夜间不生产，因此交通噪声能达标。</w:t>
            </w:r>
          </w:p>
          <w:p>
            <w:pPr>
              <w:spacing w:line="360" w:lineRule="auto"/>
              <w:ind w:firstLine="480" w:firstLineChars="200"/>
              <w:rPr>
                <w:sz w:val="24"/>
                <w:szCs w:val="22"/>
              </w:rPr>
            </w:pPr>
            <w:r>
              <w:rPr>
                <w:rFonts w:hint="eastAsia"/>
                <w:sz w:val="24"/>
                <w:szCs w:val="22"/>
              </w:rPr>
              <w:t>为尽量降低交通噪声对沿线两侧敏感点的影响，本环评</w:t>
            </w:r>
            <w:r>
              <w:rPr>
                <w:sz w:val="24"/>
              </w:rPr>
              <w:t>要求建设单位必须采取相应的降噪措施</w:t>
            </w:r>
            <w:r>
              <w:rPr>
                <w:sz w:val="24"/>
                <w:szCs w:val="22"/>
              </w:rPr>
              <w:t>，建议如下：</w:t>
            </w:r>
          </w:p>
          <w:p>
            <w:pPr>
              <w:spacing w:line="360" w:lineRule="auto"/>
              <w:ind w:firstLine="480" w:firstLineChars="200"/>
              <w:rPr>
                <w:sz w:val="24"/>
                <w:szCs w:val="22"/>
              </w:rPr>
            </w:pPr>
            <w:r>
              <w:rPr>
                <w:sz w:val="24"/>
                <w:szCs w:val="22"/>
              </w:rPr>
              <w:t>1、</w:t>
            </w:r>
            <w:r>
              <w:rPr>
                <w:rFonts w:hint="eastAsia"/>
                <w:sz w:val="24"/>
                <w:szCs w:val="22"/>
              </w:rPr>
              <w:t>使用符合</w:t>
            </w:r>
            <w:r>
              <w:rPr>
                <w:sz w:val="24"/>
                <w:szCs w:val="22"/>
              </w:rPr>
              <w:t>《中华人民共和国环境噪声污染防治条例》的运输车辆</w:t>
            </w:r>
            <w:r>
              <w:rPr>
                <w:rFonts w:hint="eastAsia"/>
                <w:sz w:val="24"/>
                <w:szCs w:val="22"/>
              </w:rPr>
              <w:t>。</w:t>
            </w:r>
          </w:p>
          <w:p>
            <w:pPr>
              <w:spacing w:line="360" w:lineRule="auto"/>
              <w:ind w:firstLine="480" w:firstLineChars="200"/>
              <w:rPr>
                <w:sz w:val="24"/>
                <w:szCs w:val="22"/>
              </w:rPr>
            </w:pPr>
            <w:r>
              <w:rPr>
                <w:sz w:val="24"/>
              </w:rPr>
              <w:t>2、道路管理部门应控制通行车型及车速，控制高噪声车辆通行</w:t>
            </w:r>
            <w:r>
              <w:rPr>
                <w:rFonts w:hint="eastAsia"/>
                <w:sz w:val="24"/>
              </w:rPr>
              <w:t>。</w:t>
            </w:r>
          </w:p>
          <w:p>
            <w:pPr>
              <w:pStyle w:val="14"/>
              <w:spacing w:after="0" w:line="360" w:lineRule="auto"/>
              <w:ind w:left="0" w:leftChars="0" w:firstLine="420"/>
              <w:rPr>
                <w:sz w:val="24"/>
              </w:rPr>
            </w:pPr>
            <w:r>
              <w:rPr>
                <w:rFonts w:hint="eastAsia"/>
                <w:sz w:val="24"/>
                <w:szCs w:val="22"/>
              </w:rPr>
              <w:t>3、</w:t>
            </w:r>
            <w:r>
              <w:rPr>
                <w:sz w:val="24"/>
              </w:rPr>
              <w:t>跟踪监测和绿化。加强敏感点与道路之间的绿化工作以及对沿线敏感点的噪声监测工作，根据监测结果及时调整和完善噪声防治措施，确保沿线</w:t>
            </w:r>
            <w:r>
              <w:rPr>
                <w:rFonts w:hint="eastAsia"/>
                <w:sz w:val="24"/>
              </w:rPr>
              <w:t>敏感点</w:t>
            </w:r>
            <w:r>
              <w:rPr>
                <w:sz w:val="24"/>
              </w:rPr>
              <w:t>声环境质量。</w:t>
            </w:r>
          </w:p>
          <w:p>
            <w:pPr>
              <w:pStyle w:val="14"/>
              <w:spacing w:after="0" w:line="360" w:lineRule="auto"/>
              <w:ind w:left="0" w:leftChars="0" w:firstLine="420"/>
              <w:rPr>
                <w:sz w:val="24"/>
              </w:rPr>
            </w:pPr>
            <w:r>
              <w:rPr>
                <w:rFonts w:hint="eastAsia"/>
                <w:sz w:val="24"/>
              </w:rPr>
              <w:t>4、建议项目在运输过程减速行驶，不乱鸣汽笛；尽量避开中午及晚上休息时间运输，以及</w:t>
            </w:r>
            <w:r>
              <w:rPr>
                <w:sz w:val="24"/>
              </w:rPr>
              <w:t>加强管理</w:t>
            </w:r>
            <w:r>
              <w:rPr>
                <w:rFonts w:hint="eastAsia"/>
                <w:sz w:val="24"/>
              </w:rPr>
              <w:t>，</w:t>
            </w:r>
            <w:r>
              <w:rPr>
                <w:sz w:val="24"/>
              </w:rPr>
              <w:t>禁止超载超速运行</w:t>
            </w:r>
            <w:r>
              <w:rPr>
                <w:rFonts w:hint="eastAsia"/>
                <w:sz w:val="24"/>
              </w:rPr>
              <w:t>，减轻项目运输对当地居民的影响。</w:t>
            </w:r>
          </w:p>
          <w:p>
            <w:pPr>
              <w:pStyle w:val="27"/>
              <w:widowControl/>
              <w:overflowPunct/>
              <w:autoSpaceDE/>
              <w:autoSpaceDN/>
              <w:adjustRightInd/>
              <w:ind w:firstLine="420"/>
              <w:jc w:val="left"/>
              <w:rPr>
                <w:sz w:val="24"/>
                <w:szCs w:val="28"/>
              </w:rPr>
            </w:pPr>
            <w:r>
              <w:rPr>
                <w:rFonts w:hint="eastAsia"/>
                <w:kern w:val="2"/>
                <w:sz w:val="24"/>
                <w:szCs w:val="28"/>
              </w:rPr>
              <w:t>项目车辆采取</w:t>
            </w:r>
            <w:r>
              <w:rPr>
                <w:sz w:val="24"/>
              </w:rPr>
              <w:t>装有消声器和符合规定的喇叭，并保持性能良好</w:t>
            </w:r>
            <w:r>
              <w:rPr>
                <w:rFonts w:hint="eastAsia"/>
                <w:kern w:val="2"/>
                <w:sz w:val="24"/>
                <w:szCs w:val="28"/>
              </w:rPr>
              <w:t>。通过加强道路的管理维护，声环境质量可达《</w:t>
            </w:r>
            <w:r>
              <w:rPr>
                <w:rFonts w:hAnsi="宋体"/>
                <w:sz w:val="24"/>
              </w:rPr>
              <w:t>声环境质量标准</w:t>
            </w:r>
            <w:r>
              <w:rPr>
                <w:rFonts w:hint="eastAsia"/>
                <w:sz w:val="24"/>
                <w:szCs w:val="28"/>
              </w:rPr>
              <w:t>》（</w:t>
            </w:r>
            <w:r>
              <w:rPr>
                <w:sz w:val="24"/>
                <w:szCs w:val="28"/>
              </w:rPr>
              <w:t>GB3096-</w:t>
            </w:r>
            <w:r>
              <w:rPr>
                <w:rFonts w:hint="eastAsia"/>
                <w:sz w:val="24"/>
                <w:szCs w:val="28"/>
              </w:rPr>
              <w:t>2008）</w:t>
            </w:r>
            <w:r>
              <w:rPr>
                <w:rFonts w:hint="eastAsia"/>
                <w:kern w:val="2"/>
                <w:sz w:val="24"/>
                <w:szCs w:val="28"/>
              </w:rPr>
              <w:t>中相应标准。因此</w:t>
            </w:r>
            <w:r>
              <w:rPr>
                <w:kern w:val="2"/>
                <w:sz w:val="24"/>
                <w:szCs w:val="28"/>
              </w:rPr>
              <w:t>，本项目运营期</w:t>
            </w:r>
            <w:r>
              <w:rPr>
                <w:rFonts w:hint="eastAsia"/>
                <w:kern w:val="2"/>
                <w:sz w:val="24"/>
                <w:szCs w:val="28"/>
              </w:rPr>
              <w:t>不会</w:t>
            </w:r>
            <w:r>
              <w:rPr>
                <w:kern w:val="2"/>
                <w:sz w:val="24"/>
                <w:szCs w:val="28"/>
              </w:rPr>
              <w:t>对沿线</w:t>
            </w:r>
            <w:r>
              <w:rPr>
                <w:rFonts w:hint="eastAsia"/>
                <w:kern w:val="2"/>
                <w:sz w:val="24"/>
                <w:szCs w:val="28"/>
              </w:rPr>
              <w:t>敏感点产生较</w:t>
            </w:r>
            <w:r>
              <w:rPr>
                <w:rFonts w:hint="eastAsia"/>
                <w:sz w:val="24"/>
                <w:szCs w:val="28"/>
              </w:rPr>
              <w:t>大影响。</w:t>
            </w:r>
          </w:p>
          <w:p>
            <w:pPr>
              <w:spacing w:line="360" w:lineRule="auto"/>
              <w:ind w:firstLine="482" w:firstLineChars="200"/>
              <w:rPr>
                <w:b/>
                <w:sz w:val="24"/>
              </w:rPr>
            </w:pPr>
            <w:r>
              <w:rPr>
                <w:rFonts w:hint="eastAsia"/>
                <w:b/>
                <w:sz w:val="24"/>
              </w:rPr>
              <w:t>4.固体废弃物环境影响分析</w:t>
            </w:r>
          </w:p>
          <w:p>
            <w:pPr>
              <w:widowControl/>
              <w:spacing w:line="360" w:lineRule="auto"/>
              <w:ind w:firstLine="480" w:firstLineChars="200"/>
              <w:jc w:val="left"/>
              <w:rPr>
                <w:sz w:val="24"/>
              </w:rPr>
            </w:pPr>
            <w:r>
              <w:rPr>
                <w:rFonts w:hint="eastAsia"/>
                <w:sz w:val="24"/>
              </w:rPr>
              <w:t>本项目固废主要为沉淀池泥沙、生活垃圾和废机油抹布。</w:t>
            </w:r>
          </w:p>
          <w:p>
            <w:pPr>
              <w:spacing w:line="360" w:lineRule="auto"/>
              <w:jc w:val="center"/>
              <w:rPr>
                <w:b/>
                <w:sz w:val="24"/>
              </w:rPr>
            </w:pPr>
            <w:r>
              <w:rPr>
                <w:b/>
                <w:sz w:val="24"/>
              </w:rPr>
              <w:t>表7-</w:t>
            </w:r>
            <w:r>
              <w:rPr>
                <w:rFonts w:hint="eastAsia"/>
                <w:b/>
                <w:sz w:val="24"/>
                <w:lang w:val="en-US" w:eastAsia="zh-CN"/>
              </w:rPr>
              <w:t xml:space="preserve">9 </w:t>
            </w:r>
            <w:r>
              <w:rPr>
                <w:rFonts w:hint="eastAsia"/>
                <w:b/>
                <w:sz w:val="24"/>
              </w:rPr>
              <w:t>项目固废产生情况及处理措施一览表</w:t>
            </w:r>
          </w:p>
          <w:tbl>
            <w:tblPr>
              <w:tblStyle w:val="28"/>
              <w:tblW w:w="827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035"/>
              <w:gridCol w:w="1575"/>
              <w:gridCol w:w="1325"/>
              <w:gridCol w:w="1175"/>
              <w:gridCol w:w="1150"/>
              <w:gridCol w:w="201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610" w:type="dxa"/>
                  <w:gridSpan w:val="2"/>
                  <w:vAlign w:val="center"/>
                </w:tcPr>
                <w:p>
                  <w:pPr>
                    <w:snapToGrid w:val="0"/>
                    <w:jc w:val="center"/>
                    <w:rPr>
                      <w:szCs w:val="21"/>
                      <w:lang w:val="en-GB"/>
                    </w:rPr>
                  </w:pPr>
                  <w:r>
                    <w:rPr>
                      <w:rFonts w:hint="eastAsia"/>
                      <w:szCs w:val="21"/>
                      <w:lang w:val="en-GB"/>
                    </w:rPr>
                    <w:t>污染源</w:t>
                  </w:r>
                </w:p>
              </w:tc>
              <w:tc>
                <w:tcPr>
                  <w:tcW w:w="1325" w:type="dxa"/>
                  <w:vAlign w:val="center"/>
                </w:tcPr>
                <w:p>
                  <w:pPr>
                    <w:snapToGrid w:val="0"/>
                    <w:jc w:val="center"/>
                    <w:rPr>
                      <w:szCs w:val="21"/>
                      <w:lang w:val="en-GB"/>
                    </w:rPr>
                  </w:pPr>
                  <w:r>
                    <w:rPr>
                      <w:rFonts w:hint="eastAsia"/>
                      <w:szCs w:val="21"/>
                    </w:rPr>
                    <w:t>产生量</w:t>
                  </w:r>
                </w:p>
              </w:tc>
              <w:tc>
                <w:tcPr>
                  <w:tcW w:w="1175" w:type="dxa"/>
                  <w:tcBorders>
                    <w:right w:val="single" w:color="000000" w:sz="4" w:space="0"/>
                  </w:tcBorders>
                  <w:vAlign w:val="center"/>
                </w:tcPr>
                <w:p>
                  <w:pPr>
                    <w:snapToGrid w:val="0"/>
                    <w:jc w:val="center"/>
                    <w:rPr>
                      <w:szCs w:val="21"/>
                    </w:rPr>
                  </w:pPr>
                  <w:r>
                    <w:rPr>
                      <w:rFonts w:hint="eastAsia"/>
                      <w:szCs w:val="21"/>
                    </w:rPr>
                    <w:t>单位</w:t>
                  </w:r>
                </w:p>
              </w:tc>
              <w:tc>
                <w:tcPr>
                  <w:tcW w:w="1150" w:type="dxa"/>
                  <w:tcBorders>
                    <w:left w:val="single" w:color="000000" w:sz="4" w:space="0"/>
                  </w:tcBorders>
                  <w:vAlign w:val="center"/>
                </w:tcPr>
                <w:p>
                  <w:pPr>
                    <w:snapToGrid w:val="0"/>
                    <w:jc w:val="center"/>
                    <w:rPr>
                      <w:szCs w:val="21"/>
                    </w:rPr>
                  </w:pPr>
                  <w:r>
                    <w:rPr>
                      <w:rFonts w:hint="eastAsia"/>
                      <w:szCs w:val="21"/>
                    </w:rPr>
                    <w:t>属性</w:t>
                  </w:r>
                </w:p>
              </w:tc>
              <w:tc>
                <w:tcPr>
                  <w:tcW w:w="2016" w:type="dxa"/>
                  <w:vAlign w:val="center"/>
                </w:tcPr>
                <w:p>
                  <w:pPr>
                    <w:snapToGrid w:val="0"/>
                    <w:jc w:val="center"/>
                    <w:rPr>
                      <w:szCs w:val="21"/>
                      <w:lang w:val="en-GB"/>
                    </w:rPr>
                  </w:pPr>
                  <w:r>
                    <w:rPr>
                      <w:rFonts w:hint="eastAsia"/>
                      <w:szCs w:val="21"/>
                      <w:lang w:val="en-GB"/>
                    </w:rPr>
                    <w:t>处理措施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dxa"/>
                  <w:vMerge w:val="restart"/>
                  <w:tcBorders>
                    <w:right w:val="single" w:color="auto" w:sz="4" w:space="0"/>
                  </w:tcBorders>
                  <w:vAlign w:val="center"/>
                </w:tcPr>
                <w:p>
                  <w:pPr>
                    <w:jc w:val="center"/>
                    <w:rPr>
                      <w:szCs w:val="21"/>
                      <w:lang w:val="en-GB"/>
                    </w:rPr>
                  </w:pPr>
                  <w:r>
                    <w:rPr>
                      <w:rFonts w:hint="eastAsia"/>
                      <w:szCs w:val="21"/>
                    </w:rPr>
                    <w:t>沉淀池泥沙</w:t>
                  </w:r>
                </w:p>
              </w:tc>
              <w:tc>
                <w:tcPr>
                  <w:tcW w:w="1575" w:type="dxa"/>
                  <w:tcBorders>
                    <w:left w:val="single" w:color="auto" w:sz="4" w:space="0"/>
                  </w:tcBorders>
                  <w:vAlign w:val="center"/>
                </w:tcPr>
                <w:p>
                  <w:pPr>
                    <w:jc w:val="center"/>
                    <w:rPr>
                      <w:szCs w:val="21"/>
                      <w:lang w:val="en-GB"/>
                    </w:rPr>
                  </w:pPr>
                  <w:r>
                    <w:rPr>
                      <w:rFonts w:hint="eastAsia"/>
                      <w:szCs w:val="21"/>
                    </w:rPr>
                    <w:t>洗砂泥沙</w:t>
                  </w:r>
                </w:p>
              </w:tc>
              <w:tc>
                <w:tcPr>
                  <w:tcW w:w="1325" w:type="dxa"/>
                  <w:vAlign w:val="center"/>
                </w:tcPr>
                <w:p>
                  <w:pPr>
                    <w:jc w:val="center"/>
                    <w:rPr>
                      <w:szCs w:val="21"/>
                    </w:rPr>
                  </w:pPr>
                  <w:r>
                    <w:rPr>
                      <w:rFonts w:hint="eastAsia"/>
                      <w:szCs w:val="21"/>
                      <w:lang w:val="en-US" w:eastAsia="zh-CN"/>
                    </w:rPr>
                    <w:t>2100</w:t>
                  </w:r>
                  <w:r>
                    <w:rPr>
                      <w:rFonts w:hint="eastAsia"/>
                      <w:szCs w:val="21"/>
                    </w:rPr>
                    <w:t>0</w:t>
                  </w:r>
                </w:p>
              </w:tc>
              <w:tc>
                <w:tcPr>
                  <w:tcW w:w="1175" w:type="dxa"/>
                  <w:tcBorders>
                    <w:right w:val="single" w:color="000000" w:sz="4" w:space="0"/>
                  </w:tcBorders>
                  <w:vAlign w:val="center"/>
                </w:tcPr>
                <w:p>
                  <w:pPr>
                    <w:snapToGrid w:val="0"/>
                    <w:jc w:val="center"/>
                    <w:rPr>
                      <w:szCs w:val="21"/>
                    </w:rPr>
                  </w:pPr>
                  <w:r>
                    <w:rPr>
                      <w:rFonts w:hint="eastAsia"/>
                      <w:szCs w:val="21"/>
                    </w:rPr>
                    <w:t>t/a</w:t>
                  </w:r>
                </w:p>
              </w:tc>
              <w:tc>
                <w:tcPr>
                  <w:tcW w:w="1150" w:type="dxa"/>
                  <w:tcBorders>
                    <w:left w:val="single" w:color="000000" w:sz="4" w:space="0"/>
                  </w:tcBorders>
                  <w:vAlign w:val="center"/>
                </w:tcPr>
                <w:p>
                  <w:pPr>
                    <w:snapToGrid w:val="0"/>
                    <w:jc w:val="center"/>
                    <w:rPr>
                      <w:szCs w:val="21"/>
                    </w:rPr>
                  </w:pPr>
                  <w:r>
                    <w:rPr>
                      <w:rFonts w:hint="eastAsia"/>
                      <w:szCs w:val="21"/>
                    </w:rPr>
                    <w:t>一般固废</w:t>
                  </w:r>
                </w:p>
              </w:tc>
              <w:tc>
                <w:tcPr>
                  <w:tcW w:w="2016" w:type="dxa"/>
                  <w:vMerge w:val="restart"/>
                  <w:vAlign w:val="center"/>
                </w:tcPr>
                <w:p>
                  <w:pPr>
                    <w:snapToGrid w:val="0"/>
                    <w:jc w:val="center"/>
                    <w:rPr>
                      <w:szCs w:val="21"/>
                      <w:lang w:val="en-GB"/>
                    </w:rPr>
                  </w:pPr>
                  <w:r>
                    <w:rPr>
                      <w:rFonts w:hint="eastAsia"/>
                      <w:szCs w:val="21"/>
                      <w:lang w:val="en-GB"/>
                    </w:rPr>
                    <w:t>收集后外售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35" w:type="dxa"/>
                  <w:vMerge w:val="continue"/>
                  <w:tcBorders>
                    <w:right w:val="single" w:color="auto" w:sz="4" w:space="0"/>
                  </w:tcBorders>
                  <w:vAlign w:val="center"/>
                </w:tcPr>
                <w:p>
                  <w:pPr>
                    <w:jc w:val="center"/>
                    <w:rPr>
                      <w:szCs w:val="21"/>
                      <w:lang w:val="en-GB"/>
                    </w:rPr>
                  </w:pPr>
                </w:p>
              </w:tc>
              <w:tc>
                <w:tcPr>
                  <w:tcW w:w="1575" w:type="dxa"/>
                  <w:tcBorders>
                    <w:left w:val="single" w:color="auto" w:sz="4" w:space="0"/>
                  </w:tcBorders>
                  <w:vAlign w:val="center"/>
                </w:tcPr>
                <w:p>
                  <w:pPr>
                    <w:jc w:val="center"/>
                    <w:rPr>
                      <w:szCs w:val="21"/>
                      <w:lang w:val="en-GB"/>
                    </w:rPr>
                  </w:pPr>
                  <w:r>
                    <w:rPr>
                      <w:rFonts w:hint="eastAsia"/>
                      <w:szCs w:val="21"/>
                    </w:rPr>
                    <w:t>破碎筛分粉尘</w:t>
                  </w:r>
                </w:p>
              </w:tc>
              <w:tc>
                <w:tcPr>
                  <w:tcW w:w="1325" w:type="dxa"/>
                  <w:vAlign w:val="center"/>
                </w:tcPr>
                <w:p>
                  <w:pPr>
                    <w:jc w:val="center"/>
                    <w:rPr>
                      <w:szCs w:val="21"/>
                    </w:rPr>
                  </w:pPr>
                  <w:r>
                    <w:rPr>
                      <w:rFonts w:hint="eastAsia"/>
                      <w:szCs w:val="21"/>
                    </w:rPr>
                    <w:t>1.4</w:t>
                  </w:r>
                </w:p>
              </w:tc>
              <w:tc>
                <w:tcPr>
                  <w:tcW w:w="1175" w:type="dxa"/>
                  <w:tcBorders>
                    <w:right w:val="single" w:color="000000" w:sz="4" w:space="0"/>
                  </w:tcBorders>
                  <w:vAlign w:val="center"/>
                </w:tcPr>
                <w:p>
                  <w:pPr>
                    <w:snapToGrid w:val="0"/>
                    <w:jc w:val="center"/>
                    <w:rPr>
                      <w:szCs w:val="21"/>
                    </w:rPr>
                  </w:pPr>
                  <w:r>
                    <w:rPr>
                      <w:szCs w:val="21"/>
                    </w:rPr>
                    <w:t>t</w:t>
                  </w:r>
                  <w:r>
                    <w:rPr>
                      <w:rFonts w:hint="eastAsia"/>
                      <w:szCs w:val="21"/>
                    </w:rPr>
                    <w:t>/a</w:t>
                  </w:r>
                </w:p>
              </w:tc>
              <w:tc>
                <w:tcPr>
                  <w:tcW w:w="1150" w:type="dxa"/>
                  <w:tcBorders>
                    <w:left w:val="single" w:color="000000" w:sz="4" w:space="0"/>
                  </w:tcBorders>
                  <w:vAlign w:val="center"/>
                </w:tcPr>
                <w:p>
                  <w:pPr>
                    <w:snapToGrid w:val="0"/>
                    <w:jc w:val="center"/>
                    <w:rPr>
                      <w:szCs w:val="21"/>
                    </w:rPr>
                  </w:pPr>
                  <w:r>
                    <w:rPr>
                      <w:rFonts w:hint="eastAsia"/>
                      <w:szCs w:val="21"/>
                    </w:rPr>
                    <w:t>一般固废</w:t>
                  </w:r>
                </w:p>
              </w:tc>
              <w:tc>
                <w:tcPr>
                  <w:tcW w:w="2016" w:type="dxa"/>
                  <w:vMerge w:val="continue"/>
                  <w:vAlign w:val="center"/>
                </w:tcPr>
                <w:p>
                  <w:pPr>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5" w:hRule="atLeast"/>
                <w:jc w:val="center"/>
              </w:trPr>
              <w:tc>
                <w:tcPr>
                  <w:tcW w:w="2610" w:type="dxa"/>
                  <w:gridSpan w:val="2"/>
                  <w:tcBorders>
                    <w:right w:val="single" w:color="auto" w:sz="4" w:space="0"/>
                  </w:tcBorders>
                  <w:vAlign w:val="center"/>
                </w:tcPr>
                <w:p>
                  <w:pPr>
                    <w:jc w:val="center"/>
                    <w:rPr>
                      <w:szCs w:val="21"/>
                    </w:rPr>
                  </w:pPr>
                  <w:r>
                    <w:rPr>
                      <w:rFonts w:hint="eastAsia"/>
                      <w:szCs w:val="21"/>
                    </w:rPr>
                    <w:t>生活垃圾</w:t>
                  </w:r>
                </w:p>
              </w:tc>
              <w:tc>
                <w:tcPr>
                  <w:tcW w:w="1325" w:type="dxa"/>
                  <w:vAlign w:val="center"/>
                </w:tcPr>
                <w:p>
                  <w:pPr>
                    <w:jc w:val="center"/>
                    <w:rPr>
                      <w:szCs w:val="21"/>
                    </w:rPr>
                  </w:pPr>
                  <w:r>
                    <w:rPr>
                      <w:rFonts w:hint="eastAsia"/>
                      <w:szCs w:val="21"/>
                    </w:rPr>
                    <w:t>1.5</w:t>
                  </w:r>
                </w:p>
              </w:tc>
              <w:tc>
                <w:tcPr>
                  <w:tcW w:w="1175" w:type="dxa"/>
                  <w:tcBorders>
                    <w:right w:val="single" w:color="000000" w:sz="4" w:space="0"/>
                  </w:tcBorders>
                  <w:vAlign w:val="center"/>
                </w:tcPr>
                <w:p>
                  <w:pPr>
                    <w:snapToGrid w:val="0"/>
                    <w:jc w:val="center"/>
                    <w:rPr>
                      <w:szCs w:val="21"/>
                    </w:rPr>
                  </w:pPr>
                  <w:r>
                    <w:rPr>
                      <w:szCs w:val="21"/>
                    </w:rPr>
                    <w:t>t</w:t>
                  </w:r>
                  <w:r>
                    <w:rPr>
                      <w:rFonts w:hint="eastAsia"/>
                      <w:szCs w:val="21"/>
                    </w:rPr>
                    <w:t>/a</w:t>
                  </w:r>
                </w:p>
              </w:tc>
              <w:tc>
                <w:tcPr>
                  <w:tcW w:w="1150" w:type="dxa"/>
                  <w:tcBorders>
                    <w:left w:val="single" w:color="000000" w:sz="4" w:space="0"/>
                  </w:tcBorders>
                  <w:vAlign w:val="center"/>
                </w:tcPr>
                <w:p>
                  <w:pPr>
                    <w:snapToGrid w:val="0"/>
                    <w:jc w:val="center"/>
                    <w:rPr>
                      <w:szCs w:val="21"/>
                    </w:rPr>
                  </w:pPr>
                  <w:r>
                    <w:rPr>
                      <w:rFonts w:hint="eastAsia"/>
                      <w:szCs w:val="21"/>
                    </w:rPr>
                    <w:t>生活垃圾</w:t>
                  </w:r>
                </w:p>
              </w:tc>
              <w:tc>
                <w:tcPr>
                  <w:tcW w:w="2016" w:type="dxa"/>
                  <w:vAlign w:val="center"/>
                </w:tcPr>
                <w:p>
                  <w:pPr>
                    <w:snapToGrid w:val="0"/>
                    <w:jc w:val="center"/>
                    <w:rPr>
                      <w:szCs w:val="21"/>
                    </w:rPr>
                  </w:pPr>
                  <w:r>
                    <w:rPr>
                      <w:rFonts w:hint="eastAsia"/>
                      <w:szCs w:val="21"/>
                    </w:rPr>
                    <w:t>生活垃圾处理中心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5" w:hRule="atLeast"/>
                <w:jc w:val="center"/>
              </w:trPr>
              <w:tc>
                <w:tcPr>
                  <w:tcW w:w="2610" w:type="dxa"/>
                  <w:gridSpan w:val="2"/>
                  <w:tcBorders>
                    <w:right w:val="single" w:color="auto" w:sz="4" w:space="0"/>
                  </w:tcBorders>
                  <w:vAlign w:val="center"/>
                </w:tcPr>
                <w:p>
                  <w:pPr>
                    <w:jc w:val="center"/>
                    <w:rPr>
                      <w:szCs w:val="21"/>
                    </w:rPr>
                  </w:pPr>
                  <w:r>
                    <w:rPr>
                      <w:rFonts w:hint="eastAsia"/>
                      <w:szCs w:val="21"/>
                    </w:rPr>
                    <w:t>废机油抹布</w:t>
                  </w:r>
                </w:p>
              </w:tc>
              <w:tc>
                <w:tcPr>
                  <w:tcW w:w="1325" w:type="dxa"/>
                  <w:vAlign w:val="center"/>
                </w:tcPr>
                <w:p>
                  <w:pPr>
                    <w:jc w:val="center"/>
                    <w:rPr>
                      <w:szCs w:val="21"/>
                    </w:rPr>
                  </w:pPr>
                  <w:r>
                    <w:rPr>
                      <w:rFonts w:hint="eastAsia"/>
                      <w:szCs w:val="21"/>
                    </w:rPr>
                    <w:t>0.005</w:t>
                  </w:r>
                </w:p>
              </w:tc>
              <w:tc>
                <w:tcPr>
                  <w:tcW w:w="1175" w:type="dxa"/>
                  <w:tcBorders>
                    <w:right w:val="single" w:color="000000" w:sz="4" w:space="0"/>
                  </w:tcBorders>
                  <w:vAlign w:val="center"/>
                </w:tcPr>
                <w:p>
                  <w:pPr>
                    <w:snapToGrid w:val="0"/>
                    <w:jc w:val="center"/>
                    <w:rPr>
                      <w:szCs w:val="21"/>
                    </w:rPr>
                  </w:pPr>
                  <w:r>
                    <w:rPr>
                      <w:rFonts w:hint="eastAsia"/>
                      <w:szCs w:val="21"/>
                    </w:rPr>
                    <w:t>t/a</w:t>
                  </w:r>
                </w:p>
              </w:tc>
              <w:tc>
                <w:tcPr>
                  <w:tcW w:w="1150" w:type="dxa"/>
                  <w:tcBorders>
                    <w:left w:val="single" w:color="000000" w:sz="4" w:space="0"/>
                  </w:tcBorders>
                  <w:vAlign w:val="center"/>
                </w:tcPr>
                <w:p>
                  <w:pPr>
                    <w:snapToGrid w:val="0"/>
                    <w:jc w:val="center"/>
                    <w:rPr>
                      <w:szCs w:val="21"/>
                    </w:rPr>
                  </w:pPr>
                  <w:r>
                    <w:rPr>
                      <w:rFonts w:hint="eastAsia"/>
                      <w:szCs w:val="21"/>
                    </w:rPr>
                    <w:t>危险固废</w:t>
                  </w:r>
                </w:p>
              </w:tc>
              <w:tc>
                <w:tcPr>
                  <w:tcW w:w="2016" w:type="dxa"/>
                  <w:vAlign w:val="center"/>
                </w:tcPr>
                <w:p>
                  <w:pPr>
                    <w:snapToGrid w:val="0"/>
                    <w:jc w:val="center"/>
                    <w:rPr>
                      <w:szCs w:val="21"/>
                    </w:rPr>
                  </w:pPr>
                  <w:r>
                    <w:rPr>
                      <w:rFonts w:hint="eastAsia"/>
                      <w:szCs w:val="21"/>
                    </w:rPr>
                    <w:t>属于危废豁免范围，可以与生活垃圾一起交由环卫部门清运</w:t>
                  </w:r>
                </w:p>
              </w:tc>
            </w:tr>
          </w:tbl>
          <w:p>
            <w:pPr>
              <w:spacing w:line="360" w:lineRule="auto"/>
              <w:ind w:firstLine="480" w:firstLineChars="200"/>
              <w:rPr>
                <w:sz w:val="24"/>
              </w:rPr>
            </w:pPr>
            <w:r>
              <w:rPr>
                <w:rFonts w:hint="eastAsia"/>
                <w:sz w:val="24"/>
              </w:rPr>
              <w:t>沉淀池</w:t>
            </w:r>
            <w:r>
              <w:rPr>
                <w:rFonts w:hint="eastAsia"/>
                <w:sz w:val="24"/>
                <w:szCs w:val="21"/>
              </w:rPr>
              <w:t>泥沙</w:t>
            </w:r>
            <w:r>
              <w:rPr>
                <w:rFonts w:hint="eastAsia"/>
                <w:sz w:val="24"/>
                <w:szCs w:val="21"/>
                <w:lang w:eastAsia="zh-CN"/>
              </w:rPr>
              <w:t>经压滤机脱水后</w:t>
            </w:r>
            <w:r>
              <w:rPr>
                <w:rFonts w:hint="eastAsia"/>
                <w:sz w:val="24"/>
              </w:rPr>
              <w:t>外售综合利用；生活垃圾及废机油抹布经收集后，由环卫部门清运至城市生活垃圾填埋场卫生处理。</w:t>
            </w:r>
            <w:r>
              <w:rPr>
                <w:sz w:val="24"/>
              </w:rPr>
              <w:t>采取以上措施后，</w:t>
            </w:r>
            <w:r>
              <w:rPr>
                <w:rFonts w:hint="eastAsia"/>
                <w:sz w:val="24"/>
              </w:rPr>
              <w:t>项目</w:t>
            </w:r>
            <w:r>
              <w:rPr>
                <w:sz w:val="24"/>
              </w:rPr>
              <w:t>固体废物可得到妥善处理，对周围环境影响</w:t>
            </w:r>
            <w:r>
              <w:rPr>
                <w:rFonts w:hint="eastAsia"/>
                <w:sz w:val="24"/>
              </w:rPr>
              <w:t>较小</w:t>
            </w:r>
            <w:r>
              <w:rPr>
                <w:sz w:val="24"/>
              </w:rPr>
              <w:t>。</w:t>
            </w:r>
          </w:p>
          <w:p>
            <w:pPr>
              <w:spacing w:line="360" w:lineRule="auto"/>
              <w:ind w:firstLine="480" w:firstLineChars="200"/>
              <w:rPr>
                <w:sz w:val="24"/>
                <w:u w:val="single"/>
              </w:rPr>
            </w:pPr>
            <w:r>
              <w:rPr>
                <w:rFonts w:hint="eastAsia"/>
                <w:sz w:val="24"/>
                <w:szCs w:val="22"/>
                <w:u w:val="single"/>
              </w:rPr>
              <w:t>本环评要求建设单位按照《一般工业固体废物贮存、处置场污染控制标准（GB18599-2001）</w:t>
            </w:r>
            <w:r>
              <w:rPr>
                <w:rFonts w:hint="eastAsia"/>
                <w:sz w:val="24"/>
                <w:u w:val="single"/>
              </w:rPr>
              <w:t>》（2013年修订）的相关要求建立一般固体废物堆放场地，不得到处堆放。</w:t>
            </w:r>
            <w:r>
              <w:rPr>
                <w:rFonts w:hint="eastAsia"/>
                <w:sz w:val="24"/>
                <w:u w:val="single"/>
                <w:lang w:eastAsia="zh-CN"/>
              </w:rPr>
              <w:t>污泥经压滤机脱水后依然含有水分，污泥暂存场所四周设导流水沟，同时</w:t>
            </w:r>
            <w:r>
              <w:rPr>
                <w:rFonts w:hint="eastAsia"/>
                <w:sz w:val="24"/>
                <w:u w:val="single"/>
              </w:rPr>
              <w:t>固废临时堆放场的地面与裙脚要用坚固、防渗的材料建造，基础必须防渗，应设计建造径流疏导系统，保证能防止暴雨不会流到临时堆放场。临时堆放场要防风、防雨、防晒，设施周围应设置围墙并做密闭处理。</w:t>
            </w:r>
          </w:p>
          <w:p>
            <w:pPr>
              <w:spacing w:line="360" w:lineRule="auto"/>
              <w:ind w:firstLine="480" w:firstLineChars="200"/>
              <w:rPr>
                <w:sz w:val="24"/>
              </w:rPr>
            </w:pPr>
            <w:bookmarkStart w:id="29" w:name="OLE_LINK28"/>
            <w:r>
              <w:rPr>
                <w:rFonts w:hint="eastAsia"/>
                <w:sz w:val="24"/>
              </w:rPr>
              <w:t>项目生活垃圾经垃圾桶收集之后，清运至生活垃圾处理中心处置。</w:t>
            </w:r>
            <w:bookmarkEnd w:id="29"/>
          </w:p>
          <w:p>
            <w:pPr>
              <w:spacing w:line="360" w:lineRule="auto"/>
              <w:ind w:firstLine="480" w:firstLineChars="200"/>
              <w:rPr>
                <w:sz w:val="24"/>
              </w:rPr>
            </w:pPr>
            <w:r>
              <w:rPr>
                <w:rFonts w:hint="eastAsia"/>
                <w:sz w:val="24"/>
              </w:rPr>
              <w:t>综上所述，</w:t>
            </w:r>
            <w:r>
              <w:rPr>
                <w:sz w:val="24"/>
              </w:rPr>
              <w:t>建设单位必须</w:t>
            </w:r>
            <w:r>
              <w:rPr>
                <w:rFonts w:hint="eastAsia"/>
                <w:sz w:val="24"/>
              </w:rPr>
              <w:t>按照各固体废物属性分类收集、分别处置，并按相关</w:t>
            </w:r>
            <w:r>
              <w:rPr>
                <w:sz w:val="24"/>
              </w:rPr>
              <w:t>标准建立固体废物临时堆放场地，不得到处堆放。各固体废物的清理或外运应及时彻底，采取以上措施后，本工程固体废物均可得到妥善处理，对周围环境影响</w:t>
            </w:r>
            <w:r>
              <w:rPr>
                <w:rFonts w:hint="eastAsia"/>
                <w:sz w:val="24"/>
              </w:rPr>
              <w:t>较小</w:t>
            </w:r>
            <w:r>
              <w:rPr>
                <w:sz w:val="24"/>
              </w:rPr>
              <w:t>。</w:t>
            </w:r>
          </w:p>
          <w:p>
            <w:pPr>
              <w:spacing w:line="360" w:lineRule="auto"/>
              <w:ind w:firstLine="482" w:firstLineChars="200"/>
              <w:rPr>
                <w:rFonts w:hint="default" w:hAnsi="宋体"/>
                <w:b/>
                <w:bCs/>
                <w:color w:val="auto"/>
                <w:sz w:val="24"/>
                <w:szCs w:val="22"/>
                <w:lang w:val="en-US" w:eastAsia="zh-CN"/>
              </w:rPr>
            </w:pPr>
            <w:r>
              <w:rPr>
                <w:rFonts w:hint="eastAsia" w:hAnsi="宋体"/>
                <w:b/>
                <w:bCs/>
                <w:color w:val="auto"/>
                <w:sz w:val="24"/>
                <w:szCs w:val="22"/>
                <w:lang w:val="en-US" w:eastAsia="zh-CN"/>
              </w:rPr>
              <w:t>5.土壤环境影响分析</w:t>
            </w:r>
          </w:p>
          <w:p>
            <w:pPr>
              <w:spacing w:line="360" w:lineRule="auto"/>
              <w:ind w:firstLine="480" w:firstLineChars="200"/>
              <w:rPr>
                <w:color w:val="auto"/>
                <w:sz w:val="24"/>
              </w:rPr>
            </w:pPr>
            <w:r>
              <w:rPr>
                <w:rFonts w:hint="default" w:ascii="Times New Roman" w:hAnsi="Times New Roman" w:eastAsia="宋体" w:cs="Times New Roman"/>
                <w:sz w:val="24"/>
              </w:rPr>
              <w:t>根据《环境影响评价技术导则 土壤环境（试行）》（HJ964-2018）中附录A 本项目</w:t>
            </w:r>
            <w:r>
              <w:rPr>
                <w:color w:val="auto"/>
                <w:sz w:val="24"/>
              </w:rPr>
              <w:t>属于</w:t>
            </w:r>
            <w:r>
              <w:rPr>
                <w:rFonts w:hint="eastAsia"/>
                <w:color w:val="auto"/>
                <w:sz w:val="24"/>
              </w:rPr>
              <w:t>“</w:t>
            </w:r>
            <w:r>
              <w:rPr>
                <w:rFonts w:hint="eastAsia"/>
                <w:color w:val="auto"/>
                <w:sz w:val="24"/>
                <w:lang w:eastAsia="zh-CN"/>
              </w:rPr>
              <w:t>金属冶炼和压延加工及非金属矿物制品</w:t>
            </w:r>
            <w:r>
              <w:rPr>
                <w:rFonts w:hint="eastAsia"/>
                <w:color w:val="auto"/>
                <w:sz w:val="24"/>
              </w:rPr>
              <w:t>”中其他</w:t>
            </w:r>
            <w:r>
              <w:rPr>
                <w:color w:val="auto"/>
                <w:sz w:val="24"/>
              </w:rPr>
              <w:t>，属于</w:t>
            </w:r>
            <w:r>
              <w:rPr>
                <w:color w:val="auto"/>
                <w:lang w:val="zh-CN"/>
              </w:rPr>
              <w:t>III</w:t>
            </w:r>
            <w:r>
              <w:rPr>
                <w:color w:val="auto"/>
                <w:sz w:val="24"/>
              </w:rPr>
              <w:t>类项目且建设项目占地规模为小型（≤5hm</w:t>
            </w:r>
            <w:r>
              <w:rPr>
                <w:color w:val="auto"/>
                <w:sz w:val="24"/>
                <w:vertAlign w:val="superscript"/>
              </w:rPr>
              <w:t>2</w:t>
            </w:r>
            <w:r>
              <w:rPr>
                <w:color w:val="auto"/>
                <w:sz w:val="24"/>
              </w:rPr>
              <w:t>），建设项目所在地周边的土壤环境敏感程度为敏感，根据导则要求确定本项目土壤环境</w:t>
            </w:r>
            <w:r>
              <w:rPr>
                <w:rFonts w:hint="eastAsia"/>
                <w:color w:val="auto"/>
                <w:sz w:val="24"/>
                <w:lang w:eastAsia="zh-CN"/>
              </w:rPr>
              <w:t>评价工作等级为三级</w:t>
            </w:r>
            <w:r>
              <w:rPr>
                <w:rFonts w:hint="default" w:ascii="Times New Roman" w:hAnsi="Times New Roman" w:eastAsia="宋体" w:cs="Times New Roman"/>
                <w:sz w:val="24"/>
              </w:rPr>
              <w:t>，评价范围为项目所在地块及周边50m范围</w:t>
            </w:r>
            <w:r>
              <w:rPr>
                <w:rFonts w:hint="eastAsia" w:ascii="Times New Roman" w:hAnsi="Times New Roman" w:cs="Times New Roman"/>
                <w:sz w:val="24"/>
                <w:lang w:eastAsia="zh-CN"/>
              </w:rPr>
              <w:t>内</w:t>
            </w:r>
            <w:r>
              <w:rPr>
                <w:rFonts w:hint="default" w:ascii="Times New Roman" w:hAnsi="Times New Roman" w:eastAsia="宋体" w:cs="Times New Roman"/>
                <w:sz w:val="24"/>
              </w:rPr>
              <w:t>。</w:t>
            </w:r>
          </w:p>
          <w:p>
            <w:pPr>
              <w:widowControl/>
              <w:ind w:firstLine="482" w:firstLineChars="200"/>
              <w:jc w:val="center"/>
              <w:rPr>
                <w:rFonts w:hint="eastAsia"/>
                <w:b/>
                <w:sz w:val="24"/>
              </w:rPr>
            </w:pPr>
            <w:r>
              <w:rPr>
                <w:rFonts w:hint="eastAsia"/>
                <w:b/>
                <w:sz w:val="24"/>
              </w:rPr>
              <w:t>表</w:t>
            </w:r>
            <w:r>
              <w:rPr>
                <w:b/>
                <w:sz w:val="24"/>
              </w:rPr>
              <w:t>7-</w:t>
            </w:r>
            <w:r>
              <w:rPr>
                <w:rFonts w:hint="eastAsia"/>
                <w:b/>
                <w:sz w:val="24"/>
              </w:rPr>
              <w:t>1</w:t>
            </w:r>
            <w:r>
              <w:rPr>
                <w:rFonts w:hint="eastAsia"/>
                <w:b/>
                <w:sz w:val="24"/>
                <w:lang w:val="en-US" w:eastAsia="zh-CN"/>
              </w:rPr>
              <w:t>0</w:t>
            </w:r>
            <w:r>
              <w:rPr>
                <w:b/>
                <w:sz w:val="24"/>
              </w:rPr>
              <w:t xml:space="preserve"> 污染影响型评价工作等级划分表</w:t>
            </w:r>
          </w:p>
          <w:tbl>
            <w:tblPr>
              <w:tblStyle w:val="28"/>
              <w:tblpPr w:leftFromText="180" w:rightFromText="180" w:vertAnchor="text" w:horzAnchor="page" w:tblpX="183" w:tblpY="165"/>
              <w:tblOverlap w:val="never"/>
              <w:tblW w:w="82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51"/>
              <w:gridCol w:w="704"/>
              <w:gridCol w:w="704"/>
              <w:gridCol w:w="707"/>
              <w:gridCol w:w="705"/>
              <w:gridCol w:w="705"/>
              <w:gridCol w:w="707"/>
              <w:gridCol w:w="705"/>
              <w:gridCol w:w="705"/>
              <w:gridCol w:w="7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1" w:hRule="atLeast"/>
              </w:trPr>
              <w:tc>
                <w:tcPr>
                  <w:tcW w:w="1951" w:type="dxa"/>
                  <w:vMerge w:val="restart"/>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rPr>
                    <w:pict>
                      <v:line id="直线 484" o:spid="_x0000_s1519" o:spt="20" style="position:absolute;left:0pt;margin-left:36.7pt;margin-top:0.3pt;height:92.45pt;width:57.1pt;z-index:251729920;mso-width-relative:page;mso-height-relative:page;" filled="f" stroked="t" coordsize="21600,21600">
                        <v:path arrowok="t"/>
                        <v:fill on="f" focussize="0,0"/>
                        <v:stroke color="#000000"/>
                        <v:imagedata o:title=""/>
                        <o:lock v:ext="edit" aspectratio="f"/>
                      </v:line>
                    </w:pict>
                  </w:r>
                  <w:r>
                    <w:rPr>
                      <w:rFonts w:hint="eastAsia" w:ascii="宋体" w:hAnsi="宋体" w:cs="宋体"/>
                      <w:lang w:val="zh-CN"/>
                    </w:rPr>
                    <w:t xml:space="preserve">       </w:t>
                  </w:r>
                  <w:r>
                    <w:rPr>
                      <w:rFonts w:hint="eastAsia" w:ascii="宋体" w:hAnsi="宋体" w:cs="宋体"/>
                    </w:rPr>
                    <w:t xml:space="preserve"> </w:t>
                  </w:r>
                  <w:r>
                    <w:rPr>
                      <w:rFonts w:hint="eastAsia" w:ascii="宋体" w:hAnsi="宋体" w:cs="宋体"/>
                      <w:lang w:val="zh-CN"/>
                    </w:rPr>
                    <w:t>占地规模</w:t>
                  </w:r>
                </w:p>
                <w:p>
                  <w:pPr>
                    <w:autoSpaceDE w:val="0"/>
                    <w:autoSpaceDN w:val="0"/>
                    <w:adjustRightInd w:val="0"/>
                    <w:rPr>
                      <w:rFonts w:hint="eastAsia" w:ascii="宋体" w:hAnsi="宋体" w:cs="宋体"/>
                      <w:lang w:val="zh-CN"/>
                    </w:rPr>
                  </w:pPr>
                  <w:r>
                    <w:rPr>
                      <w:rFonts w:hint="eastAsia" w:ascii="宋体" w:hAnsi="宋体" w:cs="宋体"/>
                      <w:lang w:val="zh-CN"/>
                    </w:rPr>
                    <w:t>评价工作等级</w:t>
                  </w:r>
                </w:p>
                <w:p>
                  <w:pPr>
                    <w:autoSpaceDE w:val="0"/>
                    <w:autoSpaceDN w:val="0"/>
                    <w:adjustRightInd w:val="0"/>
                    <w:rPr>
                      <w:rFonts w:hint="eastAsia" w:ascii="宋体" w:hAnsi="宋体" w:cs="宋体"/>
                      <w:lang w:val="zh-CN"/>
                    </w:rPr>
                  </w:pPr>
                  <w:r>
                    <w:rPr>
                      <w:rFonts w:hint="eastAsia" w:ascii="宋体" w:hAnsi="宋体" w:cs="宋体"/>
                    </w:rPr>
                    <w:pict>
                      <v:line id="_x0000_s1520" o:spid="_x0000_s1520" o:spt="20" style="position:absolute;left:0pt;margin-left:-5.3pt;margin-top:4.4pt;height:57.75pt;width:98.5pt;z-index:251728896;mso-width-relative:page;mso-height-relative:page;" filled="f" stroked="t" coordsize="21600,21600">
                        <v:path arrowok="t"/>
                        <v:fill on="f" focussize="0,0"/>
                        <v:stroke color="#000000"/>
                        <v:imagedata o:title=""/>
                        <o:lock v:ext="edit" aspectratio="f"/>
                      </v:line>
                    </w:pict>
                  </w:r>
                </w:p>
                <w:p>
                  <w:pPr>
                    <w:pStyle w:val="2"/>
                    <w:spacing w:line="360" w:lineRule="auto"/>
                    <w:rPr>
                      <w:rFonts w:hint="eastAsia" w:ascii="宋体" w:hAnsi="宋体" w:cs="宋体"/>
                      <w:lang w:val="zh-CN"/>
                    </w:rPr>
                  </w:pPr>
                  <w:r>
                    <w:rPr>
                      <w:rFonts w:hint="eastAsia" w:ascii="宋体" w:hAnsi="宋体" w:cs="宋体"/>
                      <w:lang w:val="zh-CN"/>
                    </w:rPr>
                    <w:t>敏感规模</w:t>
                  </w:r>
                </w:p>
              </w:tc>
              <w:tc>
                <w:tcPr>
                  <w:tcW w:w="2115" w:type="dxa"/>
                  <w:gridSpan w:val="3"/>
                  <w:tcBorders>
                    <w:top w:val="single" w:color="auto" w:sz="12"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I类</w:t>
                  </w:r>
                </w:p>
              </w:tc>
              <w:tc>
                <w:tcPr>
                  <w:tcW w:w="2117" w:type="dxa"/>
                  <w:gridSpan w:val="3"/>
                  <w:tcBorders>
                    <w:top w:val="single" w:color="auto" w:sz="12"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II类</w:t>
                  </w:r>
                </w:p>
              </w:tc>
              <w:tc>
                <w:tcPr>
                  <w:tcW w:w="2115" w:type="dxa"/>
                  <w:gridSpan w:val="3"/>
                  <w:tcBorders>
                    <w:top w:val="single" w:color="auto" w:sz="12" w:space="0"/>
                    <w:left w:val="single" w:color="auto" w:sz="6" w:space="0"/>
                    <w:bottom w:val="single" w:color="auto" w:sz="6" w:space="0"/>
                    <w:right w:val="single" w:color="auto" w:sz="12"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III类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4" w:hRule="atLeast"/>
              </w:trPr>
              <w:tc>
                <w:tcPr>
                  <w:tcW w:w="1951" w:type="dxa"/>
                  <w:vMerge w:val="continue"/>
                  <w:tcBorders>
                    <w:top w:val="single" w:color="auto" w:sz="12" w:space="0"/>
                    <w:left w:val="single" w:color="auto" w:sz="12" w:space="0"/>
                    <w:bottom w:val="single" w:color="auto" w:sz="6" w:space="0"/>
                    <w:right w:val="single" w:color="auto" w:sz="6" w:space="0"/>
                  </w:tcBorders>
                  <w:noWrap w:val="0"/>
                  <w:vAlign w:val="center"/>
                </w:tcPr>
                <w:p>
                  <w:pPr>
                    <w:widowControl/>
                    <w:jc w:val="left"/>
                    <w:rPr>
                      <w:rFonts w:hint="eastAsia" w:ascii="宋体" w:hAnsi="宋体" w:cs="宋体"/>
                      <w:lang w:val="zh-CN"/>
                    </w:rPr>
                  </w:pPr>
                </w:p>
              </w:tc>
              <w:tc>
                <w:tcPr>
                  <w:tcW w:w="7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大</w:t>
                  </w:r>
                </w:p>
              </w:tc>
              <w:tc>
                <w:tcPr>
                  <w:tcW w:w="7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中</w:t>
                  </w:r>
                </w:p>
              </w:tc>
              <w:tc>
                <w:tcPr>
                  <w:tcW w:w="7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小</w:t>
                  </w:r>
                </w:p>
              </w:tc>
              <w:tc>
                <w:tcPr>
                  <w:tcW w:w="7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中</w:t>
                  </w:r>
                </w:p>
              </w:tc>
              <w:tc>
                <w:tcPr>
                  <w:tcW w:w="7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小</w:t>
                  </w:r>
                </w:p>
              </w:tc>
              <w:tc>
                <w:tcPr>
                  <w:tcW w:w="7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中</w:t>
                  </w:r>
                </w:p>
              </w:tc>
              <w:tc>
                <w:tcPr>
                  <w:tcW w:w="705"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1951"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敏感</w:t>
                  </w:r>
                </w:p>
              </w:tc>
              <w:tc>
                <w:tcPr>
                  <w:tcW w:w="7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一级</w:t>
                  </w:r>
                </w:p>
              </w:tc>
              <w:tc>
                <w:tcPr>
                  <w:tcW w:w="70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一级</w:t>
                  </w:r>
                </w:p>
              </w:tc>
              <w:tc>
                <w:tcPr>
                  <w:tcW w:w="707"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一级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二级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二级</w:t>
                  </w:r>
                </w:p>
              </w:tc>
              <w:tc>
                <w:tcPr>
                  <w:tcW w:w="707"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二级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三级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三级</w:t>
                  </w:r>
                </w:p>
              </w:tc>
              <w:tc>
                <w:tcPr>
                  <w:tcW w:w="705"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s="宋体"/>
                    </w:rPr>
                  </w:pPr>
                  <w:r>
                    <w:rPr>
                      <w:rFonts w:hint="eastAsia" w:ascii="宋体" w:hAnsi="宋体" w:cs="宋体"/>
                      <w:lang w:val="zh-CN"/>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1951"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较敏感</w:t>
                  </w:r>
                </w:p>
              </w:tc>
              <w:tc>
                <w:tcPr>
                  <w:tcW w:w="70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一级</w:t>
                  </w:r>
                </w:p>
              </w:tc>
              <w:tc>
                <w:tcPr>
                  <w:tcW w:w="7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一级</w:t>
                  </w:r>
                </w:p>
              </w:tc>
              <w:tc>
                <w:tcPr>
                  <w:tcW w:w="707"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二级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二级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二级</w:t>
                  </w:r>
                </w:p>
              </w:tc>
              <w:tc>
                <w:tcPr>
                  <w:tcW w:w="707"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三级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三级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三级</w:t>
                  </w:r>
                </w:p>
              </w:tc>
              <w:tc>
                <w:tcPr>
                  <w:tcW w:w="705"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1951"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不敏感</w:t>
                  </w:r>
                </w:p>
              </w:tc>
              <w:tc>
                <w:tcPr>
                  <w:tcW w:w="704"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一级</w:t>
                  </w:r>
                </w:p>
              </w:tc>
              <w:tc>
                <w:tcPr>
                  <w:tcW w:w="7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二级</w:t>
                  </w:r>
                </w:p>
              </w:tc>
              <w:tc>
                <w:tcPr>
                  <w:tcW w:w="707"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二级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二级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三级</w:t>
                  </w:r>
                </w:p>
              </w:tc>
              <w:tc>
                <w:tcPr>
                  <w:tcW w:w="707"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lang w:val="zh-CN"/>
                    </w:rPr>
                    <w:t>三级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三级</w:t>
                  </w:r>
                </w:p>
              </w:tc>
              <w:tc>
                <w:tcPr>
                  <w:tcW w:w="7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w:t>
                  </w:r>
                </w:p>
              </w:tc>
              <w:tc>
                <w:tcPr>
                  <w:tcW w:w="705"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center"/>
                    <w:rPr>
                      <w:rFonts w:hint="eastAsia" w:ascii="宋体" w:hAnsi="宋体" w:cs="宋体"/>
                      <w:lang w:val="zh-CN"/>
                    </w:rPr>
                  </w:pPr>
                  <w:r>
                    <w:rPr>
                      <w:rFonts w:hint="eastAsia" w:ascii="宋体" w:hAnsi="宋体" w:cs="宋体"/>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8298" w:type="dxa"/>
                  <w:gridSpan w:val="10"/>
                  <w:tcBorders>
                    <w:top w:val="single" w:color="auto" w:sz="6" w:space="0"/>
                    <w:left w:val="single" w:color="auto" w:sz="12" w:space="0"/>
                    <w:bottom w:val="single" w:color="auto" w:sz="12" w:space="0"/>
                    <w:right w:val="single" w:color="auto" w:sz="12" w:space="0"/>
                  </w:tcBorders>
                  <w:noWrap w:val="0"/>
                  <w:vAlign w:val="center"/>
                </w:tcPr>
                <w:p>
                  <w:pPr>
                    <w:pStyle w:val="2"/>
                    <w:jc w:val="center"/>
                    <w:rPr>
                      <w:rFonts w:hint="eastAsia" w:ascii="宋体" w:hAnsi="宋体" w:cs="宋体"/>
                      <w:b/>
                    </w:rPr>
                  </w:pPr>
                  <w:r>
                    <w:rPr>
                      <w:rFonts w:hint="eastAsia" w:ascii="宋体" w:hAnsi="宋体" w:cs="宋体"/>
                      <w:b/>
                    </w:rPr>
                    <w:t>注：“-”表示可不开展土壤环境影响评价工作</w:t>
                  </w:r>
                </w:p>
              </w:tc>
            </w:tr>
          </w:tbl>
          <w:p>
            <w:pPr>
              <w:spacing w:line="360" w:lineRule="auto"/>
              <w:ind w:firstLine="420" w:firstLineChars="200"/>
              <w:rPr>
                <w:sz w:val="24"/>
              </w:rPr>
            </w:pPr>
            <w:r>
              <w:rPr>
                <w:rFonts w:hint="eastAsia"/>
              </w:rPr>
              <w:t xml:space="preserve"> </w:t>
            </w:r>
            <w:r>
              <w:rPr>
                <w:rFonts w:hint="eastAsia"/>
                <w:b/>
                <w:bCs/>
                <w:sz w:val="24"/>
              </w:rPr>
              <w:t>预测与评价：</w:t>
            </w:r>
            <w:r>
              <w:rPr>
                <w:rFonts w:hint="eastAsia"/>
                <w:sz w:val="24"/>
              </w:rPr>
              <w:t>项目为污染影响型建设项目，其评价工作等级为三级，因此本次评价预测方法采用类比分析，并根据占地范围内的土体结构、土壤质地、饱和含水率等物理特性分析其可能影响深度。</w:t>
            </w:r>
          </w:p>
          <w:p>
            <w:pPr>
              <w:spacing w:line="360" w:lineRule="auto"/>
              <w:ind w:firstLine="480" w:firstLineChars="200"/>
              <w:rPr>
                <w:rFonts w:hint="eastAsia"/>
                <w:sz w:val="24"/>
              </w:rPr>
            </w:pPr>
            <w:r>
              <w:rPr>
                <w:rFonts w:hint="eastAsia"/>
                <w:sz w:val="24"/>
              </w:rPr>
              <w:t>正常工况下，项目</w:t>
            </w:r>
            <w:r>
              <w:rPr>
                <w:rFonts w:hint="eastAsia" w:ascii="Times New Roman" w:hAnsi="Times New Roman" w:cs="Times New Roman"/>
                <w:sz w:val="24"/>
                <w:szCs w:val="22"/>
                <w:lang w:eastAsia="zh-CN"/>
              </w:rPr>
              <w:t>采取了分区防渗（生产废水循环塔</w:t>
            </w:r>
            <w:r>
              <w:rPr>
                <w:rFonts w:hint="eastAsia"/>
                <w:sz w:val="24"/>
              </w:rPr>
              <w:t>、</w:t>
            </w:r>
            <w:r>
              <w:rPr>
                <w:rFonts w:hint="eastAsia"/>
                <w:sz w:val="24"/>
                <w:lang w:eastAsia="zh-CN"/>
              </w:rPr>
              <w:t>清水池为重点防渗区域；生产</w:t>
            </w:r>
            <w:r>
              <w:rPr>
                <w:rFonts w:hint="eastAsia"/>
                <w:sz w:val="24"/>
              </w:rPr>
              <w:t>车间地面、固废贮存区</w:t>
            </w:r>
            <w:r>
              <w:rPr>
                <w:rFonts w:hint="eastAsia"/>
                <w:sz w:val="24"/>
                <w:lang w:eastAsia="zh-CN"/>
              </w:rPr>
              <w:t>为一般防渗区；</w:t>
            </w:r>
            <w:r>
              <w:rPr>
                <w:rFonts w:hint="eastAsia"/>
                <w:sz w:val="24"/>
              </w:rPr>
              <w:t>卫生间、办公区、食堂</w:t>
            </w:r>
            <w:r>
              <w:rPr>
                <w:rFonts w:hint="eastAsia"/>
                <w:sz w:val="24"/>
                <w:lang w:eastAsia="zh-CN"/>
              </w:rPr>
              <w:t>为简单防渗区</w:t>
            </w:r>
            <w:r>
              <w:rPr>
                <w:rStyle w:val="35"/>
                <w:rFonts w:hint="eastAsia"/>
                <w:lang w:eastAsia="zh-CN"/>
              </w:rPr>
              <w:t>）</w:t>
            </w:r>
            <w:r>
              <w:rPr>
                <w:rFonts w:hint="eastAsia"/>
                <w:sz w:val="24"/>
              </w:rPr>
              <w:t>、对固体废弃物进行管理等防渗漏、防溢流措施，不会对土壤环境造成污染。非正常工况下，由于发生物料泄漏、下渗对土壤环境可能会造成一定影响。</w:t>
            </w:r>
          </w:p>
          <w:p>
            <w:pPr>
              <w:spacing w:line="360" w:lineRule="auto"/>
              <w:ind w:firstLine="480" w:firstLineChars="200"/>
              <w:rPr>
                <w:rFonts w:hint="eastAsia"/>
                <w:sz w:val="24"/>
              </w:rPr>
            </w:pPr>
            <w:r>
              <w:rPr>
                <w:rFonts w:hint="eastAsia"/>
                <w:sz w:val="24"/>
              </w:rPr>
              <w:t>泄露事故发生后，项目所在区域表层土为粉质粘土及杂填土，污染物的迁移较慢，</w:t>
            </w:r>
            <w:r>
              <w:rPr>
                <w:rFonts w:hint="eastAsia"/>
                <w:sz w:val="24"/>
                <w:lang w:eastAsia="zh-CN"/>
              </w:rPr>
              <w:t>生产废水</w:t>
            </w:r>
            <w:r>
              <w:rPr>
                <w:rFonts w:hint="eastAsia"/>
                <w:sz w:val="24"/>
              </w:rPr>
              <w:t>在如发生持续泄漏，污染物不断向外扩散，对周边土壤环境造成不利影响。综上，若不采取防渗措施，或者措施收到损坏，污染源在较长时间泄漏的情况下会对评价区范围内的土壤造成影响。因此建设单位应当采取相应防渗、防溢流等措施，减免污染源对评价范围内的土壤环境造成不良影响。</w:t>
            </w:r>
          </w:p>
          <w:p>
            <w:pPr>
              <w:pStyle w:val="2"/>
              <w:ind w:firstLine="482" w:firstLineChars="200"/>
              <w:rPr>
                <w:rFonts w:hint="eastAsia"/>
                <w:b/>
                <w:bCs/>
                <w:sz w:val="24"/>
              </w:rPr>
            </w:pPr>
            <w:r>
              <w:rPr>
                <w:rFonts w:hint="eastAsia"/>
                <w:b/>
                <w:bCs/>
                <w:sz w:val="24"/>
              </w:rPr>
              <w:t>源头控制措施：</w:t>
            </w:r>
          </w:p>
          <w:p>
            <w:pPr>
              <w:spacing w:line="360" w:lineRule="auto"/>
              <w:ind w:firstLine="480" w:firstLineChars="200"/>
              <w:rPr>
                <w:rFonts w:hint="eastAsia"/>
                <w:sz w:val="24"/>
              </w:rPr>
            </w:pPr>
            <w:r>
              <w:rPr>
                <w:rFonts w:hint="eastAsia"/>
                <w:sz w:val="24"/>
              </w:rPr>
              <w:t>本项目厂区设有一般固废暂存间，固废暂存间均采用混凝土硬化，一般固废暂存间严格遵照《一般工业固体废物贮存、处置场污染控制标准》（GB18599-2001）（2013修订）要求及相关建筑设计规范设计施工。</w:t>
            </w:r>
          </w:p>
          <w:p>
            <w:pPr>
              <w:spacing w:line="360" w:lineRule="auto"/>
              <w:ind w:firstLine="480" w:firstLineChars="200"/>
              <w:rPr>
                <w:sz w:val="24"/>
              </w:rPr>
            </w:pPr>
            <w:r>
              <w:rPr>
                <w:rFonts w:hint="eastAsia"/>
                <w:sz w:val="24"/>
              </w:rPr>
              <w:t>本项目生产废水不外排，生活废水</w:t>
            </w:r>
            <w:r>
              <w:rPr>
                <w:rFonts w:hint="eastAsia" w:ascii="宋体" w:hAnsi="宋体" w:eastAsia="宋体" w:cs="宋体"/>
                <w:b w:val="0"/>
                <w:bCs w:val="0"/>
                <w:sz w:val="24"/>
              </w:rPr>
              <w:t>生活废水经化粪池处理后人工清掏用于周边农田施肥，不外排。</w:t>
            </w:r>
            <w:r>
              <w:rPr>
                <w:rFonts w:hint="eastAsia" w:ascii="宋体" w:hAnsi="宋体" w:eastAsia="宋体" w:cs="宋体"/>
                <w:sz w:val="24"/>
              </w:rPr>
              <w:t>通过完善生产废水、生活污水的收集系统，并对污水收集管网、处理系统等采用相应的防渗措施，降低污水泄露造成的土壤污</w:t>
            </w:r>
            <w:r>
              <w:rPr>
                <w:rFonts w:hint="eastAsia"/>
                <w:sz w:val="24"/>
              </w:rPr>
              <w:t>染风险。</w:t>
            </w:r>
          </w:p>
          <w:p>
            <w:pPr>
              <w:spacing w:line="360" w:lineRule="auto"/>
              <w:ind w:firstLine="482" w:firstLineChars="200"/>
              <w:rPr>
                <w:sz w:val="24"/>
              </w:rPr>
            </w:pPr>
            <w:r>
              <w:rPr>
                <w:rFonts w:hint="eastAsia"/>
                <w:b/>
                <w:bCs/>
                <w:sz w:val="24"/>
              </w:rPr>
              <w:t>过程控制措施：</w:t>
            </w:r>
          </w:p>
          <w:p>
            <w:pPr>
              <w:spacing w:line="360" w:lineRule="auto"/>
              <w:ind w:firstLine="480" w:firstLineChars="200"/>
              <w:rPr>
                <w:sz w:val="24"/>
              </w:rPr>
            </w:pPr>
            <w:r>
              <w:rPr>
                <w:rFonts w:hint="eastAsia"/>
                <w:sz w:val="24"/>
              </w:rPr>
              <w:t>根据实际情况，按照渗漏风险的轻重分别设防，分为重点防渗区、一般防渗区、简单防渗区，其中</w:t>
            </w:r>
            <w:r>
              <w:rPr>
                <w:rFonts w:hint="eastAsia" w:ascii="Times New Roman" w:hAnsi="Times New Roman" w:cs="Times New Roman"/>
                <w:sz w:val="24"/>
                <w:szCs w:val="22"/>
                <w:lang w:eastAsia="zh-CN"/>
              </w:rPr>
              <w:t>生产废水循环塔</w:t>
            </w:r>
            <w:r>
              <w:rPr>
                <w:rFonts w:hint="eastAsia"/>
                <w:sz w:val="24"/>
              </w:rPr>
              <w:t>、</w:t>
            </w:r>
            <w:r>
              <w:rPr>
                <w:rFonts w:hint="eastAsia"/>
                <w:sz w:val="24"/>
                <w:lang w:eastAsia="zh-CN"/>
              </w:rPr>
              <w:t>清水池为重点防渗区域；生产</w:t>
            </w:r>
            <w:r>
              <w:rPr>
                <w:rFonts w:hint="eastAsia"/>
                <w:sz w:val="24"/>
              </w:rPr>
              <w:t>车间地面、固废贮存区</w:t>
            </w:r>
            <w:r>
              <w:rPr>
                <w:rFonts w:hint="eastAsia"/>
                <w:sz w:val="24"/>
                <w:lang w:eastAsia="zh-CN"/>
              </w:rPr>
              <w:t>为一般防渗区；</w:t>
            </w:r>
            <w:r>
              <w:rPr>
                <w:rFonts w:hint="eastAsia"/>
                <w:sz w:val="24"/>
              </w:rPr>
              <w:t>办公区</w:t>
            </w:r>
            <w:r>
              <w:rPr>
                <w:rFonts w:hint="eastAsia"/>
                <w:sz w:val="24"/>
                <w:lang w:eastAsia="zh-CN"/>
              </w:rPr>
              <w:t>、食堂为简单防渗区</w:t>
            </w:r>
            <w:r>
              <w:rPr>
                <w:rFonts w:hint="eastAsia"/>
                <w:sz w:val="24"/>
              </w:rPr>
              <w:t>。可有效降低固体废物对土壤的污染影响。加强厂区绿化，减少因大气沉降而对土壤环境造成的影响。</w:t>
            </w:r>
          </w:p>
          <w:p>
            <w:pPr>
              <w:spacing w:line="360" w:lineRule="auto"/>
              <w:ind w:firstLine="480" w:firstLineChars="200"/>
              <w:rPr>
                <w:sz w:val="24"/>
              </w:rPr>
            </w:pPr>
            <w:r>
              <w:rPr>
                <w:rFonts w:hint="eastAsia"/>
                <w:sz w:val="24"/>
              </w:rPr>
              <w:t>项目各污染物经对应环保措施处理后均能得到妥善处置，废水、固废进入土壤环境中，外排废气主要为TSP，且排污量较少，不会对项目周边土壤造成明显不利影响。</w:t>
            </w:r>
          </w:p>
          <w:p>
            <w:pPr>
              <w:spacing w:line="360" w:lineRule="auto"/>
              <w:ind w:firstLine="482" w:firstLineChars="200"/>
              <w:rPr>
                <w:rFonts w:hint="eastAsia"/>
                <w:sz w:val="24"/>
              </w:rPr>
            </w:pPr>
            <w:r>
              <w:rPr>
                <w:rFonts w:hint="eastAsia"/>
                <w:b/>
                <w:bCs/>
                <w:sz w:val="24"/>
              </w:rPr>
              <w:t>风险控制措施：</w:t>
            </w:r>
            <w:r>
              <w:rPr>
                <w:rFonts w:hint="eastAsia"/>
                <w:sz w:val="24"/>
              </w:rPr>
              <w:t>加强废水处理设施、污水管道、阀门的维护管理，确保安全运行。加强废物处理设备的日常运行管理，杜绝因废气处理装置效率降低造成的事故排放。一旦发现土壤污染事故，立即启动应急预案，采取应急措施控制土壤污染，并使污染得到治理。</w:t>
            </w:r>
          </w:p>
          <w:p>
            <w:pPr>
              <w:spacing w:line="360" w:lineRule="auto"/>
              <w:ind w:firstLine="480" w:firstLineChars="200"/>
              <w:rPr>
                <w:rFonts w:hint="eastAsia"/>
                <w:b/>
                <w:sz w:val="24"/>
              </w:rPr>
            </w:pPr>
            <w:r>
              <w:rPr>
                <w:rFonts w:hint="eastAsia"/>
                <w:sz w:val="24"/>
              </w:rPr>
              <w:t>综上分析，项目在污染防控措施及落实好厂区防渗工作的前提下，项目生产过程对厂区及周边土壤影响较小。</w:t>
            </w:r>
          </w:p>
          <w:p>
            <w:pPr>
              <w:spacing w:line="360" w:lineRule="auto"/>
              <w:ind w:firstLine="482" w:firstLineChars="200"/>
              <w:rPr>
                <w:b/>
                <w:sz w:val="24"/>
                <w:u w:val="single"/>
              </w:rPr>
            </w:pPr>
            <w:r>
              <w:rPr>
                <w:rFonts w:hint="eastAsia"/>
                <w:b/>
                <w:sz w:val="24"/>
                <w:u w:val="single"/>
                <w:lang w:val="en-US" w:eastAsia="zh-CN"/>
              </w:rPr>
              <w:t>6</w:t>
            </w:r>
            <w:r>
              <w:rPr>
                <w:rFonts w:hint="eastAsia"/>
                <w:b/>
                <w:sz w:val="24"/>
                <w:u w:val="single"/>
              </w:rPr>
              <w:t>.物料运输过程对环境影响分析</w:t>
            </w:r>
          </w:p>
          <w:p>
            <w:pPr>
              <w:spacing w:line="360" w:lineRule="auto"/>
              <w:ind w:firstLine="480" w:firstLineChars="200"/>
              <w:rPr>
                <w:rFonts w:hAnsi="宋体"/>
                <w:sz w:val="24"/>
                <w:u w:val="single"/>
              </w:rPr>
            </w:pPr>
            <w:r>
              <w:rPr>
                <w:rFonts w:hint="eastAsia" w:hAnsi="宋体"/>
                <w:sz w:val="24"/>
                <w:u w:val="single"/>
              </w:rPr>
              <w:t>项目原料及产品主要为鹅卵石，其物料本身比重较大、颗粒较大且杂质少，因此物料运输过程中其粉尘产生量很小。同时项目原料运输及产品运输主要依靠水运，水运相比汽车运输不会产生公路扬尘，运输速度相对较慢，且河道两岸居民少距离远，不会因运输过程中物料起尘对沿线居民造成影响，运输之前可适当洒水，能有效减少粉尘产生。因此，项目物料运输过程对环境影响较小。原材料到达码头后需采取货车运输至厂区内，为减轻货车运输产生的扬尘对周围居民的影响，本环评建议每天道路洒水频率不小于4~5次，通过采取洒水降尘等措施后，项目货车运输过程对环境的影响较小。</w:t>
            </w:r>
            <w:r>
              <w:rPr>
                <w:rFonts w:hint="eastAsia"/>
                <w:sz w:val="24"/>
                <w:szCs w:val="28"/>
                <w:u w:val="single"/>
              </w:rPr>
              <w:t>项目建成后，车辆采取</w:t>
            </w:r>
            <w:r>
              <w:rPr>
                <w:sz w:val="24"/>
                <w:u w:val="single"/>
              </w:rPr>
              <w:t>装有消声器和符合规定的喇叭，并保持性能良好</w:t>
            </w:r>
            <w:r>
              <w:rPr>
                <w:rFonts w:hint="eastAsia"/>
                <w:sz w:val="24"/>
                <w:szCs w:val="28"/>
                <w:u w:val="single"/>
              </w:rPr>
              <w:t>。通过加强道路的管理维护，声环境质量可达《</w:t>
            </w:r>
            <w:r>
              <w:rPr>
                <w:rFonts w:hAnsi="宋体"/>
                <w:sz w:val="24"/>
                <w:u w:val="single"/>
              </w:rPr>
              <w:t>声环境质量标准</w:t>
            </w:r>
            <w:r>
              <w:rPr>
                <w:rFonts w:hint="eastAsia"/>
                <w:sz w:val="24"/>
                <w:szCs w:val="28"/>
                <w:u w:val="single"/>
              </w:rPr>
              <w:t>》（</w:t>
            </w:r>
            <w:r>
              <w:rPr>
                <w:sz w:val="24"/>
                <w:szCs w:val="28"/>
                <w:u w:val="single"/>
              </w:rPr>
              <w:t>GB3096-</w:t>
            </w:r>
            <w:r>
              <w:rPr>
                <w:rFonts w:hint="eastAsia"/>
                <w:sz w:val="24"/>
                <w:szCs w:val="28"/>
                <w:u w:val="single"/>
              </w:rPr>
              <w:t>2008）中相应标准。因此</w:t>
            </w:r>
            <w:r>
              <w:rPr>
                <w:sz w:val="24"/>
                <w:szCs w:val="28"/>
                <w:u w:val="single"/>
              </w:rPr>
              <w:t>，</w:t>
            </w:r>
            <w:r>
              <w:rPr>
                <w:rFonts w:hint="eastAsia"/>
                <w:sz w:val="24"/>
                <w:szCs w:val="28"/>
                <w:u w:val="single"/>
              </w:rPr>
              <w:t>项目物料运输过程对环境的影响较小。</w:t>
            </w:r>
          </w:p>
          <w:p>
            <w:pPr>
              <w:spacing w:line="360" w:lineRule="auto"/>
              <w:ind w:firstLine="482" w:firstLineChars="200"/>
              <w:rPr>
                <w:b/>
                <w:sz w:val="24"/>
              </w:rPr>
            </w:pPr>
            <w:r>
              <w:rPr>
                <w:rFonts w:hint="eastAsia"/>
                <w:b/>
                <w:sz w:val="24"/>
              </w:rPr>
              <w:t>7.对长江项目区域河段影响分析</w:t>
            </w:r>
          </w:p>
          <w:p>
            <w:pPr>
              <w:spacing w:line="360" w:lineRule="auto"/>
              <w:ind w:firstLine="480" w:firstLineChars="200"/>
              <w:rPr>
                <w:rFonts w:hAnsi="宋体"/>
                <w:sz w:val="24"/>
              </w:rPr>
            </w:pPr>
            <w:r>
              <w:rPr>
                <w:rFonts w:hint="eastAsia" w:hAnsi="宋体"/>
                <w:sz w:val="24"/>
              </w:rPr>
              <w:t>（1）对长江航道影响分析</w:t>
            </w:r>
          </w:p>
          <w:p>
            <w:pPr>
              <w:spacing w:line="360" w:lineRule="auto"/>
              <w:ind w:firstLine="480" w:firstLineChars="200"/>
              <w:rPr>
                <w:sz w:val="24"/>
              </w:rPr>
            </w:pPr>
            <w:r>
              <w:rPr>
                <w:rFonts w:hint="eastAsia"/>
                <w:sz w:val="24"/>
              </w:rPr>
              <w:t>本项目位于长江边，距离长江为15km，其原料运输及销售至外地的产品均为水运。项目物料运输船需停靠装料、卸料，对此长江航段可能有一定影响。此航段最窄处为600米，河道较宽，项目停靠卸料为暂时性的，建议建设方坚强管理，严格控制停靠装料、卸料时间，将其对航段交通的影响降低到最小。根据生态环境部环水体【2018】181号《长江保护修复攻坚战行动计划》的通知，本项目不违背其相关要求。</w:t>
            </w:r>
          </w:p>
          <w:p>
            <w:pPr>
              <w:numPr>
                <w:ilvl w:val="0"/>
                <w:numId w:val="3"/>
              </w:numPr>
              <w:spacing w:line="360" w:lineRule="auto"/>
              <w:ind w:firstLine="480" w:firstLineChars="200"/>
              <w:rPr>
                <w:sz w:val="24"/>
              </w:rPr>
            </w:pPr>
            <w:r>
              <w:rPr>
                <w:rFonts w:hint="eastAsia"/>
                <w:sz w:val="24"/>
              </w:rPr>
              <w:t>对长江防洪泄洪影响分析</w:t>
            </w:r>
          </w:p>
          <w:p>
            <w:pPr>
              <w:spacing w:line="360" w:lineRule="auto"/>
              <w:ind w:firstLine="480" w:firstLineChars="200"/>
              <w:rPr>
                <w:rFonts w:hAnsi="宋体"/>
                <w:sz w:val="24"/>
              </w:rPr>
            </w:pPr>
            <w:r>
              <w:rPr>
                <w:rFonts w:hint="eastAsia"/>
                <w:sz w:val="24"/>
              </w:rPr>
              <w:t>长江流域洪水主要由暴雨形成，洪水的时空变化特性与暴雨一致，年最大洪水多发生在5～8 月份，主</w:t>
            </w:r>
            <w:r>
              <w:rPr>
                <w:rFonts w:hint="eastAsia"/>
                <w:color w:val="000000" w:themeColor="text1"/>
                <w:sz w:val="24"/>
              </w:rPr>
              <w:t>汛期为5，6月，洪水具有峰高量大、涨急落缓的特点。项目用地为租用华容县</w:t>
            </w:r>
            <w:r>
              <w:rPr>
                <w:rFonts w:hint="eastAsia" w:hAnsi="宋体"/>
                <w:color w:val="000000" w:themeColor="text1"/>
                <w:sz w:val="24"/>
              </w:rPr>
              <w:t>万庾镇</w:t>
            </w:r>
            <w:r>
              <w:rPr>
                <w:rFonts w:hint="eastAsia" w:hAnsi="宋体"/>
                <w:color w:val="000000" w:themeColor="text1"/>
                <w:sz w:val="24"/>
                <w:lang w:eastAsia="zh-CN"/>
              </w:rPr>
              <w:t>万庾村村民委员会</w:t>
            </w:r>
            <w:r>
              <w:rPr>
                <w:rFonts w:hint="eastAsia" w:hAnsi="宋体"/>
                <w:color w:val="000000" w:themeColor="text1"/>
                <w:sz w:val="24"/>
              </w:rPr>
              <w:t>，其</w:t>
            </w:r>
            <w:r>
              <w:rPr>
                <w:rFonts w:hint="eastAsia" w:hAnsi="宋体"/>
                <w:sz w:val="24"/>
              </w:rPr>
              <w:t>地势较高且不属于长江防洪大堤范围内，因此，对长江防洪泄洪基本无影响。</w:t>
            </w:r>
          </w:p>
          <w:p>
            <w:pPr>
              <w:spacing w:line="360" w:lineRule="auto"/>
              <w:ind w:firstLine="482" w:firstLineChars="200"/>
              <w:rPr>
                <w:b/>
                <w:sz w:val="24"/>
              </w:rPr>
            </w:pPr>
            <w:r>
              <w:rPr>
                <w:rFonts w:hint="eastAsia"/>
                <w:b/>
                <w:sz w:val="24"/>
              </w:rPr>
              <w:t>8.</w:t>
            </w:r>
            <w:r>
              <w:rPr>
                <w:rFonts w:hAnsi="宋体"/>
                <w:b/>
                <w:sz w:val="24"/>
              </w:rPr>
              <w:t>项目审批原则符合性分析</w:t>
            </w:r>
          </w:p>
          <w:p>
            <w:pPr>
              <w:spacing w:line="360" w:lineRule="auto"/>
              <w:ind w:firstLine="480" w:firstLineChars="200"/>
              <w:rPr>
                <w:sz w:val="24"/>
              </w:rPr>
            </w:pPr>
            <w:r>
              <w:rPr>
                <w:sz w:val="24"/>
              </w:rPr>
              <w:t>（1）产业政策符合性分析</w:t>
            </w:r>
          </w:p>
          <w:p>
            <w:pPr>
              <w:pStyle w:val="23"/>
              <w:snapToGrid w:val="0"/>
              <w:spacing w:before="120" w:beforeAutospacing="0" w:after="120" w:afterAutospacing="0" w:line="360" w:lineRule="auto"/>
              <w:ind w:firstLine="600"/>
              <w:jc w:val="both"/>
            </w:pPr>
            <w:r>
              <w:rPr>
                <w:rFonts w:hint="eastAsia"/>
                <w:bCs/>
              </w:rPr>
              <w:t>本项目</w:t>
            </w:r>
            <w:r>
              <w:rPr>
                <w:rFonts w:hint="eastAsia"/>
              </w:rPr>
              <w:t>经与</w:t>
            </w:r>
            <w:r>
              <w:t>《产业结构调整指导目录》（20</w:t>
            </w:r>
            <w:r>
              <w:rPr>
                <w:rFonts w:hint="eastAsia"/>
                <w:lang w:val="en-US" w:eastAsia="zh-CN"/>
              </w:rPr>
              <w:t>19</w:t>
            </w:r>
            <w:r>
              <w:t>年本）</w:t>
            </w:r>
            <w:r>
              <w:rPr>
                <w:rFonts w:hint="eastAsia"/>
              </w:rPr>
              <w:t>对照分析，</w:t>
            </w:r>
            <w:r>
              <w:t>本项目</w:t>
            </w:r>
            <w:r>
              <w:rPr>
                <w:rFonts w:hint="eastAsia"/>
              </w:rPr>
              <w:t>不属于“鼓励类”和“限制类”，属于“允许类”。因此项目建设符合国家的产业政策。</w:t>
            </w:r>
          </w:p>
          <w:p>
            <w:pPr>
              <w:pStyle w:val="23"/>
              <w:snapToGrid w:val="0"/>
              <w:spacing w:before="120" w:beforeAutospacing="0" w:after="120" w:afterAutospacing="0" w:line="360" w:lineRule="auto"/>
              <w:ind w:firstLine="600"/>
              <w:jc w:val="both"/>
            </w:pPr>
            <w:r>
              <w:rPr>
                <w:rFonts w:hint="eastAsia"/>
              </w:rPr>
              <w:t>（2）项目选址的可行性分析</w:t>
            </w:r>
          </w:p>
          <w:p>
            <w:pPr>
              <w:pStyle w:val="23"/>
              <w:snapToGrid w:val="0"/>
              <w:spacing w:before="120" w:beforeAutospacing="0" w:after="120" w:afterAutospacing="0" w:line="360" w:lineRule="auto"/>
              <w:ind w:firstLine="600"/>
              <w:jc w:val="both"/>
              <w:rPr>
                <w:color w:val="000000" w:themeColor="text1"/>
              </w:rPr>
            </w:pPr>
            <w:r>
              <w:rPr>
                <w:rFonts w:hint="eastAsia"/>
              </w:rPr>
              <w:t>拟选厂址位于</w:t>
            </w:r>
            <w:r>
              <w:rPr>
                <w:rFonts w:hint="eastAsia" w:ascii="Basemic Times" w:hAnsi="Basemic Times"/>
              </w:rPr>
              <w:t>华容县万庾镇万庾村苍苔七组</w:t>
            </w:r>
            <w:r>
              <w:t>，该区域属于</w:t>
            </w:r>
            <w:r>
              <w:rPr>
                <w:rFonts w:hint="eastAsia"/>
              </w:rPr>
              <w:t>华容县</w:t>
            </w:r>
            <w:r>
              <w:t>的乡</w:t>
            </w:r>
            <w:r>
              <w:rPr>
                <w:rFonts w:hint="eastAsia"/>
              </w:rPr>
              <w:t>镇</w:t>
            </w:r>
            <w:r>
              <w:t>偏远区域，未进行相关土地利用规划</w:t>
            </w:r>
            <w:r>
              <w:rPr>
                <w:rFonts w:hint="eastAsia"/>
              </w:rPr>
              <w:t>，</w:t>
            </w:r>
            <w:r>
              <w:t>项目选址与</w:t>
            </w:r>
            <w:r>
              <w:rPr>
                <w:rFonts w:hint="eastAsia"/>
              </w:rPr>
              <w:t>华容县</w:t>
            </w:r>
            <w:r>
              <w:t>的总体规划不冲突</w:t>
            </w:r>
            <w:r>
              <w:rPr>
                <w:rFonts w:hint="eastAsia"/>
              </w:rPr>
              <w:t>。项目取水来源于地下水作为补充，每天需补充40t/d新鲜水，能够满足需求，不需引用长江水，满足要求</w:t>
            </w:r>
            <w:r>
              <w:t>；评价区域内空气环境质量</w:t>
            </w:r>
            <w:r>
              <w:rPr>
                <w:rFonts w:hint="eastAsia"/>
              </w:rPr>
              <w:t>（经治理后）</w:t>
            </w:r>
            <w:r>
              <w:t>、地表水环境质量、声环境质量基本能满足相应功能区要求；该项目技术成熟，环保设备能达标并稳定运行，项目投产后对周围环境的影响不大。</w:t>
            </w:r>
            <w:r>
              <w:rPr>
                <w:rFonts w:hint="eastAsia"/>
                <w:lang w:eastAsia="zh-CN"/>
              </w:rPr>
              <w:t>项目用地属于万庾村苍台七组的土地集体资源，本项目已与万庾镇万庾</w:t>
            </w:r>
            <w:r>
              <w:rPr>
                <w:rFonts w:hint="eastAsia"/>
                <w:color w:val="auto"/>
                <w:lang w:eastAsia="zh-CN"/>
              </w:rPr>
              <w:t>村村民委员会签订了入股协议，同意将该地块用作砂石加工厂（详见附件</w:t>
            </w:r>
            <w:r>
              <w:rPr>
                <w:rFonts w:hint="eastAsia"/>
                <w:color w:val="auto"/>
                <w:lang w:val="en-US" w:eastAsia="zh-CN"/>
              </w:rPr>
              <w:t>6</w:t>
            </w:r>
            <w:r>
              <w:rPr>
                <w:rFonts w:hint="eastAsia"/>
                <w:color w:val="auto"/>
                <w:lang w:eastAsia="zh-CN"/>
              </w:rPr>
              <w:t>），</w:t>
            </w:r>
            <w:r>
              <w:rPr>
                <w:rFonts w:hint="eastAsia"/>
                <w:color w:val="auto"/>
              </w:rPr>
              <w:t>项目用地</w:t>
            </w:r>
            <w:r>
              <w:rPr>
                <w:rFonts w:hint="eastAsia"/>
                <w:color w:val="auto"/>
                <w:lang w:eastAsia="zh-CN"/>
              </w:rPr>
              <w:t>已取得了</w:t>
            </w:r>
            <w:r>
              <w:rPr>
                <w:rFonts w:hint="eastAsia"/>
                <w:color w:val="auto"/>
              </w:rPr>
              <w:t>华容县万庾镇人民政府</w:t>
            </w:r>
            <w:r>
              <w:rPr>
                <w:rFonts w:hint="eastAsia"/>
                <w:color w:val="auto"/>
                <w:lang w:eastAsia="zh-CN"/>
              </w:rPr>
              <w:t>的同意</w:t>
            </w:r>
            <w:r>
              <w:rPr>
                <w:rFonts w:hint="eastAsia"/>
                <w:color w:val="auto"/>
              </w:rPr>
              <w:t>协议（详</w:t>
            </w:r>
            <w:r>
              <w:rPr>
                <w:rFonts w:hint="eastAsia"/>
                <w:color w:val="000000" w:themeColor="text1"/>
              </w:rPr>
              <w:t>见附件</w:t>
            </w:r>
            <w:r>
              <w:rPr>
                <w:rFonts w:hint="eastAsia"/>
                <w:color w:val="000000" w:themeColor="text1"/>
                <w:lang w:val="en-US" w:eastAsia="zh-CN"/>
              </w:rPr>
              <w:t>5</w:t>
            </w:r>
            <w:r>
              <w:rPr>
                <w:rFonts w:hint="eastAsia"/>
                <w:color w:val="000000" w:themeColor="text1"/>
              </w:rPr>
              <w:t>），项目用地属于</w:t>
            </w:r>
            <w:r>
              <w:rPr>
                <w:rFonts w:hint="eastAsia"/>
                <w:color w:val="000000" w:themeColor="text1"/>
                <w:lang w:eastAsia="zh-CN"/>
              </w:rPr>
              <w:t>乡村</w:t>
            </w:r>
            <w:r>
              <w:rPr>
                <w:rFonts w:hint="eastAsia"/>
                <w:color w:val="000000" w:themeColor="text1"/>
              </w:rPr>
              <w:t>建设</w:t>
            </w:r>
            <w:r>
              <w:rPr>
                <w:rFonts w:hint="eastAsia"/>
                <w:color w:val="000000" w:themeColor="text1"/>
                <w:lang w:eastAsia="zh-CN"/>
              </w:rPr>
              <w:t>规划</w:t>
            </w:r>
            <w:r>
              <w:rPr>
                <w:rFonts w:hint="eastAsia"/>
                <w:color w:val="000000" w:themeColor="text1"/>
              </w:rPr>
              <w:t>用地，已取得</w:t>
            </w:r>
            <w:r>
              <w:rPr>
                <w:rFonts w:hint="eastAsia"/>
                <w:color w:val="000000" w:themeColor="text1"/>
                <w:lang w:eastAsia="zh-CN"/>
              </w:rPr>
              <w:t>华容县规划局乡镇规划</w:t>
            </w:r>
            <w:r>
              <w:rPr>
                <w:rFonts w:hint="eastAsia"/>
                <w:color w:val="000000" w:themeColor="text1"/>
              </w:rPr>
              <w:t>同意意见（详见附件</w:t>
            </w:r>
            <w:r>
              <w:rPr>
                <w:rFonts w:hint="eastAsia"/>
                <w:color w:val="000000" w:themeColor="text1"/>
                <w:lang w:val="en-US" w:eastAsia="zh-CN"/>
              </w:rPr>
              <w:t>7</w:t>
            </w:r>
            <w:r>
              <w:rPr>
                <w:rFonts w:hint="eastAsia"/>
                <w:color w:val="000000" w:themeColor="text1"/>
              </w:rPr>
              <w:t>），用地符合</w:t>
            </w:r>
            <w:r>
              <w:rPr>
                <w:rFonts w:hint="eastAsia"/>
                <w:color w:val="000000" w:themeColor="text1"/>
                <w:lang w:eastAsia="zh-CN"/>
              </w:rPr>
              <w:t>该镇总体规划</w:t>
            </w:r>
            <w:r>
              <w:rPr>
                <w:rFonts w:hint="eastAsia"/>
                <w:color w:val="000000" w:themeColor="text1"/>
              </w:rPr>
              <w:t>要求，</w:t>
            </w:r>
            <w:r>
              <w:rPr>
                <w:color w:val="000000" w:themeColor="text1"/>
              </w:rPr>
              <w:t>因此，建设工程的选址满足相关要求。</w:t>
            </w:r>
          </w:p>
          <w:p>
            <w:pPr>
              <w:spacing w:line="360" w:lineRule="auto"/>
              <w:ind w:firstLine="480" w:firstLineChars="200"/>
              <w:rPr>
                <w:sz w:val="24"/>
              </w:rPr>
            </w:pPr>
            <w:r>
              <w:rPr>
                <w:sz w:val="24"/>
              </w:rPr>
              <w:t>（</w:t>
            </w:r>
            <w:r>
              <w:rPr>
                <w:rFonts w:hint="eastAsia"/>
                <w:sz w:val="24"/>
              </w:rPr>
              <w:t>3</w:t>
            </w:r>
            <w:r>
              <w:rPr>
                <w:sz w:val="24"/>
              </w:rPr>
              <w:t>）厂区平面布置合理性与建议</w:t>
            </w:r>
          </w:p>
          <w:p>
            <w:pPr>
              <w:spacing w:line="360" w:lineRule="auto"/>
              <w:ind w:firstLine="480" w:firstLineChars="200"/>
              <w:rPr>
                <w:rFonts w:hAnsi="宋体"/>
                <w:color w:val="FF0000"/>
                <w:sz w:val="24"/>
                <w:u w:val="single"/>
              </w:rPr>
            </w:pPr>
            <w:r>
              <w:rPr>
                <w:sz w:val="24"/>
              </w:rPr>
              <w:t>总平面布置</w:t>
            </w:r>
            <w:r>
              <w:rPr>
                <w:rFonts w:hint="eastAsia"/>
                <w:sz w:val="24"/>
              </w:rPr>
              <w:t>图</w:t>
            </w:r>
            <w:r>
              <w:rPr>
                <w:spacing w:val="2"/>
                <w:sz w:val="24"/>
              </w:rPr>
              <w:t>：</w:t>
            </w:r>
            <w:r>
              <w:rPr>
                <w:rFonts w:hAnsi="宋体"/>
                <w:sz w:val="24"/>
                <w:szCs w:val="22"/>
              </w:rPr>
              <w:t>项目厂区主要组成部分包括：生产区、原料堆场、成品堆场及办公及生活区。</w:t>
            </w:r>
            <w:r>
              <w:rPr>
                <w:rFonts w:hint="eastAsia" w:hAnsi="宋体"/>
                <w:sz w:val="24"/>
                <w:szCs w:val="22"/>
              </w:rPr>
              <w:t>办公生活区和生产区分隔开，分为南北两部分，南部为办公区域，北部为生产区域；生产车间位于北部西侧</w:t>
            </w:r>
            <w:r>
              <w:rPr>
                <w:rFonts w:hint="eastAsia" w:hAnsi="宋体"/>
                <w:sz w:val="24"/>
                <w:szCs w:val="22"/>
                <w:lang w:eastAsia="zh-CN"/>
              </w:rPr>
              <w:t>，尽量远离东侧、南侧的紧邻居民</w:t>
            </w:r>
            <w:r>
              <w:rPr>
                <w:rFonts w:hint="eastAsia" w:hAnsi="宋体"/>
                <w:sz w:val="24"/>
                <w:szCs w:val="22"/>
              </w:rPr>
              <w:t>，</w:t>
            </w:r>
            <w:r>
              <w:rPr>
                <w:rFonts w:hint="eastAsia" w:hAnsi="宋体"/>
                <w:sz w:val="24"/>
                <w:szCs w:val="22"/>
                <w:lang w:eastAsia="zh-CN"/>
              </w:rPr>
              <w:t>减轻对周围居民的影响，项目</w:t>
            </w:r>
            <w:r>
              <w:rPr>
                <w:rFonts w:hint="eastAsia" w:hAnsi="宋体"/>
                <w:sz w:val="24"/>
                <w:szCs w:val="22"/>
              </w:rPr>
              <w:t>产品堆场位于北部中间，产品堆场南侧为原料堆场，绿化林地（已有）位于项目北部东侧</w:t>
            </w:r>
            <w:r>
              <w:rPr>
                <w:rFonts w:hAnsi="宋体"/>
                <w:sz w:val="24"/>
                <w:szCs w:val="22"/>
              </w:rPr>
              <w:t>。</w:t>
            </w:r>
            <w:r>
              <w:rPr>
                <w:rFonts w:hint="eastAsia" w:hAnsi="宋体"/>
                <w:sz w:val="24"/>
                <w:szCs w:val="22"/>
              </w:rPr>
              <w:t>货运进出口设置在北部南侧，人行进出口位于南部东侧，均接壤现有场外道路。</w:t>
            </w:r>
            <w:r>
              <w:rPr>
                <w:rFonts w:hint="eastAsia"/>
                <w:sz w:val="24"/>
              </w:rPr>
              <w:t>厂区内布局以功能为要素划分，中间紧邻进场道路作为原料堆场，生产加工车间位于原料堆场西侧，由南至北为破碎、筛分，筛分后的成品进入厂区北侧的成品堆场，成品堆场位于加工生产车间东侧（紧邻南侧进场道路，便于运输），整个工艺流程由东至西分布，保证了各种物料运输路线缩短快捷，减少或避免折返运输。厂区主出入口位于东南侧，与公路相临。项目因地制宜，合理布局，并在厂区周边布置绿化带，本工程的总平面布置将生产协作密切的车间组织在一起，力求做到建筑布置合理，功能分区明确，人车分离，物流畅通环形通畅的道路系统。因此，项目厂区平面布置基本合理。同时，本环评要求该项目道路及建筑厂区等设施的建设必须符合</w:t>
            </w:r>
            <w:r>
              <w:rPr>
                <w:rFonts w:hint="eastAsia"/>
                <w:sz w:val="24"/>
                <w:szCs w:val="24"/>
              </w:rPr>
              <w:t>住房和城乡建设部文件《机制砂石骨料工厂设计规范（GB51186-2016）》的要求。</w:t>
            </w:r>
          </w:p>
          <w:p>
            <w:pPr>
              <w:spacing w:line="360" w:lineRule="auto"/>
              <w:ind w:firstLine="482" w:firstLineChars="200"/>
              <w:rPr>
                <w:b/>
                <w:bCs/>
                <w:color w:val="auto"/>
                <w:sz w:val="24"/>
              </w:rPr>
            </w:pPr>
            <w:bookmarkStart w:id="30" w:name="OLE_LINK36"/>
            <w:r>
              <w:rPr>
                <w:rFonts w:hint="eastAsia"/>
                <w:b/>
                <w:bCs/>
                <w:color w:val="auto"/>
                <w:sz w:val="24"/>
                <w:lang w:val="en-US" w:eastAsia="zh-CN"/>
              </w:rPr>
              <w:t>9</w:t>
            </w:r>
            <w:r>
              <w:rPr>
                <w:b/>
                <w:bCs/>
                <w:color w:val="auto"/>
                <w:sz w:val="24"/>
              </w:rPr>
              <w:t>.</w:t>
            </w:r>
            <w:r>
              <w:rPr>
                <w:b/>
                <w:color w:val="auto"/>
                <w:sz w:val="24"/>
              </w:rPr>
              <w:t xml:space="preserve"> 环境管理</w:t>
            </w:r>
          </w:p>
          <w:p>
            <w:pPr>
              <w:spacing w:line="360" w:lineRule="auto"/>
              <w:ind w:firstLine="480" w:firstLineChars="200"/>
              <w:rPr>
                <w:color w:val="auto"/>
                <w:sz w:val="24"/>
              </w:rPr>
            </w:pPr>
            <w:r>
              <w:rPr>
                <w:color w:val="auto"/>
                <w:sz w:val="24"/>
              </w:rPr>
              <w:t>1、环境管理制度</w:t>
            </w:r>
          </w:p>
          <w:p>
            <w:pPr>
              <w:spacing w:line="360" w:lineRule="auto"/>
              <w:ind w:firstLine="480" w:firstLineChars="200"/>
              <w:rPr>
                <w:color w:val="auto"/>
                <w:sz w:val="24"/>
              </w:rPr>
            </w:pPr>
            <w:r>
              <w:rPr>
                <w:color w:val="auto"/>
                <w:sz w:val="24"/>
              </w:rPr>
              <w:t>（1）严格执行“三同时”制度</w:t>
            </w:r>
          </w:p>
          <w:p>
            <w:pPr>
              <w:spacing w:line="360" w:lineRule="auto"/>
              <w:ind w:firstLine="480" w:firstLineChars="200"/>
              <w:rPr>
                <w:color w:val="auto"/>
                <w:sz w:val="24"/>
              </w:rPr>
            </w:pPr>
            <w:r>
              <w:rPr>
                <w:color w:val="auto"/>
                <w:sz w:val="24"/>
              </w:rPr>
              <w:t>在项目筹备、设计和施工建设不同阶段，均应严格执行“三同时”制度，确保污染处理设施能够与生产工艺设施“同时设计、同时施工、同时投产使用”。</w:t>
            </w:r>
          </w:p>
          <w:p>
            <w:pPr>
              <w:spacing w:line="360" w:lineRule="auto"/>
              <w:ind w:firstLine="480" w:firstLineChars="200"/>
              <w:rPr>
                <w:color w:val="auto"/>
                <w:sz w:val="24"/>
              </w:rPr>
            </w:pPr>
            <w:r>
              <w:rPr>
                <w:color w:val="auto"/>
                <w:sz w:val="24"/>
              </w:rPr>
              <w:t>（2）建立环境报告制度</w:t>
            </w:r>
          </w:p>
          <w:p>
            <w:pPr>
              <w:spacing w:line="360" w:lineRule="auto"/>
              <w:ind w:firstLine="480" w:firstLineChars="200"/>
              <w:rPr>
                <w:color w:val="auto"/>
                <w:sz w:val="24"/>
              </w:rPr>
            </w:pPr>
            <w:r>
              <w:rPr>
                <w:color w:val="auto"/>
                <w:sz w:val="24"/>
              </w:rPr>
              <w:t>应按有关法规的要求，严格执行排污申报制度；此外，在项目工程排污发生重大变化、污染治理设施发生重大改变时必须及时向相关环保行政主管部门申报。</w:t>
            </w:r>
          </w:p>
          <w:p>
            <w:pPr>
              <w:spacing w:line="360" w:lineRule="auto"/>
              <w:ind w:firstLine="480" w:firstLineChars="200"/>
              <w:rPr>
                <w:color w:val="auto"/>
                <w:sz w:val="24"/>
              </w:rPr>
            </w:pPr>
            <w:r>
              <w:rPr>
                <w:color w:val="auto"/>
                <w:sz w:val="24"/>
              </w:rPr>
              <w:t>（3）健全污染治理设施管理制度</w:t>
            </w:r>
          </w:p>
          <w:p>
            <w:pPr>
              <w:spacing w:line="360" w:lineRule="auto"/>
              <w:ind w:firstLine="480" w:firstLineChars="200"/>
              <w:rPr>
                <w:color w:val="auto"/>
                <w:sz w:val="24"/>
              </w:rPr>
            </w:pPr>
            <w:r>
              <w:rPr>
                <w:color w:val="auto"/>
                <w:sz w:val="24"/>
              </w:rPr>
              <w:t>建立健全污染治理设施的运行、检修、维护保养的作业规程和管理制度，将污染治理设施的管理与生产经营管理一同纳入日常管理工作的范畴，落实责任人，建立管理台帐。避免擅自拆除或闲置现有的污染处理设施现象的发生，严禁故意不正常使用污染处理设施。</w:t>
            </w:r>
          </w:p>
          <w:p>
            <w:pPr>
              <w:spacing w:line="360" w:lineRule="auto"/>
              <w:ind w:firstLine="480" w:firstLineChars="200"/>
              <w:rPr>
                <w:color w:val="auto"/>
                <w:sz w:val="24"/>
              </w:rPr>
            </w:pPr>
            <w:r>
              <w:rPr>
                <w:color w:val="auto"/>
                <w:sz w:val="24"/>
              </w:rPr>
              <w:t>（4）建立环境目标管理责任制和奖惩条例</w:t>
            </w:r>
          </w:p>
          <w:p>
            <w:pPr>
              <w:spacing w:line="360" w:lineRule="auto"/>
              <w:ind w:firstLine="480" w:firstLineChars="200"/>
              <w:rPr>
                <w:color w:val="auto"/>
                <w:sz w:val="24"/>
              </w:rPr>
            </w:pPr>
            <w:r>
              <w:rPr>
                <w:color w:val="auto"/>
                <w:sz w:val="24"/>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p>
          <w:p>
            <w:pPr>
              <w:spacing w:line="360" w:lineRule="auto"/>
              <w:ind w:firstLine="480" w:firstLineChars="200"/>
              <w:rPr>
                <w:color w:val="auto"/>
                <w:sz w:val="24"/>
              </w:rPr>
            </w:pPr>
            <w:r>
              <w:rPr>
                <w:color w:val="auto"/>
                <w:sz w:val="24"/>
              </w:rPr>
              <w:t>（5）建立环境保护教育制度</w:t>
            </w:r>
          </w:p>
          <w:p>
            <w:pPr>
              <w:spacing w:line="360" w:lineRule="auto"/>
              <w:ind w:firstLine="480" w:firstLineChars="200"/>
              <w:rPr>
                <w:color w:val="auto"/>
                <w:sz w:val="24"/>
              </w:rPr>
            </w:pPr>
            <w:r>
              <w:rPr>
                <w:color w:val="auto"/>
                <w:sz w:val="24"/>
              </w:rPr>
              <w:t>对</w:t>
            </w:r>
            <w:r>
              <w:rPr>
                <w:rFonts w:hint="eastAsia"/>
                <w:color w:val="auto"/>
                <w:sz w:val="24"/>
              </w:rPr>
              <w:t>值班人员</w:t>
            </w:r>
            <w:r>
              <w:rPr>
                <w:color w:val="auto"/>
                <w:sz w:val="24"/>
              </w:rPr>
              <w:t>要进行环境保护知识的教育，明确有环境保护的重要性，增强环境意识，严格执行各种规章制度。</w:t>
            </w:r>
          </w:p>
          <w:p>
            <w:pPr>
              <w:spacing w:line="360" w:lineRule="auto"/>
              <w:ind w:firstLine="480" w:firstLineChars="200"/>
              <w:rPr>
                <w:color w:val="auto"/>
                <w:sz w:val="24"/>
              </w:rPr>
            </w:pPr>
            <w:r>
              <w:rPr>
                <w:color w:val="auto"/>
                <w:sz w:val="24"/>
              </w:rPr>
              <w:t>2、排污口规范化</w:t>
            </w:r>
          </w:p>
          <w:p>
            <w:pPr>
              <w:spacing w:line="360" w:lineRule="auto"/>
              <w:ind w:firstLine="480" w:firstLineChars="200"/>
              <w:rPr>
                <w:color w:val="auto"/>
                <w:sz w:val="24"/>
              </w:rPr>
            </w:pPr>
            <w:r>
              <w:rPr>
                <w:color w:val="auto"/>
                <w:sz w:val="24"/>
              </w:rPr>
              <w:t>根据国家环保总局《关于开展排污口规范化整治试点工作的意见》、《关于加快排污口规范化整治试点工作的通知》，企业所有排放口（包括水、气、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同时对污水排放口安装流量计，对治理设施安装运行监控装置、排污口的规范化要符合有关要求。</w:t>
            </w:r>
          </w:p>
          <w:p>
            <w:pPr>
              <w:spacing w:line="360" w:lineRule="auto"/>
              <w:ind w:firstLine="480" w:firstLineChars="200"/>
              <w:rPr>
                <w:color w:val="auto"/>
                <w:sz w:val="24"/>
              </w:rPr>
            </w:pPr>
            <w:r>
              <w:rPr>
                <w:color w:val="auto"/>
                <w:sz w:val="24"/>
              </w:rPr>
              <w:t>（1）废水排放口</w:t>
            </w:r>
          </w:p>
          <w:p>
            <w:pPr>
              <w:spacing w:line="360" w:lineRule="auto"/>
              <w:ind w:firstLine="480" w:firstLineChars="200"/>
              <w:rPr>
                <w:color w:val="auto"/>
                <w:sz w:val="24"/>
              </w:rPr>
            </w:pPr>
            <w:r>
              <w:rPr>
                <w:color w:val="auto"/>
                <w:sz w:val="24"/>
              </w:rPr>
              <w:t>本项目</w:t>
            </w:r>
            <w:r>
              <w:rPr>
                <w:rFonts w:hint="eastAsia"/>
                <w:color w:val="auto"/>
                <w:sz w:val="24"/>
              </w:rPr>
              <w:t>不设废水排放口</w:t>
            </w:r>
            <w:r>
              <w:rPr>
                <w:color w:val="auto"/>
                <w:sz w:val="24"/>
              </w:rPr>
              <w:t>。</w:t>
            </w:r>
          </w:p>
          <w:p>
            <w:pPr>
              <w:spacing w:line="360" w:lineRule="auto"/>
              <w:ind w:firstLine="480" w:firstLineChars="200"/>
              <w:rPr>
                <w:color w:val="auto"/>
                <w:sz w:val="24"/>
              </w:rPr>
            </w:pPr>
            <w:r>
              <w:rPr>
                <w:color w:val="auto"/>
                <w:sz w:val="24"/>
              </w:rPr>
              <w:t>（2）废气排放口</w:t>
            </w:r>
          </w:p>
          <w:p>
            <w:pPr>
              <w:spacing w:line="360" w:lineRule="auto"/>
              <w:ind w:firstLine="480" w:firstLineChars="200"/>
              <w:rPr>
                <w:color w:val="auto"/>
                <w:sz w:val="24"/>
              </w:rPr>
            </w:pPr>
            <w:r>
              <w:rPr>
                <w:color w:val="auto"/>
                <w:sz w:val="24"/>
              </w:rPr>
              <w:t>项目废气排气筒高度应符合国家大气污染物排放标准的有关规定，废气排放口必须符合规定的高度和按《污染源监测技术规范》便于采样、监测的要求。</w:t>
            </w:r>
          </w:p>
          <w:p>
            <w:pPr>
              <w:spacing w:line="360" w:lineRule="auto"/>
              <w:ind w:firstLine="480" w:firstLineChars="200"/>
              <w:rPr>
                <w:color w:val="auto"/>
                <w:sz w:val="24"/>
              </w:rPr>
            </w:pPr>
            <w:r>
              <w:rPr>
                <w:color w:val="auto"/>
                <w:sz w:val="24"/>
              </w:rPr>
              <w:t>（3）固定噪声源</w:t>
            </w:r>
          </w:p>
          <w:p>
            <w:pPr>
              <w:spacing w:line="360" w:lineRule="auto"/>
              <w:ind w:firstLine="480" w:firstLineChars="200"/>
              <w:rPr>
                <w:color w:val="auto"/>
                <w:sz w:val="24"/>
              </w:rPr>
            </w:pPr>
            <w:r>
              <w:rPr>
                <w:color w:val="auto"/>
                <w:sz w:val="24"/>
              </w:rPr>
              <w:t>按规定对固定噪声源进行治理，在固定噪声源处应按《环境保护图形标志》（GB15562.2-1995）要求设置环境保护图形标志牌。</w:t>
            </w:r>
          </w:p>
          <w:p>
            <w:pPr>
              <w:spacing w:line="360" w:lineRule="auto"/>
              <w:ind w:firstLine="480" w:firstLineChars="200"/>
              <w:rPr>
                <w:color w:val="auto"/>
                <w:sz w:val="24"/>
              </w:rPr>
            </w:pPr>
            <w:r>
              <w:rPr>
                <w:color w:val="auto"/>
                <w:sz w:val="24"/>
              </w:rPr>
              <w:t>（4）固体废物储存场</w:t>
            </w:r>
          </w:p>
          <w:p>
            <w:pPr>
              <w:spacing w:line="360" w:lineRule="auto"/>
              <w:ind w:firstLine="480" w:firstLineChars="200"/>
              <w:rPr>
                <w:color w:val="auto"/>
                <w:sz w:val="24"/>
              </w:rPr>
            </w:pPr>
            <w:r>
              <w:rPr>
                <w:rFonts w:hint="eastAsia"/>
                <w:color w:val="auto"/>
                <w:sz w:val="24"/>
              </w:rPr>
              <w:t>格栅栅渣和生活垃圾设置专用堆放场地，采取防止二次污染措施。</w:t>
            </w:r>
          </w:p>
          <w:p>
            <w:pPr>
              <w:spacing w:line="360" w:lineRule="auto"/>
              <w:ind w:firstLine="480" w:firstLineChars="200"/>
              <w:rPr>
                <w:color w:val="auto"/>
                <w:sz w:val="24"/>
              </w:rPr>
            </w:pPr>
            <w:r>
              <w:rPr>
                <w:color w:val="auto"/>
                <w:sz w:val="24"/>
              </w:rPr>
              <w:t>（5）设置标志牌要求</w:t>
            </w:r>
          </w:p>
          <w:p>
            <w:pPr>
              <w:spacing w:line="360" w:lineRule="auto"/>
              <w:ind w:firstLine="480" w:firstLineChars="200"/>
              <w:rPr>
                <w:color w:val="auto"/>
                <w:sz w:val="24"/>
              </w:rPr>
            </w:pPr>
            <w:r>
              <w:rPr>
                <w:color w:val="auto"/>
                <w:sz w:val="24"/>
              </w:rPr>
              <w:t>对</w:t>
            </w:r>
            <w:r>
              <w:rPr>
                <w:rFonts w:hint="eastAsia"/>
                <w:color w:val="auto"/>
                <w:sz w:val="24"/>
              </w:rPr>
              <w:t>本项目</w:t>
            </w:r>
            <w:r>
              <w:rPr>
                <w:color w:val="auto"/>
                <w:sz w:val="24"/>
              </w:rPr>
              <w:t>废气处理装置排口设置平面固定式提示标志牌或树立式固定式提示标志牌，平面固定式标志牌为0.48cm×0.3cm的长方形冷轧钢板，树立式提示标志牌为0.42cm×0.42cm的正方形冷轧钢板，提示牌的背景和立柱为绿色，图案、边框、支架和铺助标志的文字为白色，文字字型为黑体，标志牌辅助标志内容包括排污单位名称、标志牌名称、排污口编号和主要污染物名称，并交付当地环保部门注明。</w:t>
            </w:r>
          </w:p>
          <w:p>
            <w:pPr>
              <w:spacing w:line="360" w:lineRule="auto"/>
              <w:ind w:firstLine="480" w:firstLineChars="200"/>
              <w:rPr>
                <w:color w:val="auto"/>
                <w:sz w:val="24"/>
              </w:rPr>
            </w:pPr>
            <w:r>
              <w:rPr>
                <w:color w:val="auto"/>
                <w:sz w:val="24"/>
              </w:rPr>
              <w:t>环境保护图形标志的形状及颜色见表</w:t>
            </w:r>
            <w:r>
              <w:rPr>
                <w:rFonts w:hint="eastAsia"/>
                <w:color w:val="auto"/>
                <w:sz w:val="24"/>
                <w:lang w:val="en-US" w:eastAsia="zh-CN"/>
              </w:rPr>
              <w:t>7-11</w:t>
            </w:r>
            <w:r>
              <w:rPr>
                <w:color w:val="auto"/>
                <w:sz w:val="24"/>
              </w:rPr>
              <w:t>，环境保护图形符号见表</w:t>
            </w:r>
            <w:r>
              <w:rPr>
                <w:rFonts w:hint="eastAsia"/>
                <w:color w:val="auto"/>
                <w:sz w:val="24"/>
                <w:lang w:val="en-US" w:eastAsia="zh-CN"/>
              </w:rPr>
              <w:t>7-12</w:t>
            </w:r>
            <w:r>
              <w:rPr>
                <w:color w:val="auto"/>
                <w:sz w:val="24"/>
              </w:rPr>
              <w:t>。</w:t>
            </w:r>
          </w:p>
          <w:p>
            <w:pPr>
              <w:spacing w:line="360" w:lineRule="auto"/>
              <w:jc w:val="center"/>
              <w:rPr>
                <w:b/>
                <w:bCs/>
                <w:color w:val="auto"/>
                <w:sz w:val="24"/>
              </w:rPr>
            </w:pPr>
            <w:r>
              <w:rPr>
                <w:b/>
                <w:bCs/>
                <w:color w:val="auto"/>
                <w:sz w:val="24"/>
              </w:rPr>
              <w:t>表</w:t>
            </w:r>
            <w:r>
              <w:rPr>
                <w:rFonts w:hint="eastAsia"/>
                <w:b/>
                <w:bCs/>
                <w:color w:val="auto"/>
                <w:sz w:val="24"/>
                <w:lang w:val="en-US" w:eastAsia="zh-CN"/>
              </w:rPr>
              <w:t>7-11</w:t>
            </w:r>
            <w:r>
              <w:rPr>
                <w:b/>
                <w:bCs/>
                <w:color w:val="auto"/>
                <w:sz w:val="24"/>
              </w:rPr>
              <w:t xml:space="preserve">  环境保护图形标志的形状及颜色表</w:t>
            </w:r>
          </w:p>
          <w:tbl>
            <w:tblPr>
              <w:tblStyle w:val="28"/>
              <w:tblW w:w="83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98"/>
              <w:gridCol w:w="1504"/>
              <w:gridCol w:w="2298"/>
              <w:gridCol w:w="22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68" w:type="pct"/>
                  <w:tcBorders>
                    <w:top w:val="single" w:color="auto" w:sz="12" w:space="0"/>
                    <w:left w:val="single" w:color="auto" w:sz="12" w:space="0"/>
                    <w:bottom w:val="single" w:color="auto" w:sz="6" w:space="0"/>
                    <w:right w:val="single" w:color="auto" w:sz="6" w:space="0"/>
                  </w:tcBorders>
                  <w:noWrap w:val="0"/>
                  <w:vAlign w:val="center"/>
                </w:tcPr>
                <w:p>
                  <w:pPr>
                    <w:pStyle w:val="150"/>
                    <w:rPr>
                      <w:b/>
                      <w:color w:val="auto"/>
                      <w:lang w:val="en-US" w:eastAsia="zh-CN"/>
                    </w:rPr>
                  </w:pPr>
                  <w:r>
                    <w:rPr>
                      <w:b/>
                      <w:color w:val="auto"/>
                      <w:lang w:val="en-US" w:eastAsia="zh-CN"/>
                    </w:rPr>
                    <w:t>标志名称</w:t>
                  </w:r>
                </w:p>
              </w:tc>
              <w:tc>
                <w:tcPr>
                  <w:tcW w:w="895" w:type="pct"/>
                  <w:tcBorders>
                    <w:top w:val="single" w:color="auto" w:sz="12" w:space="0"/>
                    <w:left w:val="single" w:color="auto" w:sz="6" w:space="0"/>
                    <w:bottom w:val="single" w:color="auto" w:sz="6" w:space="0"/>
                    <w:right w:val="single" w:color="auto" w:sz="6" w:space="0"/>
                  </w:tcBorders>
                  <w:noWrap w:val="0"/>
                  <w:vAlign w:val="center"/>
                </w:tcPr>
                <w:p>
                  <w:pPr>
                    <w:pStyle w:val="150"/>
                    <w:rPr>
                      <w:b/>
                      <w:color w:val="auto"/>
                      <w:lang w:val="en-US" w:eastAsia="zh-CN"/>
                    </w:rPr>
                  </w:pPr>
                  <w:r>
                    <w:rPr>
                      <w:b/>
                      <w:color w:val="auto"/>
                      <w:lang w:val="en-US" w:eastAsia="zh-CN"/>
                    </w:rPr>
                    <w:t>形状</w:t>
                  </w:r>
                </w:p>
              </w:tc>
              <w:tc>
                <w:tcPr>
                  <w:tcW w:w="1368" w:type="pct"/>
                  <w:tcBorders>
                    <w:top w:val="single" w:color="auto" w:sz="12" w:space="0"/>
                    <w:left w:val="single" w:color="auto" w:sz="6" w:space="0"/>
                    <w:bottom w:val="single" w:color="auto" w:sz="6" w:space="0"/>
                    <w:right w:val="single" w:color="auto" w:sz="6" w:space="0"/>
                  </w:tcBorders>
                  <w:noWrap w:val="0"/>
                  <w:vAlign w:val="center"/>
                </w:tcPr>
                <w:p>
                  <w:pPr>
                    <w:pStyle w:val="150"/>
                    <w:rPr>
                      <w:b/>
                      <w:color w:val="auto"/>
                      <w:lang w:val="en-US" w:eastAsia="zh-CN"/>
                    </w:rPr>
                  </w:pPr>
                  <w:r>
                    <w:rPr>
                      <w:b/>
                      <w:color w:val="auto"/>
                      <w:lang w:val="en-US" w:eastAsia="zh-CN"/>
                    </w:rPr>
                    <w:t>背景颜色</w:t>
                  </w:r>
                </w:p>
              </w:tc>
              <w:tc>
                <w:tcPr>
                  <w:tcW w:w="1368" w:type="pct"/>
                  <w:tcBorders>
                    <w:top w:val="single" w:color="auto" w:sz="12" w:space="0"/>
                    <w:left w:val="single" w:color="auto" w:sz="6" w:space="0"/>
                    <w:bottom w:val="single" w:color="auto" w:sz="6" w:space="0"/>
                    <w:right w:val="single" w:color="auto" w:sz="12" w:space="0"/>
                  </w:tcBorders>
                  <w:noWrap w:val="0"/>
                  <w:vAlign w:val="center"/>
                </w:tcPr>
                <w:p>
                  <w:pPr>
                    <w:pStyle w:val="150"/>
                    <w:rPr>
                      <w:b/>
                      <w:color w:val="auto"/>
                      <w:lang w:val="en-US" w:eastAsia="zh-CN"/>
                    </w:rPr>
                  </w:pPr>
                  <w:r>
                    <w:rPr>
                      <w:b/>
                      <w:color w:val="auto"/>
                      <w:lang w:val="en-US" w:eastAsia="zh-CN"/>
                    </w:rPr>
                    <w:t>图形颜色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68" w:type="pct"/>
                  <w:tcBorders>
                    <w:top w:val="single" w:color="auto" w:sz="6" w:space="0"/>
                    <w:left w:val="single" w:color="auto" w:sz="12" w:space="0"/>
                    <w:bottom w:val="single" w:color="auto" w:sz="6" w:space="0"/>
                    <w:right w:val="single" w:color="auto" w:sz="6" w:space="0"/>
                  </w:tcBorders>
                  <w:noWrap w:val="0"/>
                  <w:vAlign w:val="center"/>
                </w:tcPr>
                <w:p>
                  <w:pPr>
                    <w:pStyle w:val="150"/>
                    <w:rPr>
                      <w:color w:val="auto"/>
                      <w:lang w:val="en-US" w:eastAsia="zh-CN"/>
                    </w:rPr>
                  </w:pPr>
                  <w:r>
                    <w:rPr>
                      <w:color w:val="auto"/>
                      <w:lang w:val="en-US" w:eastAsia="zh-CN"/>
                    </w:rPr>
                    <w:t>警告标志</w:t>
                  </w:r>
                </w:p>
              </w:tc>
              <w:tc>
                <w:tcPr>
                  <w:tcW w:w="895"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lang w:val="en-US" w:eastAsia="zh-CN"/>
                    </w:rPr>
                  </w:pPr>
                  <w:r>
                    <w:rPr>
                      <w:color w:val="auto"/>
                      <w:lang w:val="en-US" w:eastAsia="zh-CN"/>
                    </w:rPr>
                    <w:t>三角形边框</w:t>
                  </w:r>
                </w:p>
              </w:tc>
              <w:tc>
                <w:tcPr>
                  <w:tcW w:w="1368"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lang w:val="en-US" w:eastAsia="zh-CN"/>
                    </w:rPr>
                  </w:pPr>
                  <w:r>
                    <w:rPr>
                      <w:color w:val="auto"/>
                      <w:lang w:val="en-US" w:eastAsia="zh-CN"/>
                    </w:rPr>
                    <w:t>黄色</w:t>
                  </w:r>
                </w:p>
              </w:tc>
              <w:tc>
                <w:tcPr>
                  <w:tcW w:w="1368" w:type="pct"/>
                  <w:tcBorders>
                    <w:top w:val="single" w:color="auto" w:sz="6" w:space="0"/>
                    <w:left w:val="single" w:color="auto" w:sz="6" w:space="0"/>
                    <w:bottom w:val="single" w:color="auto" w:sz="6" w:space="0"/>
                    <w:right w:val="single" w:color="auto" w:sz="12" w:space="0"/>
                  </w:tcBorders>
                  <w:noWrap w:val="0"/>
                  <w:vAlign w:val="center"/>
                </w:tcPr>
                <w:p>
                  <w:pPr>
                    <w:pStyle w:val="150"/>
                    <w:rPr>
                      <w:color w:val="auto"/>
                      <w:lang w:val="en-US" w:eastAsia="zh-CN"/>
                    </w:rPr>
                  </w:pPr>
                  <w:r>
                    <w:rPr>
                      <w:color w:val="auto"/>
                      <w:lang w:val="en-US" w:eastAsia="zh-CN"/>
                    </w:rPr>
                    <w:t>黑色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68" w:type="pct"/>
                  <w:tcBorders>
                    <w:top w:val="single" w:color="auto" w:sz="6" w:space="0"/>
                    <w:left w:val="single" w:color="auto" w:sz="12" w:space="0"/>
                    <w:bottom w:val="single" w:color="auto" w:sz="12" w:space="0"/>
                    <w:right w:val="single" w:color="auto" w:sz="6" w:space="0"/>
                  </w:tcBorders>
                  <w:noWrap w:val="0"/>
                  <w:vAlign w:val="center"/>
                </w:tcPr>
                <w:p>
                  <w:pPr>
                    <w:pStyle w:val="150"/>
                    <w:rPr>
                      <w:color w:val="auto"/>
                      <w:lang w:val="en-US" w:eastAsia="zh-CN"/>
                    </w:rPr>
                  </w:pPr>
                  <w:r>
                    <w:rPr>
                      <w:color w:val="auto"/>
                      <w:lang w:val="en-US" w:eastAsia="zh-CN"/>
                    </w:rPr>
                    <w:t>提示标志</w:t>
                  </w:r>
                </w:p>
              </w:tc>
              <w:tc>
                <w:tcPr>
                  <w:tcW w:w="895" w:type="pct"/>
                  <w:tcBorders>
                    <w:top w:val="single" w:color="auto" w:sz="6" w:space="0"/>
                    <w:left w:val="single" w:color="auto" w:sz="6" w:space="0"/>
                    <w:bottom w:val="single" w:color="auto" w:sz="12" w:space="0"/>
                    <w:right w:val="single" w:color="auto" w:sz="6" w:space="0"/>
                  </w:tcBorders>
                  <w:noWrap w:val="0"/>
                  <w:vAlign w:val="center"/>
                </w:tcPr>
                <w:p>
                  <w:pPr>
                    <w:pStyle w:val="150"/>
                    <w:rPr>
                      <w:color w:val="auto"/>
                      <w:lang w:val="en-US" w:eastAsia="zh-CN"/>
                    </w:rPr>
                  </w:pPr>
                  <w:r>
                    <w:rPr>
                      <w:color w:val="auto"/>
                      <w:lang w:val="en-US" w:eastAsia="zh-CN"/>
                    </w:rPr>
                    <w:t>正方形边框</w:t>
                  </w:r>
                </w:p>
              </w:tc>
              <w:tc>
                <w:tcPr>
                  <w:tcW w:w="1368" w:type="pct"/>
                  <w:tcBorders>
                    <w:top w:val="single" w:color="auto" w:sz="6" w:space="0"/>
                    <w:left w:val="single" w:color="auto" w:sz="6" w:space="0"/>
                    <w:bottom w:val="single" w:color="auto" w:sz="12" w:space="0"/>
                    <w:right w:val="single" w:color="auto" w:sz="6" w:space="0"/>
                  </w:tcBorders>
                  <w:noWrap w:val="0"/>
                  <w:vAlign w:val="center"/>
                </w:tcPr>
                <w:p>
                  <w:pPr>
                    <w:pStyle w:val="150"/>
                    <w:rPr>
                      <w:color w:val="auto"/>
                      <w:lang w:val="en-US" w:eastAsia="zh-CN"/>
                    </w:rPr>
                  </w:pPr>
                  <w:r>
                    <w:rPr>
                      <w:color w:val="auto"/>
                      <w:lang w:val="en-US" w:eastAsia="zh-CN"/>
                    </w:rPr>
                    <w:t>绿色</w:t>
                  </w:r>
                </w:p>
              </w:tc>
              <w:tc>
                <w:tcPr>
                  <w:tcW w:w="1368" w:type="pct"/>
                  <w:tcBorders>
                    <w:top w:val="single" w:color="auto" w:sz="6" w:space="0"/>
                    <w:left w:val="single" w:color="auto" w:sz="6" w:space="0"/>
                    <w:bottom w:val="single" w:color="auto" w:sz="12" w:space="0"/>
                    <w:right w:val="single" w:color="auto" w:sz="12" w:space="0"/>
                  </w:tcBorders>
                  <w:noWrap w:val="0"/>
                  <w:vAlign w:val="center"/>
                </w:tcPr>
                <w:p>
                  <w:pPr>
                    <w:pStyle w:val="150"/>
                    <w:rPr>
                      <w:color w:val="auto"/>
                      <w:lang w:val="en-US" w:eastAsia="zh-CN"/>
                    </w:rPr>
                  </w:pPr>
                  <w:r>
                    <w:rPr>
                      <w:color w:val="auto"/>
                      <w:lang w:val="en-US" w:eastAsia="zh-CN"/>
                    </w:rPr>
                    <w:t>白色</w:t>
                  </w:r>
                </w:p>
              </w:tc>
            </w:tr>
          </w:tbl>
          <w:p>
            <w:pPr>
              <w:spacing w:line="360" w:lineRule="auto"/>
              <w:jc w:val="center"/>
              <w:rPr>
                <w:b/>
                <w:bCs/>
                <w:color w:val="auto"/>
                <w:sz w:val="24"/>
              </w:rPr>
            </w:pPr>
            <w:r>
              <w:rPr>
                <w:b/>
                <w:bCs/>
                <w:color w:val="auto"/>
                <w:sz w:val="24"/>
              </w:rPr>
              <w:t>表</w:t>
            </w:r>
            <w:r>
              <w:rPr>
                <w:rFonts w:hint="eastAsia"/>
                <w:b/>
                <w:bCs/>
                <w:color w:val="auto"/>
                <w:sz w:val="24"/>
                <w:lang w:val="en-US" w:eastAsia="zh-CN"/>
              </w:rPr>
              <w:t>7-12</w:t>
            </w:r>
            <w:r>
              <w:rPr>
                <w:b/>
                <w:bCs/>
                <w:color w:val="auto"/>
                <w:sz w:val="24"/>
              </w:rPr>
              <w:t xml:space="preserve">  环境保护图形符号一览表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2"/>
              <w:gridCol w:w="1581"/>
              <w:gridCol w:w="1686"/>
              <w:gridCol w:w="1576"/>
              <w:gridCol w:w="28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8" w:type="pct"/>
                  <w:tcBorders>
                    <w:top w:val="single" w:color="auto" w:sz="12" w:space="0"/>
                    <w:left w:val="single" w:color="auto" w:sz="12" w:space="0"/>
                    <w:bottom w:val="single" w:color="auto" w:sz="6" w:space="0"/>
                    <w:right w:val="single" w:color="auto" w:sz="6" w:space="0"/>
                  </w:tcBorders>
                  <w:noWrap w:val="0"/>
                  <w:vAlign w:val="center"/>
                </w:tcPr>
                <w:p>
                  <w:pPr>
                    <w:pStyle w:val="150"/>
                    <w:rPr>
                      <w:b/>
                      <w:color w:val="auto"/>
                    </w:rPr>
                  </w:pPr>
                  <w:r>
                    <w:rPr>
                      <w:rFonts w:hint="eastAsia"/>
                      <w:b/>
                      <w:color w:val="auto"/>
                    </w:rPr>
                    <w:t>序号</w:t>
                  </w:r>
                </w:p>
              </w:tc>
              <w:tc>
                <w:tcPr>
                  <w:tcW w:w="946" w:type="pct"/>
                  <w:tcBorders>
                    <w:top w:val="single" w:color="auto" w:sz="12" w:space="0"/>
                    <w:left w:val="single" w:color="auto" w:sz="6" w:space="0"/>
                    <w:bottom w:val="single" w:color="auto" w:sz="6" w:space="0"/>
                    <w:right w:val="single" w:color="auto" w:sz="6" w:space="0"/>
                  </w:tcBorders>
                  <w:noWrap w:val="0"/>
                  <w:vAlign w:val="center"/>
                </w:tcPr>
                <w:p>
                  <w:pPr>
                    <w:pStyle w:val="150"/>
                    <w:rPr>
                      <w:b/>
                      <w:color w:val="auto"/>
                    </w:rPr>
                  </w:pPr>
                  <w:r>
                    <w:rPr>
                      <w:rFonts w:hint="eastAsia"/>
                      <w:b/>
                      <w:color w:val="auto"/>
                    </w:rPr>
                    <w:t>提示图形符号</w:t>
                  </w:r>
                </w:p>
              </w:tc>
              <w:tc>
                <w:tcPr>
                  <w:tcW w:w="1009" w:type="pct"/>
                  <w:tcBorders>
                    <w:top w:val="single" w:color="auto" w:sz="12" w:space="0"/>
                    <w:left w:val="single" w:color="auto" w:sz="6" w:space="0"/>
                    <w:bottom w:val="single" w:color="auto" w:sz="6" w:space="0"/>
                    <w:right w:val="single" w:color="auto" w:sz="6" w:space="0"/>
                  </w:tcBorders>
                  <w:noWrap w:val="0"/>
                  <w:vAlign w:val="center"/>
                </w:tcPr>
                <w:p>
                  <w:pPr>
                    <w:pStyle w:val="150"/>
                    <w:rPr>
                      <w:b/>
                      <w:color w:val="auto"/>
                    </w:rPr>
                  </w:pPr>
                  <w:r>
                    <w:rPr>
                      <w:rFonts w:hint="eastAsia"/>
                      <w:b/>
                      <w:color w:val="auto"/>
                    </w:rPr>
                    <w:t>警告图形符号</w:t>
                  </w:r>
                </w:p>
              </w:tc>
              <w:tc>
                <w:tcPr>
                  <w:tcW w:w="943" w:type="pct"/>
                  <w:tcBorders>
                    <w:top w:val="single" w:color="auto" w:sz="12" w:space="0"/>
                    <w:left w:val="single" w:color="auto" w:sz="6" w:space="0"/>
                    <w:bottom w:val="single" w:color="auto" w:sz="6" w:space="0"/>
                    <w:right w:val="single" w:color="auto" w:sz="6" w:space="0"/>
                  </w:tcBorders>
                  <w:noWrap w:val="0"/>
                  <w:vAlign w:val="center"/>
                </w:tcPr>
                <w:p>
                  <w:pPr>
                    <w:pStyle w:val="150"/>
                    <w:rPr>
                      <w:b/>
                      <w:color w:val="auto"/>
                    </w:rPr>
                  </w:pPr>
                  <w:r>
                    <w:rPr>
                      <w:rFonts w:hint="eastAsia"/>
                      <w:b/>
                      <w:color w:val="auto"/>
                    </w:rPr>
                    <w:t>名称</w:t>
                  </w:r>
                </w:p>
              </w:tc>
              <w:tc>
                <w:tcPr>
                  <w:tcW w:w="1694" w:type="pct"/>
                  <w:tcBorders>
                    <w:top w:val="single" w:color="auto" w:sz="12" w:space="0"/>
                    <w:left w:val="single" w:color="auto" w:sz="6" w:space="0"/>
                    <w:bottom w:val="single" w:color="auto" w:sz="6" w:space="0"/>
                    <w:right w:val="single" w:color="auto" w:sz="12" w:space="0"/>
                  </w:tcBorders>
                  <w:noWrap w:val="0"/>
                  <w:vAlign w:val="center"/>
                </w:tcPr>
                <w:p>
                  <w:pPr>
                    <w:pStyle w:val="150"/>
                    <w:rPr>
                      <w:b/>
                      <w:color w:val="auto"/>
                    </w:rPr>
                  </w:pPr>
                  <w:r>
                    <w:rPr>
                      <w:rFonts w:hint="eastAsia"/>
                      <w:b/>
                      <w:color w:val="auto"/>
                    </w:rPr>
                    <w:t>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6" w:space="0"/>
                    <w:right w:val="single" w:color="auto" w:sz="6" w:space="0"/>
                  </w:tcBorders>
                  <w:noWrap w:val="0"/>
                  <w:vAlign w:val="center"/>
                </w:tcPr>
                <w:p>
                  <w:pPr>
                    <w:pStyle w:val="150"/>
                    <w:rPr>
                      <w:color w:val="auto"/>
                    </w:rPr>
                  </w:pPr>
                  <w:r>
                    <w:rPr>
                      <w:color w:val="auto"/>
                    </w:rPr>
                    <w:t>1</w:t>
                  </w:r>
                </w:p>
              </w:tc>
              <w:tc>
                <w:tcPr>
                  <w:tcW w:w="946"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color w:val="auto"/>
                    </w:rPr>
                    <w:drawing>
                      <wp:inline distT="0" distB="0" distL="114300" distR="114300">
                        <wp:extent cx="743585" cy="751840"/>
                        <wp:effectExtent l="0" t="0" r="18415" b="10160"/>
                        <wp:docPr id="15" name="图片 5" descr="说明: 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说明: 说明: 13001"/>
                                <pic:cNvPicPr>
                                  <a:picLocks noChangeAspect="1"/>
                                </pic:cNvPicPr>
                              </pic:nvPicPr>
                              <pic:blipFill>
                                <a:blip r:embed="rId22"/>
                                <a:stretch>
                                  <a:fillRect/>
                                </a:stretch>
                              </pic:blipFill>
                              <pic:spPr>
                                <a:xfrm>
                                  <a:off x="0" y="0"/>
                                  <a:ext cx="743585" cy="751840"/>
                                </a:xfrm>
                                <a:prstGeom prst="rect">
                                  <a:avLst/>
                                </a:prstGeom>
                                <a:noFill/>
                                <a:ln>
                                  <a:noFill/>
                                </a:ln>
                              </pic:spPr>
                            </pic:pic>
                          </a:graphicData>
                        </a:graphic>
                      </wp:inline>
                    </w:drawing>
                  </w:r>
                </w:p>
              </w:tc>
              <w:tc>
                <w:tcPr>
                  <w:tcW w:w="1009"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color w:val="auto"/>
                    </w:rPr>
                    <w:drawing>
                      <wp:inline distT="0" distB="0" distL="114300" distR="114300">
                        <wp:extent cx="789940" cy="800735"/>
                        <wp:effectExtent l="0" t="0" r="10160" b="18415"/>
                        <wp:docPr id="8" name="图片 6" descr="说明: 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说明: 说明: 13002"/>
                                <pic:cNvPicPr>
                                  <a:picLocks noChangeAspect="1"/>
                                </pic:cNvPicPr>
                              </pic:nvPicPr>
                              <pic:blipFill>
                                <a:blip r:embed="rId23"/>
                                <a:stretch>
                                  <a:fillRect/>
                                </a:stretch>
                              </pic:blipFill>
                              <pic:spPr>
                                <a:xfrm>
                                  <a:off x="0" y="0"/>
                                  <a:ext cx="789940" cy="800735"/>
                                </a:xfrm>
                                <a:prstGeom prst="rect">
                                  <a:avLst/>
                                </a:prstGeom>
                                <a:noFill/>
                                <a:ln>
                                  <a:noFill/>
                                </a:ln>
                              </pic:spPr>
                            </pic:pic>
                          </a:graphicData>
                        </a:graphic>
                      </wp:inline>
                    </w:drawing>
                  </w:r>
                </w:p>
              </w:tc>
              <w:tc>
                <w:tcPr>
                  <w:tcW w:w="943"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rFonts w:hint="eastAsia"/>
                      <w:color w:val="auto"/>
                    </w:rPr>
                    <w:t>废水排放口</w:t>
                  </w:r>
                </w:p>
              </w:tc>
              <w:tc>
                <w:tcPr>
                  <w:tcW w:w="1694" w:type="pct"/>
                  <w:tcBorders>
                    <w:top w:val="single" w:color="auto" w:sz="6" w:space="0"/>
                    <w:left w:val="single" w:color="auto" w:sz="6" w:space="0"/>
                    <w:bottom w:val="single" w:color="auto" w:sz="6" w:space="0"/>
                    <w:right w:val="single" w:color="auto" w:sz="12" w:space="0"/>
                  </w:tcBorders>
                  <w:noWrap w:val="0"/>
                  <w:vAlign w:val="center"/>
                </w:tcPr>
                <w:p>
                  <w:pPr>
                    <w:pStyle w:val="150"/>
                    <w:rPr>
                      <w:color w:val="auto"/>
                    </w:rPr>
                  </w:pPr>
                  <w:r>
                    <w:rPr>
                      <w:rFonts w:hint="eastAsia"/>
                      <w:color w:val="auto"/>
                    </w:rPr>
                    <w:t>表示废水向外环境排放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6" w:space="0"/>
                    <w:right w:val="single" w:color="auto" w:sz="6" w:space="0"/>
                  </w:tcBorders>
                  <w:noWrap w:val="0"/>
                  <w:vAlign w:val="center"/>
                </w:tcPr>
                <w:p>
                  <w:pPr>
                    <w:pStyle w:val="150"/>
                    <w:rPr>
                      <w:color w:val="auto"/>
                    </w:rPr>
                  </w:pPr>
                  <w:r>
                    <w:rPr>
                      <w:color w:val="auto"/>
                    </w:rPr>
                    <w:t>2</w:t>
                  </w:r>
                </w:p>
              </w:tc>
              <w:tc>
                <w:tcPr>
                  <w:tcW w:w="946"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color w:val="auto"/>
                    </w:rPr>
                    <w:drawing>
                      <wp:inline distT="0" distB="0" distL="114300" distR="114300">
                        <wp:extent cx="743585" cy="751840"/>
                        <wp:effectExtent l="0" t="0" r="18415" b="10160"/>
                        <wp:docPr id="14" name="图片 7" descr="说明: 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说明: 说明: 13003"/>
                                <pic:cNvPicPr>
                                  <a:picLocks noChangeAspect="1"/>
                                </pic:cNvPicPr>
                              </pic:nvPicPr>
                              <pic:blipFill>
                                <a:blip r:embed="rId24"/>
                                <a:stretch>
                                  <a:fillRect/>
                                </a:stretch>
                              </pic:blipFill>
                              <pic:spPr>
                                <a:xfrm>
                                  <a:off x="0" y="0"/>
                                  <a:ext cx="743585" cy="751840"/>
                                </a:xfrm>
                                <a:prstGeom prst="rect">
                                  <a:avLst/>
                                </a:prstGeom>
                                <a:noFill/>
                                <a:ln>
                                  <a:noFill/>
                                </a:ln>
                              </pic:spPr>
                            </pic:pic>
                          </a:graphicData>
                        </a:graphic>
                      </wp:inline>
                    </w:drawing>
                  </w:r>
                </w:p>
              </w:tc>
              <w:tc>
                <w:tcPr>
                  <w:tcW w:w="1009"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color w:val="auto"/>
                    </w:rPr>
                    <w:drawing>
                      <wp:inline distT="0" distB="0" distL="114300" distR="114300">
                        <wp:extent cx="781685" cy="781685"/>
                        <wp:effectExtent l="0" t="0" r="18415" b="18415"/>
                        <wp:docPr id="6" name="图片 8" descr="说明: 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说明: 说明: 4"/>
                                <pic:cNvPicPr>
                                  <a:picLocks noChangeAspect="1"/>
                                </pic:cNvPicPr>
                              </pic:nvPicPr>
                              <pic:blipFill>
                                <a:blip r:embed="rId25"/>
                                <a:stretch>
                                  <a:fillRect/>
                                </a:stretch>
                              </pic:blipFill>
                              <pic:spPr>
                                <a:xfrm>
                                  <a:off x="0" y="0"/>
                                  <a:ext cx="781685" cy="781685"/>
                                </a:xfrm>
                                <a:prstGeom prst="rect">
                                  <a:avLst/>
                                </a:prstGeom>
                                <a:noFill/>
                                <a:ln>
                                  <a:noFill/>
                                </a:ln>
                              </pic:spPr>
                            </pic:pic>
                          </a:graphicData>
                        </a:graphic>
                      </wp:inline>
                    </w:drawing>
                  </w:r>
                </w:p>
              </w:tc>
              <w:tc>
                <w:tcPr>
                  <w:tcW w:w="943"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rFonts w:hint="eastAsia"/>
                      <w:color w:val="auto"/>
                    </w:rPr>
                    <w:t>废气排放口</w:t>
                  </w:r>
                </w:p>
              </w:tc>
              <w:tc>
                <w:tcPr>
                  <w:tcW w:w="1694" w:type="pct"/>
                  <w:tcBorders>
                    <w:top w:val="single" w:color="auto" w:sz="6" w:space="0"/>
                    <w:left w:val="single" w:color="auto" w:sz="6" w:space="0"/>
                    <w:bottom w:val="single" w:color="auto" w:sz="6" w:space="0"/>
                    <w:right w:val="single" w:color="auto" w:sz="12" w:space="0"/>
                  </w:tcBorders>
                  <w:noWrap w:val="0"/>
                  <w:vAlign w:val="center"/>
                </w:tcPr>
                <w:p>
                  <w:pPr>
                    <w:pStyle w:val="150"/>
                    <w:rPr>
                      <w:color w:val="auto"/>
                    </w:rPr>
                  </w:pPr>
                  <w:r>
                    <w:rPr>
                      <w:rFonts w:hint="eastAsia"/>
                      <w:color w:val="auto"/>
                    </w:rPr>
                    <w:t>表示废气向大气环境排放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6" w:space="0"/>
                    <w:right w:val="single" w:color="auto" w:sz="6" w:space="0"/>
                  </w:tcBorders>
                  <w:noWrap w:val="0"/>
                  <w:vAlign w:val="center"/>
                </w:tcPr>
                <w:p>
                  <w:pPr>
                    <w:pStyle w:val="150"/>
                    <w:rPr>
                      <w:color w:val="auto"/>
                    </w:rPr>
                  </w:pPr>
                  <w:r>
                    <w:rPr>
                      <w:color w:val="auto"/>
                    </w:rPr>
                    <w:t>3</w:t>
                  </w:r>
                </w:p>
              </w:tc>
              <w:tc>
                <w:tcPr>
                  <w:tcW w:w="946"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color w:val="auto"/>
                    </w:rPr>
                    <w:drawing>
                      <wp:inline distT="0" distB="0" distL="114300" distR="114300">
                        <wp:extent cx="781685" cy="789940"/>
                        <wp:effectExtent l="0" t="0" r="18415" b="10160"/>
                        <wp:docPr id="9" name="图片 9" descr="说明: 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说明: 14001"/>
                                <pic:cNvPicPr>
                                  <a:picLocks noChangeAspect="1"/>
                                </pic:cNvPicPr>
                              </pic:nvPicPr>
                              <pic:blipFill>
                                <a:blip r:embed="rId26"/>
                                <a:stretch>
                                  <a:fillRect/>
                                </a:stretch>
                              </pic:blipFill>
                              <pic:spPr>
                                <a:xfrm>
                                  <a:off x="0" y="0"/>
                                  <a:ext cx="781685" cy="789940"/>
                                </a:xfrm>
                                <a:prstGeom prst="rect">
                                  <a:avLst/>
                                </a:prstGeom>
                                <a:noFill/>
                                <a:ln>
                                  <a:noFill/>
                                </a:ln>
                              </pic:spPr>
                            </pic:pic>
                          </a:graphicData>
                        </a:graphic>
                      </wp:inline>
                    </w:drawing>
                  </w:r>
                </w:p>
              </w:tc>
              <w:tc>
                <w:tcPr>
                  <w:tcW w:w="1009"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color w:val="auto"/>
                    </w:rPr>
                    <w:drawing>
                      <wp:inline distT="0" distB="0" distL="114300" distR="114300">
                        <wp:extent cx="770890" cy="723900"/>
                        <wp:effectExtent l="0" t="0" r="10160" b="0"/>
                        <wp:docPr id="5" name="图片 10" descr="说明: 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说明: 说明: 14002"/>
                                <pic:cNvPicPr>
                                  <a:picLocks noChangeAspect="1"/>
                                </pic:cNvPicPr>
                              </pic:nvPicPr>
                              <pic:blipFill>
                                <a:blip r:embed="rId27"/>
                                <a:stretch>
                                  <a:fillRect/>
                                </a:stretch>
                              </pic:blipFill>
                              <pic:spPr>
                                <a:xfrm>
                                  <a:off x="0" y="0"/>
                                  <a:ext cx="770890" cy="723900"/>
                                </a:xfrm>
                                <a:prstGeom prst="rect">
                                  <a:avLst/>
                                </a:prstGeom>
                                <a:noFill/>
                                <a:ln>
                                  <a:noFill/>
                                </a:ln>
                              </pic:spPr>
                            </pic:pic>
                          </a:graphicData>
                        </a:graphic>
                      </wp:inline>
                    </w:drawing>
                  </w:r>
                </w:p>
              </w:tc>
              <w:tc>
                <w:tcPr>
                  <w:tcW w:w="943"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rFonts w:hint="eastAsia"/>
                      <w:color w:val="auto"/>
                    </w:rPr>
                    <w:t>一般固体废物</w:t>
                  </w:r>
                </w:p>
              </w:tc>
              <w:tc>
                <w:tcPr>
                  <w:tcW w:w="1694" w:type="pct"/>
                  <w:tcBorders>
                    <w:top w:val="single" w:color="auto" w:sz="6" w:space="0"/>
                    <w:left w:val="single" w:color="auto" w:sz="6" w:space="0"/>
                    <w:bottom w:val="single" w:color="auto" w:sz="6" w:space="0"/>
                    <w:right w:val="single" w:color="auto" w:sz="12" w:space="0"/>
                  </w:tcBorders>
                  <w:noWrap w:val="0"/>
                  <w:vAlign w:val="center"/>
                </w:tcPr>
                <w:p>
                  <w:pPr>
                    <w:pStyle w:val="150"/>
                    <w:rPr>
                      <w:color w:val="auto"/>
                    </w:rPr>
                  </w:pPr>
                  <w:r>
                    <w:rPr>
                      <w:rFonts w:hint="eastAsia"/>
                      <w:color w:val="auto"/>
                    </w:rPr>
                    <w:t>表示一般固体废物贮存、处置场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6" w:space="0"/>
                    <w:right w:val="single" w:color="auto" w:sz="6" w:space="0"/>
                  </w:tcBorders>
                  <w:noWrap w:val="0"/>
                  <w:vAlign w:val="center"/>
                </w:tcPr>
                <w:p>
                  <w:pPr>
                    <w:pStyle w:val="150"/>
                    <w:rPr>
                      <w:color w:val="auto"/>
                    </w:rPr>
                  </w:pPr>
                  <w:r>
                    <w:rPr>
                      <w:color w:val="auto"/>
                    </w:rPr>
                    <w:t>4</w:t>
                  </w:r>
                </w:p>
              </w:tc>
              <w:tc>
                <w:tcPr>
                  <w:tcW w:w="946"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color w:val="auto"/>
                    </w:rPr>
                    <w:drawing>
                      <wp:inline distT="0" distB="0" distL="114300" distR="114300">
                        <wp:extent cx="789940" cy="789940"/>
                        <wp:effectExtent l="0" t="0" r="10160" b="10160"/>
                        <wp:docPr id="10" name="图片 11" descr="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说明: 说明: 200602201518049853"/>
                                <pic:cNvPicPr>
                                  <a:picLocks noChangeAspect="1"/>
                                </pic:cNvPicPr>
                              </pic:nvPicPr>
                              <pic:blipFill>
                                <a:blip r:embed="rId28"/>
                                <a:stretch>
                                  <a:fillRect/>
                                </a:stretch>
                              </pic:blipFill>
                              <pic:spPr>
                                <a:xfrm>
                                  <a:off x="0" y="0"/>
                                  <a:ext cx="789940" cy="789940"/>
                                </a:xfrm>
                                <a:prstGeom prst="rect">
                                  <a:avLst/>
                                </a:prstGeom>
                                <a:noFill/>
                                <a:ln>
                                  <a:noFill/>
                                </a:ln>
                              </pic:spPr>
                            </pic:pic>
                          </a:graphicData>
                        </a:graphic>
                      </wp:inline>
                    </w:drawing>
                  </w:r>
                </w:p>
              </w:tc>
              <w:tc>
                <w:tcPr>
                  <w:tcW w:w="1009"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color w:val="auto"/>
                    </w:rPr>
                    <w:drawing>
                      <wp:inline distT="0" distB="0" distL="114300" distR="114300">
                        <wp:extent cx="866775" cy="770890"/>
                        <wp:effectExtent l="0" t="0" r="9525" b="10160"/>
                        <wp:docPr id="11" name="图片 12" descr="说明: 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说明: 说明: 200602201519018631"/>
                                <pic:cNvPicPr>
                                  <a:picLocks noChangeAspect="1"/>
                                </pic:cNvPicPr>
                              </pic:nvPicPr>
                              <pic:blipFill>
                                <a:blip r:embed="rId29"/>
                                <a:stretch>
                                  <a:fillRect/>
                                </a:stretch>
                              </pic:blipFill>
                              <pic:spPr>
                                <a:xfrm>
                                  <a:off x="0" y="0"/>
                                  <a:ext cx="866775" cy="770890"/>
                                </a:xfrm>
                                <a:prstGeom prst="rect">
                                  <a:avLst/>
                                </a:prstGeom>
                                <a:noFill/>
                                <a:ln>
                                  <a:noFill/>
                                </a:ln>
                              </pic:spPr>
                            </pic:pic>
                          </a:graphicData>
                        </a:graphic>
                      </wp:inline>
                    </w:drawing>
                  </w:r>
                </w:p>
              </w:tc>
              <w:tc>
                <w:tcPr>
                  <w:tcW w:w="943" w:type="pct"/>
                  <w:tcBorders>
                    <w:top w:val="single" w:color="auto" w:sz="6" w:space="0"/>
                    <w:left w:val="single" w:color="auto" w:sz="6" w:space="0"/>
                    <w:bottom w:val="single" w:color="auto" w:sz="6" w:space="0"/>
                    <w:right w:val="single" w:color="auto" w:sz="6" w:space="0"/>
                  </w:tcBorders>
                  <w:noWrap w:val="0"/>
                  <w:vAlign w:val="center"/>
                </w:tcPr>
                <w:p>
                  <w:pPr>
                    <w:pStyle w:val="150"/>
                    <w:rPr>
                      <w:color w:val="auto"/>
                    </w:rPr>
                  </w:pPr>
                  <w:r>
                    <w:rPr>
                      <w:rFonts w:hint="eastAsia"/>
                      <w:color w:val="auto"/>
                    </w:rPr>
                    <w:t>噪声排放源</w:t>
                  </w:r>
                </w:p>
              </w:tc>
              <w:tc>
                <w:tcPr>
                  <w:tcW w:w="1694" w:type="pct"/>
                  <w:tcBorders>
                    <w:top w:val="single" w:color="auto" w:sz="6" w:space="0"/>
                    <w:left w:val="single" w:color="auto" w:sz="6" w:space="0"/>
                    <w:bottom w:val="single" w:color="auto" w:sz="6" w:space="0"/>
                    <w:right w:val="single" w:color="auto" w:sz="12" w:space="0"/>
                  </w:tcBorders>
                  <w:noWrap w:val="0"/>
                  <w:vAlign w:val="center"/>
                </w:tcPr>
                <w:p>
                  <w:pPr>
                    <w:pStyle w:val="150"/>
                    <w:rPr>
                      <w:color w:val="auto"/>
                    </w:rPr>
                  </w:pPr>
                  <w:r>
                    <w:rPr>
                      <w:rFonts w:hint="eastAsia"/>
                      <w:color w:val="auto"/>
                    </w:rPr>
                    <w:t>表示噪声向外环境排放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op w:val="single" w:color="auto" w:sz="6" w:space="0"/>
                    <w:left w:val="single" w:color="auto" w:sz="12" w:space="0"/>
                    <w:bottom w:val="single" w:color="auto" w:sz="12" w:space="0"/>
                    <w:right w:val="single" w:color="auto" w:sz="6" w:space="0"/>
                  </w:tcBorders>
                  <w:noWrap w:val="0"/>
                  <w:vAlign w:val="center"/>
                </w:tcPr>
                <w:p>
                  <w:pPr>
                    <w:pStyle w:val="150"/>
                    <w:rPr>
                      <w:color w:val="auto"/>
                    </w:rPr>
                  </w:pPr>
                  <w:r>
                    <w:rPr>
                      <w:color w:val="auto"/>
                    </w:rPr>
                    <w:t>5</w:t>
                  </w:r>
                </w:p>
              </w:tc>
              <w:tc>
                <w:tcPr>
                  <w:tcW w:w="946" w:type="pct"/>
                  <w:tcBorders>
                    <w:top w:val="single" w:color="auto" w:sz="6" w:space="0"/>
                    <w:left w:val="single" w:color="auto" w:sz="6" w:space="0"/>
                    <w:bottom w:val="single" w:color="auto" w:sz="12" w:space="0"/>
                    <w:right w:val="single" w:color="auto" w:sz="6" w:space="0"/>
                  </w:tcBorders>
                  <w:noWrap w:val="0"/>
                  <w:vAlign w:val="center"/>
                </w:tcPr>
                <w:p>
                  <w:pPr>
                    <w:pStyle w:val="150"/>
                    <w:rPr>
                      <w:color w:val="auto"/>
                    </w:rPr>
                  </w:pPr>
                  <w:r>
                    <w:rPr>
                      <w:color w:val="auto"/>
                    </w:rPr>
                    <w:t>/</w:t>
                  </w:r>
                </w:p>
              </w:tc>
              <w:tc>
                <w:tcPr>
                  <w:tcW w:w="1009" w:type="pct"/>
                  <w:tcBorders>
                    <w:top w:val="single" w:color="auto" w:sz="6" w:space="0"/>
                    <w:left w:val="single" w:color="auto" w:sz="6" w:space="0"/>
                    <w:bottom w:val="single" w:color="auto" w:sz="12" w:space="0"/>
                    <w:right w:val="single" w:color="auto" w:sz="6" w:space="0"/>
                  </w:tcBorders>
                  <w:noWrap w:val="0"/>
                  <w:vAlign w:val="center"/>
                </w:tcPr>
                <w:p>
                  <w:pPr>
                    <w:pStyle w:val="150"/>
                    <w:rPr>
                      <w:color w:val="auto"/>
                    </w:rPr>
                  </w:pPr>
                  <w:r>
                    <w:rPr>
                      <w:color w:val="auto"/>
                    </w:rPr>
                    <w:drawing>
                      <wp:inline distT="0" distB="0" distL="114300" distR="114300">
                        <wp:extent cx="858520" cy="751840"/>
                        <wp:effectExtent l="0" t="0" r="17780" b="10160"/>
                        <wp:docPr id="7" name="图片 13" descr="说明: 说明: 14003_disp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说明: 说明: 14003_disp100"/>
                                <pic:cNvPicPr>
                                  <a:picLocks noChangeAspect="1"/>
                                </pic:cNvPicPr>
                              </pic:nvPicPr>
                              <pic:blipFill>
                                <a:blip r:embed="rId30"/>
                                <a:stretch>
                                  <a:fillRect/>
                                </a:stretch>
                              </pic:blipFill>
                              <pic:spPr>
                                <a:xfrm>
                                  <a:off x="0" y="0"/>
                                  <a:ext cx="858520" cy="751840"/>
                                </a:xfrm>
                                <a:prstGeom prst="rect">
                                  <a:avLst/>
                                </a:prstGeom>
                                <a:noFill/>
                                <a:ln>
                                  <a:noFill/>
                                </a:ln>
                              </pic:spPr>
                            </pic:pic>
                          </a:graphicData>
                        </a:graphic>
                      </wp:inline>
                    </w:drawing>
                  </w:r>
                </w:p>
              </w:tc>
              <w:tc>
                <w:tcPr>
                  <w:tcW w:w="943" w:type="pct"/>
                  <w:tcBorders>
                    <w:top w:val="single" w:color="auto" w:sz="6" w:space="0"/>
                    <w:left w:val="single" w:color="auto" w:sz="6" w:space="0"/>
                    <w:bottom w:val="single" w:color="auto" w:sz="12" w:space="0"/>
                    <w:right w:val="single" w:color="auto" w:sz="6" w:space="0"/>
                  </w:tcBorders>
                  <w:noWrap w:val="0"/>
                  <w:vAlign w:val="center"/>
                </w:tcPr>
                <w:p>
                  <w:pPr>
                    <w:pStyle w:val="150"/>
                    <w:rPr>
                      <w:color w:val="auto"/>
                    </w:rPr>
                  </w:pPr>
                  <w:r>
                    <w:rPr>
                      <w:rFonts w:hint="eastAsia"/>
                      <w:color w:val="auto"/>
                    </w:rPr>
                    <w:t>危险废物</w:t>
                  </w:r>
                </w:p>
              </w:tc>
              <w:tc>
                <w:tcPr>
                  <w:tcW w:w="1694" w:type="pct"/>
                  <w:tcBorders>
                    <w:top w:val="single" w:color="auto" w:sz="6" w:space="0"/>
                    <w:left w:val="single" w:color="auto" w:sz="6" w:space="0"/>
                    <w:bottom w:val="single" w:color="auto" w:sz="12" w:space="0"/>
                    <w:right w:val="single" w:color="auto" w:sz="12" w:space="0"/>
                  </w:tcBorders>
                  <w:noWrap w:val="0"/>
                  <w:vAlign w:val="center"/>
                </w:tcPr>
                <w:p>
                  <w:pPr>
                    <w:pStyle w:val="150"/>
                    <w:rPr>
                      <w:color w:val="auto"/>
                    </w:rPr>
                  </w:pPr>
                  <w:r>
                    <w:rPr>
                      <w:rFonts w:hint="eastAsia"/>
                      <w:color w:val="auto"/>
                    </w:rPr>
                    <w:t>表示危险废物贮存、处置场</w:t>
                  </w:r>
                </w:p>
              </w:tc>
            </w:tr>
          </w:tbl>
          <w:p>
            <w:pPr>
              <w:spacing w:line="360" w:lineRule="auto"/>
              <w:ind w:firstLine="482" w:firstLineChars="200"/>
              <w:rPr>
                <w:b/>
                <w:bCs/>
                <w:color w:val="auto"/>
                <w:sz w:val="24"/>
              </w:rPr>
            </w:pPr>
            <w:r>
              <w:rPr>
                <w:rFonts w:hint="eastAsia"/>
                <w:b/>
                <w:bCs/>
                <w:color w:val="auto"/>
                <w:sz w:val="24"/>
                <w:lang w:val="en-US" w:eastAsia="zh-CN"/>
              </w:rPr>
              <w:t>10</w:t>
            </w:r>
            <w:r>
              <w:rPr>
                <w:b/>
                <w:bCs/>
                <w:color w:val="auto"/>
                <w:sz w:val="24"/>
              </w:rPr>
              <w:t>、</w:t>
            </w:r>
            <w:r>
              <w:rPr>
                <w:b/>
                <w:color w:val="auto"/>
                <w:sz w:val="24"/>
              </w:rPr>
              <w:t>营运期企业自行监测计划</w:t>
            </w:r>
          </w:p>
          <w:p>
            <w:pPr>
              <w:spacing w:line="360" w:lineRule="auto"/>
              <w:ind w:firstLine="480" w:firstLineChars="200"/>
              <w:rPr>
                <w:color w:val="auto"/>
                <w:sz w:val="24"/>
              </w:rPr>
            </w:pPr>
            <w:r>
              <w:rPr>
                <w:rFonts w:hint="eastAsia"/>
                <w:color w:val="auto"/>
                <w:sz w:val="24"/>
              </w:rPr>
              <w:t>本项目</w:t>
            </w:r>
            <w:r>
              <w:rPr>
                <w:color w:val="auto"/>
                <w:sz w:val="24"/>
              </w:rPr>
              <w:t>营运期</w:t>
            </w:r>
            <w:r>
              <w:rPr>
                <w:rFonts w:hint="eastAsia"/>
                <w:color w:val="auto"/>
                <w:sz w:val="24"/>
                <w:lang w:eastAsia="zh-CN"/>
              </w:rPr>
              <w:t>污染源</w:t>
            </w:r>
            <w:r>
              <w:rPr>
                <w:color w:val="auto"/>
                <w:sz w:val="24"/>
              </w:rPr>
              <w:t>自行监测计划详见下表。</w:t>
            </w:r>
          </w:p>
          <w:p>
            <w:pPr>
              <w:pStyle w:val="143"/>
              <w:tabs>
                <w:tab w:val="clear" w:pos="400"/>
              </w:tabs>
              <w:spacing w:before="83" w:after="83"/>
              <w:jc w:val="center"/>
              <w:rPr>
                <w:b/>
                <w:sz w:val="24"/>
                <w:szCs w:val="24"/>
              </w:rPr>
            </w:pPr>
            <w:r>
              <w:rPr>
                <w:b/>
                <w:color w:val="auto"/>
                <w:sz w:val="24"/>
                <w:szCs w:val="24"/>
              </w:rPr>
              <w:t>表7</w:t>
            </w:r>
            <w:r>
              <w:rPr>
                <w:b/>
                <w:sz w:val="24"/>
                <w:szCs w:val="24"/>
              </w:rPr>
              <w:t>-</w:t>
            </w:r>
            <w:r>
              <w:rPr>
                <w:rFonts w:hint="eastAsia"/>
                <w:b/>
                <w:sz w:val="24"/>
                <w:szCs w:val="24"/>
                <w:lang w:val="en-US" w:eastAsia="zh-CN"/>
              </w:rPr>
              <w:t>13</w:t>
            </w:r>
            <w:r>
              <w:rPr>
                <w:b/>
                <w:sz w:val="24"/>
                <w:szCs w:val="24"/>
              </w:rPr>
              <w:t xml:space="preserve"> 污染源监测计划</w:t>
            </w:r>
          </w:p>
          <w:tbl>
            <w:tblPr>
              <w:tblStyle w:val="28"/>
              <w:tblW w:w="83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4"/>
              <w:gridCol w:w="1200"/>
              <w:gridCol w:w="2917"/>
              <w:gridCol w:w="2060"/>
              <w:gridCol w:w="11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1014" w:type="dxa"/>
                  <w:noWrap/>
                  <w:vAlign w:val="center"/>
                </w:tcPr>
                <w:p>
                  <w:pPr>
                    <w:pStyle w:val="86"/>
                    <w:spacing w:line="240" w:lineRule="auto"/>
                    <w:ind w:firstLine="0" w:firstLineChars="0"/>
                    <w:jc w:val="center"/>
                    <w:rPr>
                      <w:sz w:val="21"/>
                      <w:szCs w:val="21"/>
                    </w:rPr>
                  </w:pPr>
                  <w:r>
                    <w:rPr>
                      <w:sz w:val="21"/>
                      <w:szCs w:val="21"/>
                    </w:rPr>
                    <w:t>监测内容</w:t>
                  </w:r>
                </w:p>
              </w:tc>
              <w:tc>
                <w:tcPr>
                  <w:tcW w:w="1200" w:type="dxa"/>
                  <w:noWrap/>
                  <w:vAlign w:val="center"/>
                </w:tcPr>
                <w:p>
                  <w:pPr>
                    <w:pStyle w:val="86"/>
                    <w:spacing w:line="240" w:lineRule="auto"/>
                    <w:ind w:firstLine="0" w:firstLineChars="0"/>
                    <w:jc w:val="center"/>
                    <w:rPr>
                      <w:sz w:val="21"/>
                      <w:szCs w:val="21"/>
                    </w:rPr>
                  </w:pPr>
                  <w:r>
                    <w:rPr>
                      <w:sz w:val="21"/>
                      <w:szCs w:val="21"/>
                    </w:rPr>
                    <w:t>监测时间</w:t>
                  </w:r>
                </w:p>
                <w:p>
                  <w:pPr>
                    <w:pStyle w:val="86"/>
                    <w:spacing w:line="240" w:lineRule="auto"/>
                    <w:ind w:firstLine="0" w:firstLineChars="0"/>
                    <w:jc w:val="center"/>
                    <w:rPr>
                      <w:sz w:val="21"/>
                      <w:szCs w:val="21"/>
                    </w:rPr>
                  </w:pPr>
                  <w:r>
                    <w:rPr>
                      <w:sz w:val="21"/>
                      <w:szCs w:val="21"/>
                    </w:rPr>
                    <w:t>与频次</w:t>
                  </w:r>
                </w:p>
              </w:tc>
              <w:tc>
                <w:tcPr>
                  <w:tcW w:w="2917" w:type="dxa"/>
                  <w:noWrap/>
                  <w:vAlign w:val="center"/>
                </w:tcPr>
                <w:p>
                  <w:pPr>
                    <w:pStyle w:val="86"/>
                    <w:spacing w:line="240" w:lineRule="auto"/>
                    <w:ind w:firstLine="0" w:firstLineChars="0"/>
                    <w:jc w:val="center"/>
                    <w:rPr>
                      <w:sz w:val="21"/>
                      <w:szCs w:val="21"/>
                    </w:rPr>
                  </w:pPr>
                  <w:r>
                    <w:rPr>
                      <w:sz w:val="21"/>
                      <w:szCs w:val="21"/>
                    </w:rPr>
                    <w:t>监测地点</w:t>
                  </w:r>
                </w:p>
              </w:tc>
              <w:tc>
                <w:tcPr>
                  <w:tcW w:w="2060" w:type="dxa"/>
                  <w:noWrap/>
                  <w:vAlign w:val="center"/>
                </w:tcPr>
                <w:p>
                  <w:pPr>
                    <w:pStyle w:val="86"/>
                    <w:spacing w:line="240" w:lineRule="auto"/>
                    <w:ind w:firstLine="0" w:firstLineChars="0"/>
                    <w:jc w:val="center"/>
                    <w:rPr>
                      <w:sz w:val="21"/>
                      <w:szCs w:val="21"/>
                    </w:rPr>
                  </w:pPr>
                  <w:r>
                    <w:rPr>
                      <w:sz w:val="21"/>
                      <w:szCs w:val="21"/>
                    </w:rPr>
                    <w:t>监测项目</w:t>
                  </w:r>
                </w:p>
              </w:tc>
              <w:tc>
                <w:tcPr>
                  <w:tcW w:w="1177" w:type="dxa"/>
                  <w:noWrap/>
                  <w:vAlign w:val="center"/>
                </w:tcPr>
                <w:p>
                  <w:pPr>
                    <w:pStyle w:val="86"/>
                    <w:spacing w:line="240" w:lineRule="auto"/>
                    <w:ind w:firstLine="0" w:firstLineChars="0"/>
                    <w:jc w:val="center"/>
                    <w:rPr>
                      <w:sz w:val="21"/>
                      <w:szCs w:val="21"/>
                    </w:rPr>
                  </w:pPr>
                  <w:r>
                    <w:rPr>
                      <w:sz w:val="21"/>
                      <w:szCs w:val="21"/>
                    </w:rPr>
                    <w:t>监测机构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1014" w:type="dxa"/>
                  <w:vMerge w:val="restart"/>
                  <w:noWrap/>
                  <w:vAlign w:val="center"/>
                </w:tcPr>
                <w:p>
                  <w:pPr>
                    <w:pStyle w:val="86"/>
                    <w:spacing w:line="240" w:lineRule="auto"/>
                    <w:ind w:firstLine="0" w:firstLineChars="0"/>
                    <w:jc w:val="center"/>
                    <w:rPr>
                      <w:sz w:val="21"/>
                      <w:szCs w:val="21"/>
                    </w:rPr>
                  </w:pPr>
                  <w:r>
                    <w:rPr>
                      <w:sz w:val="21"/>
                      <w:szCs w:val="21"/>
                    </w:rPr>
                    <w:t>废气</w:t>
                  </w:r>
                </w:p>
              </w:tc>
              <w:tc>
                <w:tcPr>
                  <w:tcW w:w="1200" w:type="dxa"/>
                  <w:vMerge w:val="restart"/>
                  <w:noWrap/>
                  <w:vAlign w:val="center"/>
                </w:tcPr>
                <w:p>
                  <w:pPr>
                    <w:pStyle w:val="86"/>
                    <w:spacing w:line="240" w:lineRule="auto"/>
                    <w:ind w:firstLine="0" w:firstLineChars="0"/>
                    <w:jc w:val="center"/>
                    <w:rPr>
                      <w:sz w:val="21"/>
                      <w:szCs w:val="21"/>
                    </w:rPr>
                  </w:pPr>
                  <w:r>
                    <w:rPr>
                      <w:rFonts w:hint="eastAsia"/>
                      <w:sz w:val="21"/>
                      <w:szCs w:val="21"/>
                    </w:rPr>
                    <w:t>2</w:t>
                  </w:r>
                  <w:r>
                    <w:rPr>
                      <w:sz w:val="21"/>
                      <w:szCs w:val="21"/>
                    </w:rPr>
                    <w:t>次/年</w:t>
                  </w:r>
                </w:p>
              </w:tc>
              <w:tc>
                <w:tcPr>
                  <w:tcW w:w="2917" w:type="dxa"/>
                  <w:noWrap/>
                  <w:vAlign w:val="center"/>
                </w:tcPr>
                <w:p>
                  <w:pPr>
                    <w:pStyle w:val="86"/>
                    <w:spacing w:line="240" w:lineRule="auto"/>
                    <w:ind w:firstLine="0" w:firstLineChars="0"/>
                    <w:jc w:val="center"/>
                    <w:rPr>
                      <w:sz w:val="21"/>
                      <w:szCs w:val="21"/>
                    </w:rPr>
                  </w:pPr>
                  <w:r>
                    <w:rPr>
                      <w:rFonts w:hint="eastAsia"/>
                      <w:sz w:val="21"/>
                      <w:szCs w:val="21"/>
                    </w:rPr>
                    <w:t>厂界四周</w:t>
                  </w:r>
                </w:p>
              </w:tc>
              <w:tc>
                <w:tcPr>
                  <w:tcW w:w="2060" w:type="dxa"/>
                  <w:noWrap/>
                  <w:vAlign w:val="center"/>
                </w:tcPr>
                <w:p>
                  <w:pPr>
                    <w:pStyle w:val="86"/>
                    <w:spacing w:line="240" w:lineRule="auto"/>
                    <w:ind w:firstLine="0" w:firstLineChars="0"/>
                    <w:jc w:val="center"/>
                    <w:rPr>
                      <w:sz w:val="21"/>
                      <w:szCs w:val="21"/>
                    </w:rPr>
                  </w:pPr>
                  <w:r>
                    <w:rPr>
                      <w:rFonts w:hint="eastAsia"/>
                      <w:sz w:val="21"/>
                      <w:szCs w:val="21"/>
                    </w:rPr>
                    <w:t>粉尘</w:t>
                  </w:r>
                </w:p>
              </w:tc>
              <w:tc>
                <w:tcPr>
                  <w:tcW w:w="1177" w:type="dxa"/>
                  <w:vMerge w:val="restart"/>
                  <w:noWrap/>
                  <w:vAlign w:val="center"/>
                </w:tcPr>
                <w:p>
                  <w:pPr>
                    <w:pStyle w:val="86"/>
                    <w:spacing w:line="240" w:lineRule="auto"/>
                    <w:ind w:firstLine="0" w:firstLineChars="0"/>
                    <w:jc w:val="center"/>
                    <w:rPr>
                      <w:rFonts w:hint="eastAsia" w:eastAsia="宋体"/>
                      <w:sz w:val="21"/>
                      <w:szCs w:val="21"/>
                      <w:lang w:val="en-US" w:eastAsia="zh-CN"/>
                    </w:rPr>
                  </w:pPr>
                  <w:r>
                    <w:rPr>
                      <w:rFonts w:hint="eastAsia"/>
                      <w:sz w:val="21"/>
                      <w:szCs w:val="21"/>
                      <w:lang w:val="en-US" w:eastAsia="zh-CN"/>
                    </w:rPr>
                    <w:t>监测单位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014" w:type="dxa"/>
                  <w:vMerge w:val="continue"/>
                  <w:noWrap/>
                  <w:vAlign w:val="center"/>
                </w:tcPr>
                <w:p>
                  <w:pPr>
                    <w:pStyle w:val="86"/>
                    <w:spacing w:line="240" w:lineRule="auto"/>
                    <w:ind w:firstLine="420"/>
                    <w:jc w:val="center"/>
                    <w:rPr>
                      <w:sz w:val="21"/>
                      <w:szCs w:val="21"/>
                    </w:rPr>
                  </w:pPr>
                </w:p>
              </w:tc>
              <w:tc>
                <w:tcPr>
                  <w:tcW w:w="1200" w:type="dxa"/>
                  <w:vMerge w:val="continue"/>
                  <w:noWrap/>
                  <w:vAlign w:val="center"/>
                </w:tcPr>
                <w:p>
                  <w:pPr>
                    <w:pStyle w:val="86"/>
                    <w:spacing w:line="240" w:lineRule="auto"/>
                    <w:ind w:firstLine="420"/>
                    <w:jc w:val="center"/>
                    <w:rPr>
                      <w:sz w:val="21"/>
                      <w:szCs w:val="21"/>
                    </w:rPr>
                  </w:pPr>
                </w:p>
              </w:tc>
              <w:tc>
                <w:tcPr>
                  <w:tcW w:w="2917" w:type="dxa"/>
                  <w:noWrap/>
                  <w:vAlign w:val="center"/>
                </w:tcPr>
                <w:p>
                  <w:pPr>
                    <w:pStyle w:val="86"/>
                    <w:spacing w:line="240" w:lineRule="auto"/>
                    <w:ind w:firstLine="0" w:firstLineChars="0"/>
                    <w:jc w:val="center"/>
                    <w:rPr>
                      <w:sz w:val="21"/>
                      <w:szCs w:val="21"/>
                    </w:rPr>
                  </w:pPr>
                  <w:r>
                    <w:rPr>
                      <w:sz w:val="21"/>
                      <w:szCs w:val="21"/>
                    </w:rPr>
                    <w:t>油烟净化设施排气筒出口</w:t>
                  </w:r>
                </w:p>
              </w:tc>
              <w:tc>
                <w:tcPr>
                  <w:tcW w:w="2060" w:type="dxa"/>
                  <w:noWrap/>
                  <w:vAlign w:val="center"/>
                </w:tcPr>
                <w:p>
                  <w:pPr>
                    <w:pStyle w:val="86"/>
                    <w:spacing w:line="240" w:lineRule="auto"/>
                    <w:ind w:firstLine="0" w:firstLineChars="0"/>
                    <w:jc w:val="center"/>
                    <w:rPr>
                      <w:sz w:val="21"/>
                      <w:szCs w:val="21"/>
                    </w:rPr>
                  </w:pPr>
                  <w:r>
                    <w:rPr>
                      <w:sz w:val="21"/>
                      <w:szCs w:val="21"/>
                    </w:rPr>
                    <w:t>油烟</w:t>
                  </w:r>
                </w:p>
              </w:tc>
              <w:tc>
                <w:tcPr>
                  <w:tcW w:w="1177" w:type="dxa"/>
                  <w:vMerge w:val="continue"/>
                  <w:noWrap/>
                  <w:vAlign w:val="center"/>
                </w:tcPr>
                <w:p>
                  <w:pPr>
                    <w:pStyle w:val="86"/>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014" w:type="dxa"/>
                  <w:noWrap/>
                  <w:vAlign w:val="center"/>
                </w:tcPr>
                <w:p>
                  <w:pPr>
                    <w:pStyle w:val="86"/>
                    <w:spacing w:line="240" w:lineRule="auto"/>
                    <w:ind w:firstLine="0" w:firstLineChars="0"/>
                    <w:jc w:val="center"/>
                    <w:rPr>
                      <w:sz w:val="21"/>
                      <w:szCs w:val="21"/>
                    </w:rPr>
                  </w:pPr>
                  <w:r>
                    <w:rPr>
                      <w:sz w:val="21"/>
                      <w:szCs w:val="21"/>
                    </w:rPr>
                    <w:t>噪声</w:t>
                  </w:r>
                </w:p>
              </w:tc>
              <w:tc>
                <w:tcPr>
                  <w:tcW w:w="1200" w:type="dxa"/>
                  <w:noWrap/>
                  <w:vAlign w:val="center"/>
                </w:tcPr>
                <w:p>
                  <w:pPr>
                    <w:pStyle w:val="86"/>
                    <w:spacing w:line="240" w:lineRule="auto"/>
                    <w:ind w:firstLine="0" w:firstLineChars="0"/>
                    <w:jc w:val="center"/>
                    <w:rPr>
                      <w:sz w:val="21"/>
                      <w:szCs w:val="21"/>
                    </w:rPr>
                  </w:pPr>
                  <w:r>
                    <w:rPr>
                      <w:rFonts w:hint="eastAsia"/>
                      <w:sz w:val="21"/>
                      <w:szCs w:val="21"/>
                    </w:rPr>
                    <w:t>2</w:t>
                  </w:r>
                  <w:r>
                    <w:rPr>
                      <w:sz w:val="21"/>
                      <w:szCs w:val="21"/>
                    </w:rPr>
                    <w:t>次/年</w:t>
                  </w:r>
                </w:p>
              </w:tc>
              <w:tc>
                <w:tcPr>
                  <w:tcW w:w="2917" w:type="dxa"/>
                  <w:noWrap/>
                  <w:vAlign w:val="center"/>
                </w:tcPr>
                <w:p>
                  <w:pPr>
                    <w:pStyle w:val="86"/>
                    <w:spacing w:line="240" w:lineRule="auto"/>
                    <w:ind w:firstLine="0" w:firstLineChars="0"/>
                    <w:jc w:val="center"/>
                    <w:rPr>
                      <w:sz w:val="21"/>
                      <w:szCs w:val="21"/>
                    </w:rPr>
                  </w:pPr>
                  <w:r>
                    <w:rPr>
                      <w:sz w:val="21"/>
                      <w:szCs w:val="21"/>
                    </w:rPr>
                    <w:t>厂区厂界四周</w:t>
                  </w:r>
                </w:p>
              </w:tc>
              <w:tc>
                <w:tcPr>
                  <w:tcW w:w="2060" w:type="dxa"/>
                  <w:noWrap/>
                  <w:vAlign w:val="center"/>
                </w:tcPr>
                <w:p>
                  <w:pPr>
                    <w:pStyle w:val="86"/>
                    <w:spacing w:line="240" w:lineRule="auto"/>
                    <w:ind w:firstLine="0" w:firstLineChars="0"/>
                    <w:jc w:val="center"/>
                    <w:rPr>
                      <w:sz w:val="21"/>
                      <w:szCs w:val="21"/>
                    </w:rPr>
                  </w:pPr>
                  <w:r>
                    <w:rPr>
                      <w:sz w:val="21"/>
                      <w:szCs w:val="21"/>
                    </w:rPr>
                    <w:t>厂界噪声</w:t>
                  </w:r>
                </w:p>
              </w:tc>
              <w:tc>
                <w:tcPr>
                  <w:tcW w:w="1177" w:type="dxa"/>
                  <w:vMerge w:val="continue"/>
                  <w:noWrap/>
                  <w:vAlign w:val="center"/>
                </w:tcPr>
                <w:p>
                  <w:pPr>
                    <w:pStyle w:val="86"/>
                    <w:spacing w:line="240" w:lineRule="auto"/>
                    <w:ind w:firstLine="0" w:firstLineChars="0"/>
                    <w:jc w:val="center"/>
                    <w:rPr>
                      <w:sz w:val="21"/>
                      <w:szCs w:val="21"/>
                    </w:rPr>
                  </w:pPr>
                </w:p>
              </w:tc>
            </w:tr>
          </w:tbl>
          <w:p>
            <w:pPr>
              <w:spacing w:line="360" w:lineRule="auto"/>
              <w:ind w:right="105" w:rightChars="50" w:firstLine="482" w:firstLineChars="200"/>
              <w:rPr>
                <w:b/>
                <w:sz w:val="24"/>
              </w:rPr>
            </w:pPr>
            <w:r>
              <w:rPr>
                <w:rFonts w:hint="eastAsia"/>
                <w:b/>
                <w:sz w:val="24"/>
              </w:rPr>
              <w:t>1</w:t>
            </w:r>
            <w:r>
              <w:rPr>
                <w:rFonts w:hint="eastAsia"/>
                <w:b/>
                <w:sz w:val="24"/>
                <w:lang w:val="en-US" w:eastAsia="zh-CN"/>
              </w:rPr>
              <w:t>1</w:t>
            </w:r>
            <w:r>
              <w:rPr>
                <w:rFonts w:hint="eastAsia"/>
                <w:b/>
                <w:sz w:val="24"/>
              </w:rPr>
              <w:t>.</w:t>
            </w:r>
            <w:r>
              <w:rPr>
                <w:b/>
                <w:sz w:val="24"/>
              </w:rPr>
              <w:t>环保投资估算</w:t>
            </w:r>
          </w:p>
          <w:bookmarkEnd w:id="30"/>
          <w:p>
            <w:pPr>
              <w:spacing w:line="360" w:lineRule="auto"/>
              <w:ind w:firstLine="480" w:firstLineChars="200"/>
              <w:rPr>
                <w:sz w:val="24"/>
                <w:u w:val="single"/>
              </w:rPr>
            </w:pPr>
            <w:r>
              <w:rPr>
                <w:rFonts w:hint="eastAsia"/>
                <w:sz w:val="24"/>
                <w:u w:val="single"/>
              </w:rPr>
              <w:t>项目</w:t>
            </w:r>
            <w:r>
              <w:rPr>
                <w:sz w:val="24"/>
                <w:u w:val="single"/>
              </w:rPr>
              <w:t>总投资为</w:t>
            </w:r>
            <w:r>
              <w:rPr>
                <w:rFonts w:hint="eastAsia"/>
                <w:sz w:val="24"/>
                <w:u w:val="single"/>
              </w:rPr>
              <w:t>280</w:t>
            </w:r>
            <w:r>
              <w:rPr>
                <w:sz w:val="24"/>
                <w:u w:val="single"/>
              </w:rPr>
              <w:t>万元，预计其中环保投资为</w:t>
            </w:r>
            <w:r>
              <w:rPr>
                <w:rFonts w:hint="eastAsia"/>
                <w:sz w:val="24"/>
                <w:u w:val="single"/>
              </w:rPr>
              <w:t>30</w:t>
            </w:r>
            <w:r>
              <w:rPr>
                <w:sz w:val="24"/>
                <w:u w:val="single"/>
              </w:rPr>
              <w:t>万元，占总投资的</w:t>
            </w:r>
            <w:r>
              <w:rPr>
                <w:rFonts w:hint="eastAsia"/>
                <w:sz w:val="24"/>
                <w:u w:val="single"/>
              </w:rPr>
              <w:t>10.7</w:t>
            </w:r>
            <w:r>
              <w:rPr>
                <w:sz w:val="24"/>
                <w:u w:val="single"/>
              </w:rPr>
              <w:t>%</w:t>
            </w:r>
            <w:r>
              <w:rPr>
                <w:rFonts w:hint="eastAsia"/>
                <w:sz w:val="24"/>
                <w:u w:val="single"/>
              </w:rPr>
              <w:t>。</w:t>
            </w:r>
          </w:p>
          <w:p>
            <w:pPr>
              <w:spacing w:line="360" w:lineRule="auto"/>
              <w:jc w:val="center"/>
              <w:rPr>
                <w:b/>
                <w:sz w:val="24"/>
                <w:u w:val="single"/>
              </w:rPr>
            </w:pPr>
            <w:r>
              <w:rPr>
                <w:b/>
                <w:sz w:val="24"/>
                <w:u w:val="single"/>
              </w:rPr>
              <w:t>表</w:t>
            </w:r>
            <w:r>
              <w:rPr>
                <w:rFonts w:hint="eastAsia"/>
                <w:b/>
                <w:sz w:val="24"/>
                <w:u w:val="single"/>
              </w:rPr>
              <w:t>7-</w:t>
            </w:r>
            <w:r>
              <w:rPr>
                <w:rFonts w:hint="eastAsia"/>
                <w:b/>
                <w:sz w:val="24"/>
                <w:u w:val="single"/>
                <w:lang w:val="en-US" w:eastAsia="zh-CN"/>
              </w:rPr>
              <w:t>1</w:t>
            </w:r>
            <w:r>
              <w:rPr>
                <w:rFonts w:hint="eastAsia"/>
                <w:b/>
                <w:sz w:val="24"/>
                <w:u w:val="single"/>
              </w:rPr>
              <w:t>4</w:t>
            </w:r>
            <w:r>
              <w:rPr>
                <w:rFonts w:hint="eastAsia" w:ascii="宋体" w:hAnsi="宋体"/>
                <w:b/>
                <w:sz w:val="24"/>
                <w:u w:val="single"/>
              </w:rPr>
              <w:t>项目环保投资</w:t>
            </w:r>
            <w:r>
              <w:rPr>
                <w:rFonts w:hint="eastAsia" w:ascii="宋体" w:hAnsi="宋体"/>
                <w:b/>
                <w:bCs/>
                <w:sz w:val="24"/>
                <w:u w:val="single"/>
              </w:rPr>
              <w:t>一览表</w:t>
            </w:r>
          </w:p>
          <w:tbl>
            <w:tblPr>
              <w:tblStyle w:val="28"/>
              <w:tblW w:w="84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5"/>
              <w:gridCol w:w="927"/>
              <w:gridCol w:w="1783"/>
              <w:gridCol w:w="3215"/>
              <w:gridCol w:w="1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05" w:type="dxa"/>
                  <w:vAlign w:val="center"/>
                </w:tcPr>
                <w:p>
                  <w:pPr>
                    <w:jc w:val="center"/>
                    <w:rPr>
                      <w:szCs w:val="21"/>
                      <w:u w:val="single"/>
                    </w:rPr>
                  </w:pPr>
                  <w:r>
                    <w:rPr>
                      <w:rFonts w:hAnsi="宋体"/>
                      <w:szCs w:val="21"/>
                      <w:u w:val="single"/>
                    </w:rPr>
                    <w:t>序号</w:t>
                  </w:r>
                </w:p>
              </w:tc>
              <w:tc>
                <w:tcPr>
                  <w:tcW w:w="2710" w:type="dxa"/>
                  <w:gridSpan w:val="2"/>
                  <w:tcBorders>
                    <w:bottom w:val="single" w:color="auto" w:sz="4" w:space="0"/>
                  </w:tcBorders>
                  <w:vAlign w:val="center"/>
                </w:tcPr>
                <w:p>
                  <w:pPr>
                    <w:jc w:val="center"/>
                    <w:rPr>
                      <w:szCs w:val="21"/>
                      <w:u w:val="single"/>
                    </w:rPr>
                  </w:pPr>
                  <w:r>
                    <w:rPr>
                      <w:rFonts w:hAnsi="宋体"/>
                      <w:szCs w:val="21"/>
                      <w:u w:val="single"/>
                    </w:rPr>
                    <w:t>类别</w:t>
                  </w:r>
                </w:p>
              </w:tc>
              <w:tc>
                <w:tcPr>
                  <w:tcW w:w="3215" w:type="dxa"/>
                  <w:vAlign w:val="center"/>
                </w:tcPr>
                <w:p>
                  <w:pPr>
                    <w:jc w:val="center"/>
                    <w:rPr>
                      <w:szCs w:val="21"/>
                      <w:u w:val="single"/>
                    </w:rPr>
                  </w:pPr>
                  <w:r>
                    <w:rPr>
                      <w:rFonts w:hAnsi="宋体"/>
                      <w:szCs w:val="21"/>
                      <w:u w:val="single"/>
                    </w:rPr>
                    <w:t>治理措施</w:t>
                  </w:r>
                </w:p>
              </w:tc>
              <w:tc>
                <w:tcPr>
                  <w:tcW w:w="1730" w:type="dxa"/>
                  <w:vAlign w:val="center"/>
                </w:tcPr>
                <w:p>
                  <w:pPr>
                    <w:rPr>
                      <w:szCs w:val="21"/>
                      <w:u w:val="single"/>
                    </w:rPr>
                  </w:pPr>
                  <w:r>
                    <w:rPr>
                      <w:rFonts w:hAnsi="宋体"/>
                      <w:szCs w:val="21"/>
                      <w:u w:val="single"/>
                    </w:rPr>
                    <w:t>投资费用</w:t>
                  </w:r>
                  <w:r>
                    <w:rPr>
                      <w:szCs w:val="21"/>
                      <w:u w:val="single"/>
                    </w:rPr>
                    <w:t>(</w:t>
                  </w:r>
                  <w:r>
                    <w:rPr>
                      <w:rFonts w:hAnsi="宋体"/>
                      <w:szCs w:val="21"/>
                      <w:u w:val="single"/>
                    </w:rPr>
                    <w:t>万元</w:t>
                  </w:r>
                  <w:r>
                    <w:rPr>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5" w:type="dxa"/>
                  <w:vMerge w:val="restart"/>
                  <w:vAlign w:val="center"/>
                </w:tcPr>
                <w:p>
                  <w:pPr>
                    <w:pStyle w:val="109"/>
                    <w:rPr>
                      <w:rFonts w:ascii="Times New Roman"/>
                      <w:kern w:val="2"/>
                      <w:szCs w:val="21"/>
                      <w:u w:val="single"/>
                    </w:rPr>
                  </w:pPr>
                  <w:r>
                    <w:rPr>
                      <w:rFonts w:ascii="Times New Roman"/>
                      <w:kern w:val="2"/>
                      <w:szCs w:val="21"/>
                      <w:u w:val="single"/>
                    </w:rPr>
                    <w:t>1</w:t>
                  </w:r>
                </w:p>
              </w:tc>
              <w:tc>
                <w:tcPr>
                  <w:tcW w:w="927" w:type="dxa"/>
                  <w:vMerge w:val="restart"/>
                  <w:tcBorders>
                    <w:top w:val="single" w:color="auto" w:sz="4" w:space="0"/>
                  </w:tcBorders>
                  <w:vAlign w:val="center"/>
                </w:tcPr>
                <w:p>
                  <w:pPr>
                    <w:jc w:val="center"/>
                    <w:rPr>
                      <w:szCs w:val="21"/>
                      <w:u w:val="single"/>
                    </w:rPr>
                  </w:pPr>
                  <w:r>
                    <w:rPr>
                      <w:rFonts w:hAnsi="宋体"/>
                      <w:szCs w:val="21"/>
                      <w:u w:val="single"/>
                    </w:rPr>
                    <w:t>废气</w:t>
                  </w:r>
                </w:p>
              </w:tc>
              <w:tc>
                <w:tcPr>
                  <w:tcW w:w="1783" w:type="dxa"/>
                  <w:tcBorders>
                    <w:top w:val="single" w:color="auto" w:sz="4" w:space="0"/>
                  </w:tcBorders>
                  <w:vAlign w:val="center"/>
                </w:tcPr>
                <w:p>
                  <w:pPr>
                    <w:jc w:val="center"/>
                    <w:rPr>
                      <w:szCs w:val="21"/>
                      <w:u w:val="single"/>
                    </w:rPr>
                  </w:pPr>
                  <w:r>
                    <w:rPr>
                      <w:rFonts w:hint="eastAsia"/>
                      <w:szCs w:val="21"/>
                      <w:u w:val="single"/>
                    </w:rPr>
                    <w:t>堆场、卸料粉尘</w:t>
                  </w:r>
                </w:p>
              </w:tc>
              <w:tc>
                <w:tcPr>
                  <w:tcW w:w="3215" w:type="dxa"/>
                  <w:vAlign w:val="center"/>
                </w:tcPr>
                <w:p>
                  <w:pPr>
                    <w:jc w:val="center"/>
                    <w:rPr>
                      <w:szCs w:val="21"/>
                      <w:u w:val="single"/>
                    </w:rPr>
                  </w:pPr>
                  <w:r>
                    <w:rPr>
                      <w:rFonts w:hint="eastAsia" w:hAnsi="宋体"/>
                      <w:szCs w:val="21"/>
                      <w:u w:val="single"/>
                    </w:rPr>
                    <w:t>洒水降尘、全封闭厂房（新建）</w:t>
                  </w:r>
                </w:p>
              </w:tc>
              <w:tc>
                <w:tcPr>
                  <w:tcW w:w="1730" w:type="dxa"/>
                  <w:vAlign w:val="center"/>
                </w:tcPr>
                <w:p>
                  <w:pPr>
                    <w:jc w:val="center"/>
                    <w:rPr>
                      <w:szCs w:val="21"/>
                      <w:u w:val="single"/>
                    </w:rPr>
                  </w:pPr>
                  <w:r>
                    <w:rPr>
                      <w:rFonts w:hint="eastAsia"/>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5" w:type="dxa"/>
                  <w:vMerge w:val="continue"/>
                  <w:vAlign w:val="center"/>
                </w:tcPr>
                <w:p>
                  <w:pPr>
                    <w:pStyle w:val="109"/>
                    <w:rPr>
                      <w:rFonts w:ascii="Times New Roman"/>
                      <w:kern w:val="2"/>
                      <w:szCs w:val="21"/>
                      <w:u w:val="single"/>
                    </w:rPr>
                  </w:pPr>
                </w:p>
              </w:tc>
              <w:tc>
                <w:tcPr>
                  <w:tcW w:w="927" w:type="dxa"/>
                  <w:vMerge w:val="continue"/>
                  <w:vAlign w:val="center"/>
                </w:tcPr>
                <w:p>
                  <w:pPr>
                    <w:jc w:val="center"/>
                    <w:rPr>
                      <w:rFonts w:hAnsi="宋体"/>
                      <w:szCs w:val="21"/>
                      <w:u w:val="single"/>
                    </w:rPr>
                  </w:pPr>
                </w:p>
              </w:tc>
              <w:tc>
                <w:tcPr>
                  <w:tcW w:w="1783" w:type="dxa"/>
                  <w:tcBorders>
                    <w:top w:val="single" w:color="auto" w:sz="4" w:space="0"/>
                  </w:tcBorders>
                  <w:vAlign w:val="center"/>
                </w:tcPr>
                <w:p>
                  <w:pPr>
                    <w:jc w:val="center"/>
                    <w:rPr>
                      <w:szCs w:val="21"/>
                      <w:u w:val="single"/>
                    </w:rPr>
                  </w:pPr>
                  <w:r>
                    <w:rPr>
                      <w:rFonts w:hint="eastAsia" w:hAnsi="宋体"/>
                      <w:szCs w:val="21"/>
                      <w:u w:val="single"/>
                    </w:rPr>
                    <w:t>破碎、筛分粉尘</w:t>
                  </w:r>
                </w:p>
              </w:tc>
              <w:tc>
                <w:tcPr>
                  <w:tcW w:w="3215" w:type="dxa"/>
                  <w:vAlign w:val="center"/>
                </w:tcPr>
                <w:p>
                  <w:pPr>
                    <w:jc w:val="center"/>
                    <w:rPr>
                      <w:rFonts w:hAnsi="宋体"/>
                      <w:szCs w:val="21"/>
                      <w:u w:val="single"/>
                    </w:rPr>
                  </w:pPr>
                  <w:r>
                    <w:rPr>
                      <w:rFonts w:hint="eastAsia" w:hAnsi="宋体"/>
                      <w:szCs w:val="21"/>
                      <w:u w:val="single"/>
                    </w:rPr>
                    <w:t>湿式作业+密闭厂房+喷淋洒水（新建）</w:t>
                  </w:r>
                </w:p>
              </w:tc>
              <w:tc>
                <w:tcPr>
                  <w:tcW w:w="1730" w:type="dxa"/>
                  <w:vAlign w:val="center"/>
                </w:tcPr>
                <w:p>
                  <w:pPr>
                    <w:jc w:val="center"/>
                    <w:rPr>
                      <w:szCs w:val="21"/>
                      <w:u w:val="single"/>
                    </w:rPr>
                  </w:pPr>
                  <w:r>
                    <w:rPr>
                      <w:rFonts w:hint="eastAsia"/>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5" w:type="dxa"/>
                  <w:vMerge w:val="continue"/>
                  <w:vAlign w:val="center"/>
                </w:tcPr>
                <w:p>
                  <w:pPr>
                    <w:pStyle w:val="109"/>
                    <w:rPr>
                      <w:rFonts w:ascii="Times New Roman"/>
                      <w:kern w:val="2"/>
                      <w:szCs w:val="21"/>
                      <w:u w:val="single"/>
                    </w:rPr>
                  </w:pPr>
                </w:p>
              </w:tc>
              <w:tc>
                <w:tcPr>
                  <w:tcW w:w="927" w:type="dxa"/>
                  <w:vMerge w:val="continue"/>
                  <w:vAlign w:val="center"/>
                </w:tcPr>
                <w:p>
                  <w:pPr>
                    <w:jc w:val="center"/>
                    <w:rPr>
                      <w:rFonts w:hAnsi="宋体"/>
                      <w:szCs w:val="21"/>
                      <w:u w:val="single"/>
                    </w:rPr>
                  </w:pPr>
                </w:p>
              </w:tc>
              <w:tc>
                <w:tcPr>
                  <w:tcW w:w="1783" w:type="dxa"/>
                  <w:tcBorders>
                    <w:top w:val="single" w:color="auto" w:sz="4" w:space="0"/>
                  </w:tcBorders>
                  <w:vAlign w:val="center"/>
                </w:tcPr>
                <w:p>
                  <w:pPr>
                    <w:jc w:val="center"/>
                    <w:rPr>
                      <w:szCs w:val="21"/>
                      <w:u w:val="single"/>
                    </w:rPr>
                  </w:pPr>
                  <w:r>
                    <w:rPr>
                      <w:rFonts w:hint="eastAsia" w:hAnsi="宋体"/>
                      <w:szCs w:val="21"/>
                      <w:u w:val="single"/>
                    </w:rPr>
                    <w:t>食堂油烟</w:t>
                  </w:r>
                </w:p>
              </w:tc>
              <w:tc>
                <w:tcPr>
                  <w:tcW w:w="3215" w:type="dxa"/>
                  <w:vAlign w:val="center"/>
                </w:tcPr>
                <w:p>
                  <w:pPr>
                    <w:jc w:val="center"/>
                    <w:rPr>
                      <w:rFonts w:hAnsi="宋体"/>
                      <w:szCs w:val="21"/>
                      <w:u w:val="single"/>
                    </w:rPr>
                  </w:pPr>
                  <w:r>
                    <w:rPr>
                      <w:rFonts w:hint="eastAsia" w:hAnsi="宋体"/>
                      <w:szCs w:val="21"/>
                      <w:u w:val="single"/>
                    </w:rPr>
                    <w:t>油烟净化器</w:t>
                  </w:r>
                </w:p>
              </w:tc>
              <w:tc>
                <w:tcPr>
                  <w:tcW w:w="1730" w:type="dxa"/>
                  <w:vAlign w:val="center"/>
                </w:tcPr>
                <w:p>
                  <w:pPr>
                    <w:jc w:val="center"/>
                    <w:rPr>
                      <w:szCs w:val="21"/>
                      <w:u w:val="single"/>
                    </w:rPr>
                  </w:pPr>
                  <w:r>
                    <w:rPr>
                      <w:rFonts w:hint="eastAsia"/>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5" w:type="dxa"/>
                  <w:vMerge w:val="restart"/>
                  <w:vAlign w:val="center"/>
                </w:tcPr>
                <w:p>
                  <w:pPr>
                    <w:jc w:val="center"/>
                    <w:rPr>
                      <w:szCs w:val="21"/>
                      <w:u w:val="single"/>
                    </w:rPr>
                  </w:pPr>
                  <w:r>
                    <w:rPr>
                      <w:szCs w:val="21"/>
                      <w:u w:val="single"/>
                    </w:rPr>
                    <w:t>2</w:t>
                  </w:r>
                </w:p>
              </w:tc>
              <w:tc>
                <w:tcPr>
                  <w:tcW w:w="927" w:type="dxa"/>
                  <w:vMerge w:val="restart"/>
                  <w:vAlign w:val="center"/>
                </w:tcPr>
                <w:p>
                  <w:pPr>
                    <w:jc w:val="center"/>
                    <w:rPr>
                      <w:szCs w:val="21"/>
                      <w:u w:val="single"/>
                    </w:rPr>
                  </w:pPr>
                  <w:r>
                    <w:rPr>
                      <w:rFonts w:hint="eastAsia"/>
                      <w:szCs w:val="21"/>
                      <w:u w:val="single"/>
                    </w:rPr>
                    <w:t>废水</w:t>
                  </w:r>
                </w:p>
              </w:tc>
              <w:tc>
                <w:tcPr>
                  <w:tcW w:w="1783" w:type="dxa"/>
                  <w:vAlign w:val="center"/>
                </w:tcPr>
                <w:p>
                  <w:pPr>
                    <w:jc w:val="center"/>
                    <w:rPr>
                      <w:color w:val="auto"/>
                      <w:szCs w:val="21"/>
                      <w:u w:val="single"/>
                    </w:rPr>
                  </w:pPr>
                  <w:r>
                    <w:rPr>
                      <w:rFonts w:hAnsi="宋体"/>
                      <w:color w:val="auto"/>
                      <w:szCs w:val="21"/>
                      <w:u w:val="single"/>
                    </w:rPr>
                    <w:t>生产用水</w:t>
                  </w:r>
                </w:p>
              </w:tc>
              <w:tc>
                <w:tcPr>
                  <w:tcW w:w="3215" w:type="dxa"/>
                  <w:vAlign w:val="center"/>
                </w:tcPr>
                <w:p>
                  <w:pPr>
                    <w:jc w:val="center"/>
                    <w:rPr>
                      <w:color w:val="auto"/>
                      <w:szCs w:val="21"/>
                      <w:u w:val="single"/>
                    </w:rPr>
                  </w:pPr>
                  <w:r>
                    <w:rPr>
                      <w:rFonts w:hint="eastAsia"/>
                      <w:color w:val="auto"/>
                      <w:szCs w:val="21"/>
                      <w:u w:val="single"/>
                      <w:lang w:eastAsia="zh-CN"/>
                    </w:rPr>
                    <w:t>循环水塔</w:t>
                  </w:r>
                  <w:r>
                    <w:rPr>
                      <w:rFonts w:hint="eastAsia"/>
                      <w:color w:val="auto"/>
                      <w:szCs w:val="21"/>
                      <w:u w:val="single"/>
                    </w:rPr>
                    <w:t>（</w:t>
                  </w:r>
                  <w:r>
                    <w:rPr>
                      <w:rFonts w:hint="eastAsia"/>
                      <w:color w:val="auto"/>
                      <w:szCs w:val="21"/>
                      <w:u w:val="single"/>
                      <w:lang w:eastAsia="zh-CN"/>
                    </w:rPr>
                    <w:t>其中一个</w:t>
                  </w:r>
                  <w:r>
                    <w:rPr>
                      <w:rFonts w:hint="eastAsia"/>
                      <w:color w:val="auto"/>
                      <w:szCs w:val="21"/>
                      <w:u w:val="single"/>
                      <w:lang w:val="en-US" w:eastAsia="zh-CN"/>
                    </w:rPr>
                    <w:t>30t，一个22t</w:t>
                  </w:r>
                  <w:r>
                    <w:rPr>
                      <w:rFonts w:hint="eastAsia"/>
                      <w:color w:val="auto"/>
                      <w:szCs w:val="21"/>
                      <w:u w:val="single"/>
                    </w:rPr>
                    <w:t>）、</w:t>
                  </w:r>
                  <w:r>
                    <w:rPr>
                      <w:rFonts w:hint="eastAsia"/>
                      <w:color w:val="auto"/>
                      <w:szCs w:val="21"/>
                      <w:u w:val="single"/>
                      <w:lang w:eastAsia="zh-CN"/>
                    </w:rPr>
                    <w:t>清水池</w:t>
                  </w:r>
                  <w:r>
                    <w:rPr>
                      <w:rFonts w:hint="eastAsia"/>
                      <w:color w:val="auto"/>
                      <w:szCs w:val="21"/>
                      <w:u w:val="single"/>
                    </w:rPr>
                    <w:t>（</w:t>
                  </w:r>
                  <w:r>
                    <w:rPr>
                      <w:rFonts w:hint="eastAsia"/>
                      <w:color w:val="auto"/>
                      <w:szCs w:val="21"/>
                      <w:u w:val="single"/>
                      <w:lang w:eastAsia="zh-CN"/>
                    </w:rPr>
                    <w:t>现有</w:t>
                  </w:r>
                  <w:r>
                    <w:rPr>
                      <w:rFonts w:hint="eastAsia"/>
                      <w:color w:val="auto"/>
                      <w:szCs w:val="21"/>
                      <w:u w:val="single"/>
                    </w:rPr>
                    <w:t>，容积</w:t>
                  </w:r>
                  <w:r>
                    <w:rPr>
                      <w:rFonts w:hint="eastAsia"/>
                      <w:color w:val="auto"/>
                      <w:szCs w:val="21"/>
                      <w:u w:val="single"/>
                      <w:lang w:val="en-US" w:eastAsia="zh-CN"/>
                    </w:rPr>
                    <w:t>240</w:t>
                  </w:r>
                  <w:r>
                    <w:rPr>
                      <w:rFonts w:hint="eastAsia"/>
                      <w:color w:val="auto"/>
                      <w:szCs w:val="21"/>
                      <w:u w:val="single"/>
                    </w:rPr>
                    <w:t>m</w:t>
                  </w:r>
                  <w:r>
                    <w:rPr>
                      <w:rFonts w:hint="eastAsia"/>
                      <w:color w:val="auto"/>
                      <w:szCs w:val="21"/>
                      <w:u w:val="single"/>
                      <w:vertAlign w:val="superscript"/>
                    </w:rPr>
                    <w:t>3</w:t>
                  </w:r>
                  <w:r>
                    <w:rPr>
                      <w:rFonts w:hint="eastAsia"/>
                      <w:color w:val="auto"/>
                      <w:szCs w:val="21"/>
                      <w:u w:val="single"/>
                    </w:rPr>
                    <w:t>）</w:t>
                  </w:r>
                </w:p>
              </w:tc>
              <w:tc>
                <w:tcPr>
                  <w:tcW w:w="1730" w:type="dxa"/>
                  <w:vAlign w:val="center"/>
                </w:tcPr>
                <w:p>
                  <w:pPr>
                    <w:jc w:val="center"/>
                    <w:rPr>
                      <w:szCs w:val="21"/>
                      <w:u w:val="single"/>
                    </w:rPr>
                  </w:pPr>
                  <w:r>
                    <w:rPr>
                      <w:rFonts w:hint="eastAsia"/>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5" w:type="dxa"/>
                  <w:vMerge w:val="continue"/>
                  <w:vAlign w:val="center"/>
                </w:tcPr>
                <w:p>
                  <w:pPr>
                    <w:pStyle w:val="109"/>
                    <w:rPr>
                      <w:rFonts w:ascii="Times New Roman"/>
                      <w:kern w:val="2"/>
                      <w:szCs w:val="21"/>
                      <w:u w:val="single"/>
                    </w:rPr>
                  </w:pPr>
                </w:p>
              </w:tc>
              <w:tc>
                <w:tcPr>
                  <w:tcW w:w="927" w:type="dxa"/>
                  <w:vMerge w:val="continue"/>
                  <w:vAlign w:val="center"/>
                </w:tcPr>
                <w:p>
                  <w:pPr>
                    <w:jc w:val="center"/>
                    <w:rPr>
                      <w:szCs w:val="21"/>
                      <w:u w:val="single"/>
                    </w:rPr>
                  </w:pPr>
                </w:p>
              </w:tc>
              <w:tc>
                <w:tcPr>
                  <w:tcW w:w="1783" w:type="dxa"/>
                  <w:vAlign w:val="center"/>
                </w:tcPr>
                <w:p>
                  <w:pPr>
                    <w:jc w:val="center"/>
                    <w:rPr>
                      <w:szCs w:val="21"/>
                      <w:u w:val="single"/>
                    </w:rPr>
                  </w:pPr>
                  <w:r>
                    <w:rPr>
                      <w:rFonts w:hAnsi="宋体"/>
                      <w:szCs w:val="21"/>
                      <w:u w:val="single"/>
                    </w:rPr>
                    <w:t>生活废水</w:t>
                  </w:r>
                </w:p>
              </w:tc>
              <w:tc>
                <w:tcPr>
                  <w:tcW w:w="3215" w:type="dxa"/>
                  <w:vAlign w:val="center"/>
                </w:tcPr>
                <w:p>
                  <w:pPr>
                    <w:jc w:val="center"/>
                    <w:rPr>
                      <w:rFonts w:hAnsi="宋体"/>
                      <w:szCs w:val="21"/>
                      <w:u w:val="single"/>
                    </w:rPr>
                  </w:pPr>
                  <w:r>
                    <w:rPr>
                      <w:rFonts w:hint="eastAsia" w:hAnsi="宋体"/>
                      <w:szCs w:val="21"/>
                      <w:u w:val="single"/>
                    </w:rPr>
                    <w:t>隔油沉淀池+化粪池</w:t>
                  </w:r>
                </w:p>
              </w:tc>
              <w:tc>
                <w:tcPr>
                  <w:tcW w:w="1730" w:type="dxa"/>
                  <w:vAlign w:val="center"/>
                </w:tcPr>
                <w:p>
                  <w:pPr>
                    <w:jc w:val="center"/>
                    <w:rPr>
                      <w:szCs w:val="21"/>
                      <w:u w:val="single"/>
                    </w:rPr>
                  </w:pPr>
                  <w:r>
                    <w:rPr>
                      <w:rFonts w:hint="eastAsia"/>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05" w:type="dxa"/>
                  <w:vAlign w:val="center"/>
                </w:tcPr>
                <w:p>
                  <w:pPr>
                    <w:jc w:val="center"/>
                    <w:rPr>
                      <w:szCs w:val="21"/>
                      <w:u w:val="single"/>
                    </w:rPr>
                  </w:pPr>
                  <w:r>
                    <w:rPr>
                      <w:szCs w:val="21"/>
                      <w:u w:val="single"/>
                    </w:rPr>
                    <w:t>3</w:t>
                  </w:r>
                </w:p>
              </w:tc>
              <w:tc>
                <w:tcPr>
                  <w:tcW w:w="2710" w:type="dxa"/>
                  <w:gridSpan w:val="2"/>
                  <w:vAlign w:val="center"/>
                </w:tcPr>
                <w:p>
                  <w:pPr>
                    <w:jc w:val="center"/>
                    <w:rPr>
                      <w:szCs w:val="21"/>
                      <w:u w:val="single"/>
                    </w:rPr>
                  </w:pPr>
                  <w:r>
                    <w:rPr>
                      <w:rFonts w:hAnsi="宋体"/>
                      <w:szCs w:val="21"/>
                      <w:u w:val="single"/>
                    </w:rPr>
                    <w:t>噪声</w:t>
                  </w:r>
                </w:p>
              </w:tc>
              <w:tc>
                <w:tcPr>
                  <w:tcW w:w="3215" w:type="dxa"/>
                  <w:vAlign w:val="center"/>
                </w:tcPr>
                <w:p>
                  <w:pPr>
                    <w:jc w:val="center"/>
                    <w:rPr>
                      <w:szCs w:val="21"/>
                      <w:u w:val="single"/>
                    </w:rPr>
                  </w:pPr>
                  <w:r>
                    <w:rPr>
                      <w:rFonts w:hint="eastAsia" w:hAnsi="宋体"/>
                      <w:szCs w:val="21"/>
                      <w:u w:val="single"/>
                    </w:rPr>
                    <w:t>隔声降噪防治</w:t>
                  </w:r>
                  <w:r>
                    <w:rPr>
                      <w:rFonts w:hAnsi="宋体"/>
                      <w:szCs w:val="21"/>
                      <w:u w:val="single"/>
                    </w:rPr>
                    <w:t>设施</w:t>
                  </w:r>
                </w:p>
              </w:tc>
              <w:tc>
                <w:tcPr>
                  <w:tcW w:w="1730" w:type="dxa"/>
                  <w:vAlign w:val="center"/>
                </w:tcPr>
                <w:p>
                  <w:pPr>
                    <w:jc w:val="center"/>
                    <w:rPr>
                      <w:szCs w:val="21"/>
                      <w:u w:val="single"/>
                    </w:rPr>
                  </w:pPr>
                  <w:r>
                    <w:rPr>
                      <w:rFonts w:hint="eastAsia"/>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5" w:type="dxa"/>
                  <w:vAlign w:val="center"/>
                </w:tcPr>
                <w:p>
                  <w:pPr>
                    <w:jc w:val="center"/>
                    <w:rPr>
                      <w:szCs w:val="21"/>
                      <w:u w:val="single"/>
                    </w:rPr>
                  </w:pPr>
                  <w:r>
                    <w:rPr>
                      <w:szCs w:val="21"/>
                      <w:u w:val="single"/>
                    </w:rPr>
                    <w:t>4</w:t>
                  </w:r>
                </w:p>
              </w:tc>
              <w:tc>
                <w:tcPr>
                  <w:tcW w:w="2710" w:type="dxa"/>
                  <w:gridSpan w:val="2"/>
                  <w:vAlign w:val="center"/>
                </w:tcPr>
                <w:p>
                  <w:pPr>
                    <w:jc w:val="center"/>
                    <w:rPr>
                      <w:szCs w:val="21"/>
                      <w:u w:val="single"/>
                    </w:rPr>
                  </w:pPr>
                  <w:r>
                    <w:rPr>
                      <w:rFonts w:hint="eastAsia" w:hAnsi="宋体"/>
                      <w:szCs w:val="21"/>
                      <w:u w:val="single"/>
                    </w:rPr>
                    <w:t>固体废物</w:t>
                  </w:r>
                </w:p>
              </w:tc>
              <w:tc>
                <w:tcPr>
                  <w:tcW w:w="3215" w:type="dxa"/>
                  <w:vAlign w:val="center"/>
                </w:tcPr>
                <w:p>
                  <w:pPr>
                    <w:jc w:val="center"/>
                    <w:rPr>
                      <w:szCs w:val="21"/>
                      <w:u w:val="single"/>
                    </w:rPr>
                  </w:pPr>
                  <w:r>
                    <w:rPr>
                      <w:rFonts w:hint="eastAsia" w:hAnsi="宋体"/>
                      <w:szCs w:val="21"/>
                      <w:u w:val="single"/>
                    </w:rPr>
                    <w:t>垃圾箱、污泥暂存间</w:t>
                  </w:r>
                </w:p>
              </w:tc>
              <w:tc>
                <w:tcPr>
                  <w:tcW w:w="1730" w:type="dxa"/>
                  <w:vAlign w:val="center"/>
                </w:tcPr>
                <w:p>
                  <w:pPr>
                    <w:jc w:val="center"/>
                    <w:rPr>
                      <w:szCs w:val="21"/>
                      <w:u w:val="single"/>
                    </w:rPr>
                  </w:pPr>
                  <w:r>
                    <w:rPr>
                      <w:rFonts w:hint="eastAsia"/>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05" w:type="dxa"/>
                  <w:vAlign w:val="center"/>
                </w:tcPr>
                <w:p>
                  <w:pPr>
                    <w:jc w:val="center"/>
                    <w:rPr>
                      <w:szCs w:val="21"/>
                      <w:u w:val="single"/>
                    </w:rPr>
                  </w:pPr>
                  <w:r>
                    <w:rPr>
                      <w:rFonts w:hint="eastAsia"/>
                      <w:szCs w:val="21"/>
                      <w:u w:val="single"/>
                    </w:rPr>
                    <w:t>6</w:t>
                  </w:r>
                </w:p>
              </w:tc>
              <w:tc>
                <w:tcPr>
                  <w:tcW w:w="2710" w:type="dxa"/>
                  <w:gridSpan w:val="2"/>
                  <w:vAlign w:val="center"/>
                </w:tcPr>
                <w:p>
                  <w:pPr>
                    <w:jc w:val="center"/>
                    <w:rPr>
                      <w:rFonts w:hAnsi="宋体"/>
                      <w:szCs w:val="21"/>
                      <w:u w:val="single"/>
                    </w:rPr>
                  </w:pPr>
                  <w:r>
                    <w:rPr>
                      <w:rFonts w:hint="eastAsia" w:hAnsi="宋体"/>
                      <w:szCs w:val="21"/>
                      <w:u w:val="single"/>
                    </w:rPr>
                    <w:t>生态保护</w:t>
                  </w:r>
                </w:p>
              </w:tc>
              <w:tc>
                <w:tcPr>
                  <w:tcW w:w="3215" w:type="dxa"/>
                  <w:vAlign w:val="center"/>
                </w:tcPr>
                <w:p>
                  <w:pPr>
                    <w:jc w:val="center"/>
                    <w:rPr>
                      <w:rFonts w:hAnsi="宋体"/>
                      <w:szCs w:val="21"/>
                      <w:u w:val="single"/>
                    </w:rPr>
                  </w:pPr>
                  <w:r>
                    <w:rPr>
                      <w:rFonts w:hint="eastAsia" w:hAnsi="宋体"/>
                      <w:szCs w:val="21"/>
                      <w:u w:val="single"/>
                    </w:rPr>
                    <w:t>绿化（现有</w:t>
                  </w:r>
                  <w:r>
                    <w:rPr>
                      <w:rFonts w:hint="eastAsia"/>
                      <w:kern w:val="0"/>
                      <w:szCs w:val="21"/>
                      <w:u w:val="single"/>
                    </w:rPr>
                    <w:t>500m</w:t>
                  </w:r>
                  <w:r>
                    <w:rPr>
                      <w:rFonts w:hint="eastAsia"/>
                      <w:kern w:val="0"/>
                      <w:szCs w:val="21"/>
                      <w:u w:val="single"/>
                      <w:vertAlign w:val="superscript"/>
                    </w:rPr>
                    <w:t>2</w:t>
                  </w:r>
                  <w:r>
                    <w:rPr>
                      <w:rFonts w:hint="eastAsia" w:hAnsi="宋体"/>
                      <w:szCs w:val="21"/>
                      <w:u w:val="single"/>
                    </w:rPr>
                    <w:t>）</w:t>
                  </w:r>
                </w:p>
              </w:tc>
              <w:tc>
                <w:tcPr>
                  <w:tcW w:w="1730" w:type="dxa"/>
                  <w:vAlign w:val="center"/>
                </w:tcPr>
                <w:p>
                  <w:pPr>
                    <w:jc w:val="center"/>
                    <w:rPr>
                      <w:szCs w:val="21"/>
                      <w:u w:val="single"/>
                    </w:rPr>
                  </w:pPr>
                  <w:r>
                    <w:rPr>
                      <w:rFonts w:hint="eastAsia"/>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05" w:type="dxa"/>
                  <w:vAlign w:val="center"/>
                </w:tcPr>
                <w:p>
                  <w:pPr>
                    <w:jc w:val="center"/>
                    <w:rPr>
                      <w:szCs w:val="21"/>
                      <w:u w:val="single"/>
                    </w:rPr>
                  </w:pPr>
                  <w:r>
                    <w:rPr>
                      <w:rFonts w:hint="eastAsia"/>
                      <w:szCs w:val="21"/>
                      <w:u w:val="single"/>
                    </w:rPr>
                    <w:t>7</w:t>
                  </w:r>
                </w:p>
              </w:tc>
              <w:tc>
                <w:tcPr>
                  <w:tcW w:w="2710" w:type="dxa"/>
                  <w:gridSpan w:val="2"/>
                  <w:vAlign w:val="center"/>
                </w:tcPr>
                <w:p>
                  <w:pPr>
                    <w:jc w:val="center"/>
                    <w:rPr>
                      <w:szCs w:val="21"/>
                      <w:u w:val="single"/>
                    </w:rPr>
                  </w:pPr>
                  <w:r>
                    <w:rPr>
                      <w:rFonts w:hAnsi="宋体"/>
                      <w:szCs w:val="21"/>
                      <w:u w:val="single"/>
                    </w:rPr>
                    <w:t>合计</w:t>
                  </w:r>
                </w:p>
              </w:tc>
              <w:tc>
                <w:tcPr>
                  <w:tcW w:w="3215" w:type="dxa"/>
                  <w:vAlign w:val="center"/>
                </w:tcPr>
                <w:p>
                  <w:pPr>
                    <w:jc w:val="center"/>
                    <w:rPr>
                      <w:szCs w:val="21"/>
                      <w:u w:val="single"/>
                    </w:rPr>
                  </w:pPr>
                </w:p>
              </w:tc>
              <w:tc>
                <w:tcPr>
                  <w:tcW w:w="1730" w:type="dxa"/>
                  <w:vAlign w:val="center"/>
                </w:tcPr>
                <w:p>
                  <w:pPr>
                    <w:jc w:val="center"/>
                    <w:rPr>
                      <w:szCs w:val="21"/>
                      <w:u w:val="single"/>
                    </w:rPr>
                  </w:pPr>
                  <w:r>
                    <w:rPr>
                      <w:rFonts w:hint="eastAsia"/>
                      <w:szCs w:val="21"/>
                      <w:u w:val="single"/>
                    </w:rPr>
                    <w:t>30</w:t>
                  </w:r>
                </w:p>
              </w:tc>
            </w:tr>
          </w:tbl>
          <w:p>
            <w:pPr>
              <w:spacing w:line="300" w:lineRule="auto"/>
              <w:ind w:firstLine="482" w:firstLineChars="200"/>
              <w:rPr>
                <w:b/>
                <w:sz w:val="24"/>
                <w:u w:val="single"/>
              </w:rPr>
            </w:pPr>
            <w:r>
              <w:rPr>
                <w:b/>
                <w:sz w:val="24"/>
                <w:u w:val="single"/>
              </w:rPr>
              <w:t>1</w:t>
            </w:r>
            <w:r>
              <w:rPr>
                <w:rFonts w:hint="eastAsia"/>
                <w:b/>
                <w:sz w:val="24"/>
                <w:u w:val="single"/>
                <w:lang w:val="en-US" w:eastAsia="zh-CN"/>
              </w:rPr>
              <w:t>2</w:t>
            </w:r>
            <w:r>
              <w:rPr>
                <w:rFonts w:hint="eastAsia"/>
                <w:b/>
                <w:sz w:val="24"/>
                <w:u w:val="single"/>
              </w:rPr>
              <w:t>.</w:t>
            </w:r>
            <w:r>
              <w:rPr>
                <w:b/>
                <w:sz w:val="24"/>
                <w:u w:val="single"/>
              </w:rPr>
              <w:t>项目验收监测</w:t>
            </w:r>
          </w:p>
          <w:p>
            <w:pPr>
              <w:spacing w:line="300" w:lineRule="auto"/>
              <w:ind w:firstLine="480" w:firstLineChars="200"/>
              <w:rPr>
                <w:sz w:val="24"/>
                <w:u w:val="single"/>
              </w:rPr>
            </w:pPr>
            <w:r>
              <w:rPr>
                <w:sz w:val="24"/>
                <w:u w:val="single"/>
              </w:rPr>
              <w:t>项目验收监测内容见下表7-</w:t>
            </w:r>
            <w:r>
              <w:rPr>
                <w:rFonts w:hint="eastAsia"/>
                <w:sz w:val="24"/>
                <w:u w:val="single"/>
                <w:lang w:val="en-US" w:eastAsia="zh-CN"/>
              </w:rPr>
              <w:t>1</w:t>
            </w:r>
            <w:r>
              <w:rPr>
                <w:rFonts w:hint="eastAsia"/>
                <w:sz w:val="24"/>
                <w:u w:val="single"/>
              </w:rPr>
              <w:t>5</w:t>
            </w:r>
            <w:r>
              <w:rPr>
                <w:sz w:val="24"/>
                <w:u w:val="single"/>
              </w:rPr>
              <w:t>。</w:t>
            </w:r>
          </w:p>
          <w:p>
            <w:pPr>
              <w:pStyle w:val="143"/>
              <w:tabs>
                <w:tab w:val="clear" w:pos="400"/>
              </w:tabs>
              <w:ind w:firstLine="0"/>
              <w:jc w:val="center"/>
              <w:rPr>
                <w:b/>
                <w:sz w:val="24"/>
                <w:szCs w:val="24"/>
                <w:u w:val="single"/>
              </w:rPr>
            </w:pPr>
          </w:p>
          <w:p>
            <w:pPr>
              <w:pStyle w:val="143"/>
              <w:tabs>
                <w:tab w:val="clear" w:pos="400"/>
              </w:tabs>
              <w:ind w:firstLine="0"/>
              <w:jc w:val="center"/>
              <w:rPr>
                <w:sz w:val="24"/>
                <w:szCs w:val="24"/>
                <w:u w:val="single"/>
              </w:rPr>
            </w:pPr>
            <w:r>
              <w:rPr>
                <w:b/>
                <w:sz w:val="24"/>
                <w:szCs w:val="24"/>
                <w:u w:val="single"/>
              </w:rPr>
              <w:t>表7</w:t>
            </w:r>
            <w:r>
              <w:rPr>
                <w:rFonts w:hint="eastAsia"/>
                <w:b/>
                <w:sz w:val="24"/>
                <w:szCs w:val="24"/>
                <w:u w:val="single"/>
              </w:rPr>
              <w:t>-</w:t>
            </w:r>
            <w:r>
              <w:rPr>
                <w:rFonts w:hint="eastAsia"/>
                <w:b/>
                <w:sz w:val="24"/>
                <w:szCs w:val="24"/>
                <w:u w:val="single"/>
                <w:lang w:val="en-US" w:eastAsia="zh-CN"/>
              </w:rPr>
              <w:t>1</w:t>
            </w:r>
            <w:r>
              <w:rPr>
                <w:rFonts w:hint="eastAsia"/>
                <w:b/>
                <w:sz w:val="24"/>
                <w:szCs w:val="24"/>
                <w:u w:val="single"/>
              </w:rPr>
              <w:t xml:space="preserve">5 </w:t>
            </w:r>
            <w:r>
              <w:rPr>
                <w:b/>
                <w:sz w:val="24"/>
                <w:szCs w:val="24"/>
                <w:u w:val="single"/>
              </w:rPr>
              <w:t xml:space="preserve"> 环境保护竣工验收一览表</w:t>
            </w:r>
          </w:p>
          <w:tbl>
            <w:tblPr>
              <w:tblStyle w:val="28"/>
              <w:tblW w:w="84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4063"/>
              <w:gridCol w:w="2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67" w:type="dxa"/>
                  <w:vAlign w:val="center"/>
                </w:tcPr>
                <w:p>
                  <w:pPr>
                    <w:pStyle w:val="143"/>
                    <w:tabs>
                      <w:tab w:val="clear" w:pos="400"/>
                    </w:tabs>
                    <w:spacing w:line="240" w:lineRule="auto"/>
                    <w:ind w:firstLine="0"/>
                    <w:jc w:val="center"/>
                    <w:rPr>
                      <w:sz w:val="21"/>
                      <w:szCs w:val="21"/>
                      <w:u w:val="single"/>
                    </w:rPr>
                  </w:pPr>
                  <w:r>
                    <w:rPr>
                      <w:sz w:val="21"/>
                      <w:szCs w:val="21"/>
                      <w:u w:val="single"/>
                    </w:rPr>
                    <w:t>验收类别</w:t>
                  </w:r>
                </w:p>
              </w:tc>
              <w:tc>
                <w:tcPr>
                  <w:tcW w:w="4063" w:type="dxa"/>
                  <w:vAlign w:val="center"/>
                </w:tcPr>
                <w:p>
                  <w:pPr>
                    <w:pStyle w:val="143"/>
                    <w:tabs>
                      <w:tab w:val="clear" w:pos="400"/>
                    </w:tabs>
                    <w:spacing w:line="240" w:lineRule="auto"/>
                    <w:ind w:firstLine="0"/>
                    <w:jc w:val="center"/>
                    <w:rPr>
                      <w:sz w:val="21"/>
                      <w:szCs w:val="21"/>
                      <w:u w:val="single"/>
                    </w:rPr>
                  </w:pPr>
                  <w:r>
                    <w:rPr>
                      <w:sz w:val="21"/>
                      <w:szCs w:val="21"/>
                      <w:u w:val="single"/>
                    </w:rPr>
                    <w:t>验收内容</w:t>
                  </w:r>
                </w:p>
              </w:tc>
              <w:tc>
                <w:tcPr>
                  <w:tcW w:w="2950" w:type="dxa"/>
                  <w:vAlign w:val="center"/>
                </w:tcPr>
                <w:p>
                  <w:pPr>
                    <w:pStyle w:val="143"/>
                    <w:tabs>
                      <w:tab w:val="clear" w:pos="400"/>
                    </w:tabs>
                    <w:spacing w:line="240" w:lineRule="auto"/>
                    <w:ind w:firstLine="0"/>
                    <w:jc w:val="center"/>
                    <w:rPr>
                      <w:sz w:val="21"/>
                      <w:szCs w:val="21"/>
                      <w:u w:val="single"/>
                    </w:rPr>
                  </w:pPr>
                  <w:r>
                    <w:rPr>
                      <w:sz w:val="21"/>
                      <w:szCs w:val="21"/>
                      <w:u w:val="singl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467" w:type="dxa"/>
                  <w:vAlign w:val="center"/>
                </w:tcPr>
                <w:p>
                  <w:pPr>
                    <w:pStyle w:val="84"/>
                    <w:rPr>
                      <w:szCs w:val="21"/>
                      <w:u w:val="single"/>
                    </w:rPr>
                  </w:pPr>
                  <w:r>
                    <w:rPr>
                      <w:rFonts w:hint="eastAsia"/>
                      <w:szCs w:val="21"/>
                      <w:u w:val="single"/>
                    </w:rPr>
                    <w:t>废气</w:t>
                  </w:r>
                </w:p>
              </w:tc>
              <w:tc>
                <w:tcPr>
                  <w:tcW w:w="4063" w:type="dxa"/>
                  <w:vAlign w:val="center"/>
                </w:tcPr>
                <w:p>
                  <w:pPr>
                    <w:pStyle w:val="84"/>
                    <w:rPr>
                      <w:szCs w:val="21"/>
                      <w:u w:val="single"/>
                    </w:rPr>
                  </w:pPr>
                  <w:r>
                    <w:rPr>
                      <w:rFonts w:hint="eastAsia"/>
                      <w:szCs w:val="21"/>
                      <w:u w:val="single"/>
                    </w:rPr>
                    <w:t>成品堆场洒水抑尘，加设挡风墙或厂棚；破碎、筛分湿式作业+密闭厂房+喷淋洒水；食堂设油烟净化器</w:t>
                  </w:r>
                </w:p>
              </w:tc>
              <w:tc>
                <w:tcPr>
                  <w:tcW w:w="2950" w:type="dxa"/>
                  <w:vAlign w:val="center"/>
                </w:tcPr>
                <w:p>
                  <w:pPr>
                    <w:pStyle w:val="84"/>
                    <w:rPr>
                      <w:szCs w:val="21"/>
                      <w:u w:val="single"/>
                    </w:rPr>
                  </w:pPr>
                  <w:r>
                    <w:rPr>
                      <w:rFonts w:hint="eastAsia"/>
                      <w:szCs w:val="21"/>
                      <w:u w:val="single"/>
                    </w:rPr>
                    <w:t>满足《大气污染物综合排放标准》（GB16297-1996）中无组织排放周界外浓度最高限值要求及</w:t>
                  </w:r>
                  <w:r>
                    <w:rPr>
                      <w:szCs w:val="21"/>
                      <w:u w:val="single"/>
                    </w:rPr>
                    <w:t>《饮食业油烟排放标准》（GB18489-2001）</w:t>
                  </w:r>
                  <w:r>
                    <w:rPr>
                      <w:rFonts w:hint="eastAsia"/>
                      <w:szCs w:val="21"/>
                      <w:u w:val="single"/>
                    </w:rPr>
                    <w:t>中排放标准。</w:t>
                  </w:r>
                </w:p>
                <w:p>
                  <w:pPr>
                    <w:widowControl/>
                    <w:spacing w:line="280" w:lineRule="exact"/>
                    <w:jc w:val="center"/>
                    <w:rPr>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467" w:type="dxa"/>
                  <w:vAlign w:val="center"/>
                </w:tcPr>
                <w:p>
                  <w:pPr>
                    <w:pStyle w:val="84"/>
                    <w:rPr>
                      <w:u w:val="single"/>
                    </w:rPr>
                  </w:pPr>
                  <w:r>
                    <w:rPr>
                      <w:rFonts w:hint="eastAsia"/>
                      <w:u w:val="single"/>
                    </w:rPr>
                    <w:t>噪声</w:t>
                  </w:r>
                </w:p>
              </w:tc>
              <w:tc>
                <w:tcPr>
                  <w:tcW w:w="4063" w:type="dxa"/>
                  <w:vAlign w:val="center"/>
                </w:tcPr>
                <w:p>
                  <w:pPr>
                    <w:pStyle w:val="84"/>
                    <w:ind w:firstLine="420" w:firstLineChars="200"/>
                    <w:rPr>
                      <w:u w:val="single"/>
                    </w:rPr>
                  </w:pPr>
                  <w:r>
                    <w:rPr>
                      <w:u w:val="single"/>
                    </w:rPr>
                    <w:t>在产生噪声的设备安装减震措施，采取有效的隔振、隔声设施</w:t>
                  </w:r>
                </w:p>
              </w:tc>
              <w:tc>
                <w:tcPr>
                  <w:tcW w:w="2950" w:type="dxa"/>
                  <w:vAlign w:val="center"/>
                </w:tcPr>
                <w:p>
                  <w:pPr>
                    <w:widowControl/>
                    <w:spacing w:line="280" w:lineRule="exact"/>
                    <w:jc w:val="center"/>
                    <w:rPr>
                      <w:szCs w:val="21"/>
                      <w:u w:val="single"/>
                    </w:rPr>
                  </w:pPr>
                  <w:r>
                    <w:rPr>
                      <w:szCs w:val="21"/>
                      <w:u w:val="single"/>
                    </w:rPr>
                    <w:t>达到《工业企业厂界噪声标准》（GB12348-</w:t>
                  </w:r>
                  <w:r>
                    <w:rPr>
                      <w:rFonts w:hint="eastAsia"/>
                      <w:szCs w:val="21"/>
                      <w:u w:val="single"/>
                    </w:rPr>
                    <w:t>2008</w:t>
                  </w:r>
                  <w:r>
                    <w:rPr>
                      <w:szCs w:val="21"/>
                      <w:u w:val="single"/>
                    </w:rPr>
                    <w:t>）</w:t>
                  </w:r>
                  <w:r>
                    <w:rPr>
                      <w:rFonts w:hint="eastAsia"/>
                      <w:szCs w:val="21"/>
                      <w:u w:val="single"/>
                    </w:rPr>
                    <w:t>中2类标准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7" w:type="dxa"/>
                  <w:vAlign w:val="center"/>
                </w:tcPr>
                <w:p>
                  <w:pPr>
                    <w:pStyle w:val="84"/>
                    <w:rPr>
                      <w:u w:val="single"/>
                    </w:rPr>
                  </w:pPr>
                  <w:r>
                    <w:rPr>
                      <w:rFonts w:hint="eastAsia"/>
                      <w:u w:val="single"/>
                    </w:rPr>
                    <w:t>废水</w:t>
                  </w:r>
                </w:p>
              </w:tc>
              <w:tc>
                <w:tcPr>
                  <w:tcW w:w="4063" w:type="dxa"/>
                  <w:vAlign w:val="center"/>
                </w:tcPr>
                <w:p>
                  <w:pPr>
                    <w:pStyle w:val="84"/>
                    <w:rPr>
                      <w:szCs w:val="21"/>
                      <w:u w:val="single"/>
                    </w:rPr>
                  </w:pPr>
                  <w:r>
                    <w:rPr>
                      <w:rFonts w:hint="eastAsia"/>
                      <w:szCs w:val="21"/>
                      <w:u w:val="single"/>
                    </w:rPr>
                    <w:t>生活污水进隔油沉淀池、化粪池处理后用于周边农田及植被绿化施肥；初期雨水排入</w:t>
                  </w:r>
                  <w:r>
                    <w:rPr>
                      <w:rFonts w:hint="eastAsia"/>
                      <w:szCs w:val="21"/>
                      <w:u w:val="single"/>
                      <w:lang w:eastAsia="zh-CN"/>
                    </w:rPr>
                    <w:t>循环水塔循环</w:t>
                  </w:r>
                  <w:r>
                    <w:rPr>
                      <w:rFonts w:hint="eastAsia"/>
                      <w:szCs w:val="21"/>
                      <w:u w:val="single"/>
                    </w:rPr>
                    <w:t>回用于生产，生产废水循环利用不外排</w:t>
                  </w:r>
                </w:p>
              </w:tc>
              <w:tc>
                <w:tcPr>
                  <w:tcW w:w="2950" w:type="dxa"/>
                  <w:vAlign w:val="center"/>
                </w:tcPr>
                <w:p>
                  <w:pPr>
                    <w:widowControl/>
                    <w:spacing w:line="280" w:lineRule="exact"/>
                    <w:jc w:val="center"/>
                    <w:rPr>
                      <w:szCs w:val="21"/>
                      <w:u w:val="single"/>
                    </w:rPr>
                  </w:pPr>
                  <w:r>
                    <w:rPr>
                      <w:rFonts w:hint="eastAsia"/>
                      <w:szCs w:val="21"/>
                      <w:u w:val="single"/>
                    </w:rPr>
                    <w:t>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1467" w:type="dxa"/>
                  <w:vAlign w:val="center"/>
                </w:tcPr>
                <w:p>
                  <w:pPr>
                    <w:pStyle w:val="143"/>
                    <w:tabs>
                      <w:tab w:val="clear" w:pos="400"/>
                    </w:tabs>
                    <w:spacing w:line="280" w:lineRule="exact"/>
                    <w:ind w:firstLine="0"/>
                    <w:jc w:val="center"/>
                    <w:rPr>
                      <w:sz w:val="21"/>
                      <w:szCs w:val="21"/>
                      <w:u w:val="single"/>
                    </w:rPr>
                  </w:pPr>
                  <w:r>
                    <w:rPr>
                      <w:rFonts w:hint="eastAsia"/>
                      <w:sz w:val="21"/>
                      <w:szCs w:val="21"/>
                      <w:u w:val="single"/>
                    </w:rPr>
                    <w:t>固废</w:t>
                  </w:r>
                </w:p>
              </w:tc>
              <w:tc>
                <w:tcPr>
                  <w:tcW w:w="4063" w:type="dxa"/>
                  <w:vAlign w:val="center"/>
                </w:tcPr>
                <w:p>
                  <w:pPr>
                    <w:pStyle w:val="143"/>
                    <w:tabs>
                      <w:tab w:val="clear" w:pos="400"/>
                    </w:tabs>
                    <w:spacing w:line="280" w:lineRule="exact"/>
                    <w:ind w:firstLine="0"/>
                    <w:jc w:val="center"/>
                    <w:rPr>
                      <w:sz w:val="21"/>
                      <w:szCs w:val="21"/>
                      <w:u w:val="single"/>
                    </w:rPr>
                  </w:pPr>
                  <w:r>
                    <w:rPr>
                      <w:rFonts w:hint="eastAsia"/>
                      <w:sz w:val="21"/>
                      <w:szCs w:val="21"/>
                      <w:u w:val="single"/>
                    </w:rPr>
                    <w:t>生活垃圾收集自垃圾收集站，由环卫部分定期清理</w:t>
                  </w:r>
                </w:p>
              </w:tc>
              <w:tc>
                <w:tcPr>
                  <w:tcW w:w="2950" w:type="dxa"/>
                  <w:vAlign w:val="center"/>
                </w:tcPr>
                <w:p>
                  <w:pPr>
                    <w:widowControl/>
                    <w:spacing w:line="280" w:lineRule="exact"/>
                    <w:jc w:val="center"/>
                    <w:rPr>
                      <w:szCs w:val="21"/>
                      <w:u w:val="single"/>
                    </w:rPr>
                  </w:pPr>
                  <w:r>
                    <w:rPr>
                      <w:rFonts w:hint="eastAsia"/>
                      <w:szCs w:val="21"/>
                      <w:u w:val="single"/>
                    </w:rPr>
                    <w:t>满足固废储存管理的相关标准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1467" w:type="dxa"/>
                  <w:vAlign w:val="center"/>
                </w:tcPr>
                <w:p>
                  <w:pPr>
                    <w:pStyle w:val="143"/>
                    <w:tabs>
                      <w:tab w:val="clear" w:pos="400"/>
                    </w:tabs>
                    <w:spacing w:line="280" w:lineRule="exact"/>
                    <w:ind w:firstLine="0"/>
                    <w:jc w:val="center"/>
                    <w:rPr>
                      <w:sz w:val="21"/>
                      <w:szCs w:val="21"/>
                      <w:u w:val="single"/>
                    </w:rPr>
                  </w:pPr>
                  <w:r>
                    <w:rPr>
                      <w:sz w:val="21"/>
                      <w:szCs w:val="21"/>
                      <w:u w:val="single"/>
                    </w:rPr>
                    <w:t>生态恢复</w:t>
                  </w:r>
                </w:p>
                <w:p>
                  <w:pPr>
                    <w:pStyle w:val="143"/>
                    <w:tabs>
                      <w:tab w:val="clear" w:pos="400"/>
                    </w:tabs>
                    <w:spacing w:line="280" w:lineRule="exact"/>
                    <w:ind w:firstLine="0"/>
                    <w:jc w:val="center"/>
                    <w:rPr>
                      <w:sz w:val="21"/>
                      <w:szCs w:val="21"/>
                      <w:u w:val="single"/>
                    </w:rPr>
                  </w:pPr>
                  <w:r>
                    <w:rPr>
                      <w:sz w:val="21"/>
                      <w:szCs w:val="21"/>
                      <w:u w:val="single"/>
                    </w:rPr>
                    <w:t>与水土保持</w:t>
                  </w:r>
                </w:p>
              </w:tc>
              <w:tc>
                <w:tcPr>
                  <w:tcW w:w="4063" w:type="dxa"/>
                  <w:vAlign w:val="center"/>
                </w:tcPr>
                <w:p>
                  <w:pPr>
                    <w:pStyle w:val="143"/>
                    <w:tabs>
                      <w:tab w:val="clear" w:pos="400"/>
                    </w:tabs>
                    <w:spacing w:line="280" w:lineRule="exact"/>
                    <w:ind w:firstLine="0"/>
                    <w:jc w:val="center"/>
                    <w:rPr>
                      <w:sz w:val="21"/>
                      <w:szCs w:val="21"/>
                      <w:u w:val="single"/>
                    </w:rPr>
                  </w:pPr>
                  <w:r>
                    <w:rPr>
                      <w:rFonts w:hint="eastAsia"/>
                      <w:sz w:val="21"/>
                      <w:szCs w:val="21"/>
                      <w:u w:val="single"/>
                    </w:rPr>
                    <w:t>厂</w:t>
                  </w:r>
                  <w:r>
                    <w:rPr>
                      <w:sz w:val="21"/>
                      <w:u w:val="single"/>
                    </w:rPr>
                    <w:t>区点面的绿化成活率、保存率、生长情况及覆盖度。</w:t>
                  </w:r>
                </w:p>
              </w:tc>
              <w:tc>
                <w:tcPr>
                  <w:tcW w:w="2950" w:type="dxa"/>
                  <w:vAlign w:val="center"/>
                </w:tcPr>
                <w:p>
                  <w:pPr>
                    <w:widowControl/>
                    <w:spacing w:line="280" w:lineRule="exact"/>
                    <w:jc w:val="center"/>
                    <w:rPr>
                      <w:szCs w:val="21"/>
                      <w:u w:val="single"/>
                    </w:rPr>
                  </w:pPr>
                  <w:r>
                    <w:rPr>
                      <w:szCs w:val="21"/>
                      <w:u w:val="single"/>
                    </w:rPr>
                    <w:t>片区绿化成活率高。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467" w:type="dxa"/>
                  <w:vAlign w:val="center"/>
                </w:tcPr>
                <w:p>
                  <w:pPr>
                    <w:pStyle w:val="143"/>
                    <w:tabs>
                      <w:tab w:val="clear" w:pos="400"/>
                    </w:tabs>
                    <w:spacing w:line="280" w:lineRule="exact"/>
                    <w:ind w:firstLine="0"/>
                    <w:jc w:val="center"/>
                    <w:rPr>
                      <w:sz w:val="21"/>
                      <w:szCs w:val="21"/>
                      <w:u w:val="single"/>
                    </w:rPr>
                  </w:pPr>
                  <w:r>
                    <w:rPr>
                      <w:sz w:val="21"/>
                      <w:szCs w:val="21"/>
                      <w:u w:val="single"/>
                    </w:rPr>
                    <w:t>环保机构设置</w:t>
                  </w:r>
                </w:p>
              </w:tc>
              <w:tc>
                <w:tcPr>
                  <w:tcW w:w="4063" w:type="dxa"/>
                  <w:vAlign w:val="center"/>
                </w:tcPr>
                <w:p>
                  <w:pPr>
                    <w:pStyle w:val="143"/>
                    <w:tabs>
                      <w:tab w:val="clear" w:pos="400"/>
                    </w:tabs>
                    <w:spacing w:line="280" w:lineRule="exact"/>
                    <w:ind w:firstLine="0"/>
                    <w:jc w:val="center"/>
                    <w:rPr>
                      <w:sz w:val="21"/>
                      <w:szCs w:val="21"/>
                      <w:u w:val="single"/>
                    </w:rPr>
                  </w:pPr>
                  <w:r>
                    <w:rPr>
                      <w:sz w:val="21"/>
                      <w:szCs w:val="21"/>
                      <w:u w:val="single"/>
                    </w:rPr>
                    <w:t>环保人员负责环境管理，落实环境监测计划</w:t>
                  </w:r>
                </w:p>
              </w:tc>
              <w:tc>
                <w:tcPr>
                  <w:tcW w:w="2950" w:type="dxa"/>
                  <w:vAlign w:val="center"/>
                </w:tcPr>
                <w:p>
                  <w:pPr>
                    <w:pStyle w:val="143"/>
                    <w:tabs>
                      <w:tab w:val="clear" w:pos="400"/>
                    </w:tabs>
                    <w:spacing w:line="280" w:lineRule="exact"/>
                    <w:ind w:firstLine="0"/>
                    <w:jc w:val="center"/>
                    <w:rPr>
                      <w:sz w:val="21"/>
                      <w:szCs w:val="21"/>
                      <w:u w:val="single"/>
                    </w:rPr>
                  </w:pPr>
                  <w:r>
                    <w:rPr>
                      <w:sz w:val="21"/>
                      <w:szCs w:val="21"/>
                      <w:u w:val="single"/>
                    </w:rPr>
                    <w:t>设立专职环境管理机构。</w:t>
                  </w:r>
                </w:p>
              </w:tc>
            </w:tr>
          </w:tbl>
          <w:p>
            <w:pPr>
              <w:spacing w:line="300" w:lineRule="auto"/>
              <w:ind w:firstLine="482" w:firstLineChars="200"/>
              <w:rPr>
                <w:b/>
                <w:sz w:val="24"/>
                <w:u w:val="single"/>
              </w:rPr>
            </w:pPr>
            <w:r>
              <w:rPr>
                <w:b/>
                <w:sz w:val="24"/>
                <w:u w:val="single"/>
              </w:rPr>
              <w:t>1</w:t>
            </w:r>
            <w:r>
              <w:rPr>
                <w:rFonts w:hint="eastAsia"/>
                <w:b/>
                <w:sz w:val="24"/>
                <w:u w:val="single"/>
                <w:lang w:val="en-US" w:eastAsia="zh-CN"/>
              </w:rPr>
              <w:t>3</w:t>
            </w:r>
            <w:r>
              <w:rPr>
                <w:rFonts w:hint="eastAsia"/>
                <w:b/>
                <w:sz w:val="24"/>
                <w:u w:val="single"/>
              </w:rPr>
              <w:t>.</w:t>
            </w:r>
            <w:r>
              <w:rPr>
                <w:rFonts w:hint="eastAsia"/>
                <w:b/>
                <w:sz w:val="24"/>
                <w:szCs w:val="22"/>
                <w:u w:val="single"/>
              </w:rPr>
              <w:t>“三线一单”符合性分析</w:t>
            </w:r>
          </w:p>
          <w:p>
            <w:pPr>
              <w:autoSpaceDE w:val="0"/>
              <w:autoSpaceDN w:val="0"/>
              <w:adjustRightInd w:val="0"/>
              <w:spacing w:line="360" w:lineRule="auto"/>
              <w:ind w:firstLine="480" w:firstLineChars="200"/>
              <w:rPr>
                <w:sz w:val="24"/>
                <w:u w:val="single"/>
              </w:rPr>
            </w:pPr>
            <w:r>
              <w:rPr>
                <w:sz w:val="24"/>
                <w:u w:val="single"/>
              </w:rPr>
              <w:t>根据环保部发布的《关于以改善环境质量为核心加强环境影响评价管理的通知》（以下简称《通知》），《通知》要求切实加强环境影响评价管理，落实</w:t>
            </w:r>
            <w:r>
              <w:rPr>
                <w:rFonts w:hint="eastAsia"/>
                <w:sz w:val="24"/>
                <w:u w:val="single"/>
              </w:rPr>
              <w:t>“</w:t>
            </w:r>
            <w:r>
              <w:rPr>
                <w:sz w:val="24"/>
                <w:u w:val="single"/>
              </w:rPr>
              <w:t>生态保护红线、环境质量底线、资源利用上线和环境准入负面清单</w:t>
            </w:r>
            <w:r>
              <w:rPr>
                <w:rFonts w:hint="eastAsia"/>
                <w:sz w:val="24"/>
                <w:u w:val="single"/>
              </w:rPr>
              <w:t>”</w:t>
            </w:r>
            <w:r>
              <w:rPr>
                <w:sz w:val="24"/>
                <w:u w:val="single"/>
              </w:rPr>
              <w:t>约束，建立项目环评审批与规划环评、现有项目环境管理、区域环境质量联动机制，更好地发挥环评制度从源头防范环境污染和生态破坏的作用，加快推进改善环境质量。</w:t>
            </w:r>
          </w:p>
          <w:p>
            <w:pPr>
              <w:autoSpaceDE w:val="0"/>
              <w:autoSpaceDN w:val="0"/>
              <w:adjustRightInd w:val="0"/>
              <w:spacing w:line="360" w:lineRule="auto"/>
              <w:ind w:firstLine="480" w:firstLineChars="200"/>
              <w:rPr>
                <w:sz w:val="24"/>
                <w:u w:val="single"/>
              </w:rPr>
            </w:pPr>
            <w:r>
              <w:rPr>
                <w:sz w:val="24"/>
                <w:u w:val="single"/>
              </w:rPr>
              <w:t>1、生态红线</w:t>
            </w:r>
          </w:p>
          <w:p>
            <w:pPr>
              <w:autoSpaceDE w:val="0"/>
              <w:autoSpaceDN w:val="0"/>
              <w:adjustRightInd w:val="0"/>
              <w:spacing w:line="360" w:lineRule="auto"/>
              <w:ind w:firstLine="480" w:firstLineChars="200"/>
              <w:rPr>
                <w:sz w:val="24"/>
                <w:u w:val="single"/>
              </w:rPr>
            </w:pPr>
            <w:r>
              <w:rPr>
                <w:rFonts w:hint="eastAsia"/>
                <w:sz w:val="24"/>
                <w:u w:val="single"/>
              </w:rPr>
              <w:t>“</w:t>
            </w:r>
            <w:r>
              <w:rPr>
                <w:sz w:val="24"/>
                <w:u w:val="single"/>
              </w:rPr>
              <w:t>生态保护红线</w:t>
            </w:r>
            <w:r>
              <w:rPr>
                <w:rFonts w:hint="eastAsia"/>
                <w:sz w:val="24"/>
                <w:u w:val="single"/>
              </w:rPr>
              <w:t>”</w:t>
            </w:r>
            <w:r>
              <w:rPr>
                <w:sz w:val="24"/>
                <w:u w:val="single"/>
              </w:rPr>
              <w:t>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spacing w:line="360" w:lineRule="auto"/>
              <w:ind w:firstLine="480" w:firstLineChars="200"/>
              <w:rPr>
                <w:sz w:val="24"/>
                <w:u w:val="single"/>
              </w:rPr>
            </w:pPr>
            <w:r>
              <w:rPr>
                <w:sz w:val="24"/>
                <w:u w:val="single"/>
              </w:rPr>
              <w:t>需依法在重点生态功能区、生态环境敏感区和脆弱区等区域划定的严格管控边界，是国家和区域生态安全的底线，对于维护生态安全格局、保障生态服务功能、支撑经济社会可持续发展具有重要作用。</w:t>
            </w:r>
            <w:r>
              <w:rPr>
                <w:rFonts w:hint="eastAsia"/>
                <w:sz w:val="24"/>
                <w:u w:val="single"/>
              </w:rPr>
              <w:t>根据《湖南省人民政府关于印发&lt;湖南省生态保护红线&gt;的通知》湘政发【2018】20号，生态保护红线划定结果：湖南省生态保护红线划定面积为4.28万平方公里，占全省国土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w:t>
            </w:r>
            <w:r>
              <w:rPr>
                <w:sz w:val="24"/>
                <w:u w:val="single"/>
              </w:rPr>
              <w:t>本项目选址位于</w:t>
            </w:r>
            <w:r>
              <w:rPr>
                <w:rFonts w:hint="eastAsia" w:ascii="Basemic Times" w:hAnsi="Basemic Times" w:cs="宋体"/>
                <w:sz w:val="24"/>
                <w:u w:val="single"/>
              </w:rPr>
              <w:t>华容县万庾镇万庾村苍苔七组</w:t>
            </w:r>
            <w:r>
              <w:rPr>
                <w:rFonts w:hint="eastAsia"/>
                <w:sz w:val="24"/>
                <w:u w:val="single"/>
              </w:rPr>
              <w:t>，不在生态红线范围内，符合生态保护红线空间管控要求，</w:t>
            </w:r>
            <w:r>
              <w:rPr>
                <w:sz w:val="24"/>
                <w:u w:val="single"/>
              </w:rPr>
              <w:t>因此项目建设符合生态红线要求。</w:t>
            </w:r>
          </w:p>
          <w:p>
            <w:pPr>
              <w:spacing w:line="360" w:lineRule="auto"/>
              <w:ind w:firstLine="480" w:firstLineChars="200"/>
              <w:rPr>
                <w:sz w:val="24"/>
                <w:u w:val="single"/>
              </w:rPr>
            </w:pPr>
            <w:r>
              <w:rPr>
                <w:sz w:val="24"/>
                <w:u w:val="single"/>
              </w:rPr>
              <w:t>2、环境质量底线</w:t>
            </w:r>
          </w:p>
          <w:p>
            <w:pPr>
              <w:spacing w:line="360" w:lineRule="auto"/>
              <w:ind w:firstLine="480" w:firstLineChars="200"/>
              <w:rPr>
                <w:sz w:val="24"/>
                <w:u w:val="single"/>
              </w:rPr>
            </w:pPr>
            <w:r>
              <w:rPr>
                <w:rFonts w:hint="eastAsia"/>
                <w:sz w:val="24"/>
                <w:u w:val="single"/>
              </w:rPr>
              <w:t>“</w:t>
            </w:r>
            <w:r>
              <w:rPr>
                <w:sz w:val="24"/>
                <w:u w:val="single"/>
              </w:rPr>
              <w:t>环境质量底线</w:t>
            </w:r>
            <w:r>
              <w:rPr>
                <w:rFonts w:hint="eastAsia"/>
                <w:sz w:val="24"/>
                <w:u w:val="single"/>
              </w:rPr>
              <w:t>”</w:t>
            </w:r>
            <w:r>
              <w:rPr>
                <w:sz w:val="24"/>
                <w:u w:val="single"/>
              </w:rPr>
              <w:t>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spacing w:line="360" w:lineRule="auto"/>
              <w:ind w:firstLine="480" w:firstLineChars="200"/>
              <w:rPr>
                <w:sz w:val="24"/>
                <w:u w:val="single"/>
              </w:rPr>
            </w:pPr>
            <w:r>
              <w:rPr>
                <w:sz w:val="24"/>
                <w:u w:val="single"/>
              </w:rPr>
              <w:t>根据岳阳市人民政府关于印发《岳阳市水环境功能区管理规定》、《岳阳市水环境功能区划分》、《岳阳市环境空气质量功能区划分》、《岳阳市城市区域环境噪声标准适用区域划分规定》的通知（</w:t>
            </w:r>
            <w:r>
              <w:rPr>
                <w:rFonts w:hint="eastAsia"/>
                <w:sz w:val="24"/>
                <w:u w:val="single"/>
              </w:rPr>
              <w:t>岳政发[2002]18号</w:t>
            </w:r>
            <w:r>
              <w:rPr>
                <w:sz w:val="24"/>
                <w:u w:val="single"/>
              </w:rPr>
              <w:t>），对全市的环境空气、地表水、声环境功能区进行了划分。</w:t>
            </w:r>
          </w:p>
          <w:p>
            <w:pPr>
              <w:spacing w:line="360" w:lineRule="auto"/>
              <w:ind w:firstLine="480" w:firstLineChars="200"/>
              <w:rPr>
                <w:sz w:val="24"/>
                <w:u w:val="single"/>
              </w:rPr>
            </w:pPr>
            <w:r>
              <w:rPr>
                <w:sz w:val="24"/>
                <w:u w:val="single"/>
              </w:rPr>
              <w:t>项目选址区域为环境空气功能区</w:t>
            </w:r>
            <w:r>
              <w:rPr>
                <w:rFonts w:hint="eastAsia"/>
                <w:sz w:val="24"/>
                <w:u w:val="single"/>
              </w:rPr>
              <w:t>二</w:t>
            </w:r>
            <w:r>
              <w:rPr>
                <w:sz w:val="24"/>
                <w:u w:val="single"/>
              </w:rPr>
              <w:t>类区，执行</w:t>
            </w:r>
            <w:r>
              <w:rPr>
                <w:rFonts w:hint="eastAsia"/>
                <w:sz w:val="24"/>
                <w:u w:val="single"/>
              </w:rPr>
              <w:t>二</w:t>
            </w:r>
            <w:r>
              <w:rPr>
                <w:sz w:val="24"/>
                <w:u w:val="single"/>
              </w:rPr>
              <w:t>级标准。根据环境空气质量现状的监测数据，</w:t>
            </w:r>
            <w:r>
              <w:rPr>
                <w:rFonts w:hint="eastAsia"/>
                <w:sz w:val="24"/>
                <w:u w:val="single"/>
              </w:rPr>
              <w:t>环境空气质量虽不达标，但采取相关治理措施后有所改善将在2020年实现达标</w:t>
            </w:r>
            <w:r>
              <w:rPr>
                <w:sz w:val="24"/>
                <w:u w:val="single"/>
              </w:rPr>
              <w:t>。</w:t>
            </w:r>
          </w:p>
          <w:p>
            <w:pPr>
              <w:spacing w:line="360" w:lineRule="auto"/>
              <w:ind w:firstLine="480" w:firstLineChars="200"/>
              <w:rPr>
                <w:sz w:val="24"/>
                <w:u w:val="single"/>
              </w:rPr>
            </w:pPr>
            <w:r>
              <w:rPr>
                <w:sz w:val="24"/>
                <w:u w:val="single"/>
              </w:rPr>
              <w:t>项目</w:t>
            </w:r>
            <w:r>
              <w:rPr>
                <w:rFonts w:hint="eastAsia"/>
                <w:sz w:val="24"/>
                <w:u w:val="single"/>
              </w:rPr>
              <w:t>地附近地表水</w:t>
            </w:r>
            <w:r>
              <w:rPr>
                <w:sz w:val="24"/>
                <w:u w:val="single"/>
              </w:rPr>
              <w:t>环境质量为</w:t>
            </w:r>
            <w:r>
              <w:rPr>
                <w:rFonts w:hint="eastAsia"/>
                <w:sz w:val="24"/>
                <w:u w:val="single"/>
                <w:lang w:val="zh-CN"/>
              </w:rPr>
              <w:t>Ⅲ</w:t>
            </w:r>
            <w:r>
              <w:rPr>
                <w:rFonts w:hint="eastAsia"/>
                <w:sz w:val="24"/>
                <w:u w:val="single"/>
              </w:rPr>
              <w:t>类</w:t>
            </w:r>
            <w:r>
              <w:rPr>
                <w:sz w:val="24"/>
                <w:u w:val="single"/>
              </w:rPr>
              <w:t>的水域。根据地表水体的监测数据可知</w:t>
            </w:r>
            <w:r>
              <w:rPr>
                <w:rFonts w:hint="eastAsia"/>
                <w:sz w:val="24"/>
                <w:u w:val="single"/>
              </w:rPr>
              <w:t>，各</w:t>
            </w:r>
            <w:r>
              <w:rPr>
                <w:rFonts w:hint="eastAsia"/>
                <w:sz w:val="24"/>
                <w:u w:val="single"/>
                <w:lang w:val="zh-CN"/>
              </w:rPr>
              <w:t>监测因子均符合《地表水环境质量标准》（GB3838-2002）中的相关标准，</w:t>
            </w:r>
            <w:r>
              <w:rPr>
                <w:rFonts w:hint="eastAsia"/>
                <w:sz w:val="24"/>
                <w:u w:val="single"/>
              </w:rPr>
              <w:t>表明项目地周边地表水环境质量较好。且本项目无废水外排，不会对周边水体产生影响。</w:t>
            </w:r>
          </w:p>
          <w:p>
            <w:pPr>
              <w:spacing w:line="360" w:lineRule="auto"/>
              <w:ind w:firstLine="480" w:firstLineChars="200"/>
              <w:rPr>
                <w:sz w:val="24"/>
                <w:u w:val="single"/>
              </w:rPr>
            </w:pPr>
            <w:r>
              <w:rPr>
                <w:sz w:val="24"/>
                <w:u w:val="single"/>
              </w:rPr>
              <w:t>本项目所在区域为</w:t>
            </w:r>
            <w:r>
              <w:rPr>
                <w:rFonts w:hint="eastAsia"/>
                <w:sz w:val="24"/>
                <w:u w:val="single"/>
              </w:rPr>
              <w:t>2</w:t>
            </w:r>
            <w:r>
              <w:rPr>
                <w:sz w:val="24"/>
                <w:u w:val="single"/>
              </w:rPr>
              <w:t>类声环境功能区，根据环境噪声现状监测结果，项目区域目前能够满足《声环境质量标准》</w:t>
            </w:r>
            <w:r>
              <w:rPr>
                <w:rFonts w:hint="eastAsia"/>
                <w:sz w:val="24"/>
                <w:u w:val="single"/>
              </w:rPr>
              <w:t>2</w:t>
            </w:r>
            <w:r>
              <w:rPr>
                <w:sz w:val="24"/>
                <w:u w:val="single"/>
              </w:rPr>
              <w:t>类标准要求，本项目建设运营不会改变项目所在区域的声环境功能，因此项目建设声环境质量是符合要求的。</w:t>
            </w:r>
          </w:p>
          <w:p>
            <w:pPr>
              <w:spacing w:line="360" w:lineRule="auto"/>
              <w:ind w:firstLine="480" w:firstLineChars="200"/>
              <w:rPr>
                <w:sz w:val="24"/>
                <w:u w:val="single"/>
              </w:rPr>
            </w:pPr>
            <w:r>
              <w:rPr>
                <w:sz w:val="24"/>
                <w:u w:val="single"/>
              </w:rPr>
              <w:t>综上，本项目建设符合环境质量底线要求的。</w:t>
            </w:r>
          </w:p>
          <w:p>
            <w:pPr>
              <w:spacing w:line="360" w:lineRule="auto"/>
              <w:ind w:firstLine="480" w:firstLineChars="200"/>
              <w:rPr>
                <w:sz w:val="24"/>
                <w:u w:val="single"/>
              </w:rPr>
            </w:pPr>
            <w:r>
              <w:rPr>
                <w:sz w:val="24"/>
                <w:u w:val="single"/>
              </w:rPr>
              <w:t>3、资源利用上线</w:t>
            </w:r>
          </w:p>
          <w:p>
            <w:pPr>
              <w:spacing w:line="360" w:lineRule="auto"/>
              <w:ind w:firstLine="480" w:firstLineChars="200"/>
              <w:rPr>
                <w:sz w:val="24"/>
                <w:u w:val="single"/>
              </w:rPr>
            </w:pPr>
            <w:r>
              <w:rPr>
                <w:sz w:val="24"/>
                <w:u w:val="single"/>
              </w:rPr>
              <w:t>资源是环境的载体，</w:t>
            </w:r>
            <w:r>
              <w:rPr>
                <w:rFonts w:hint="eastAsia"/>
                <w:sz w:val="24"/>
                <w:u w:val="single"/>
              </w:rPr>
              <w:t>“</w:t>
            </w:r>
            <w:r>
              <w:rPr>
                <w:sz w:val="24"/>
                <w:u w:val="single"/>
              </w:rPr>
              <w:t>资源利用上线</w:t>
            </w:r>
            <w:r>
              <w:rPr>
                <w:rFonts w:hint="eastAsia"/>
                <w:sz w:val="24"/>
                <w:u w:val="single"/>
              </w:rPr>
              <w:t>”是各</w:t>
            </w:r>
            <w:r>
              <w:rPr>
                <w:sz w:val="24"/>
                <w:u w:val="single"/>
              </w:rPr>
              <w:t>地区能源、水、土地等资源消耗不得突破的</w:t>
            </w:r>
            <w:r>
              <w:rPr>
                <w:rFonts w:hint="eastAsia"/>
                <w:sz w:val="24"/>
                <w:u w:val="single"/>
              </w:rPr>
              <w:t>“天花板”</w:t>
            </w:r>
            <w:r>
              <w:rPr>
                <w:sz w:val="24"/>
                <w:u w:val="single"/>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spacing w:line="360" w:lineRule="auto"/>
              <w:ind w:firstLine="480" w:firstLineChars="200"/>
              <w:rPr>
                <w:sz w:val="24"/>
                <w:u w:val="single"/>
              </w:rPr>
            </w:pPr>
            <w:r>
              <w:rPr>
                <w:sz w:val="24"/>
                <w:u w:val="single"/>
              </w:rPr>
              <w:t>项目</w:t>
            </w:r>
            <w:r>
              <w:rPr>
                <w:rFonts w:hint="eastAsia"/>
                <w:sz w:val="24"/>
                <w:u w:val="single"/>
              </w:rPr>
              <w:t>为生产砂石项目，涉及水电的消耗，水经沉淀池沉淀后循环利用，回用于生产，</w:t>
            </w:r>
            <w:r>
              <w:rPr>
                <w:sz w:val="24"/>
                <w:u w:val="single"/>
              </w:rPr>
              <w:t>因此，项目资源利用满足要求。</w:t>
            </w:r>
          </w:p>
          <w:p>
            <w:pPr>
              <w:spacing w:line="360" w:lineRule="auto"/>
              <w:ind w:firstLine="480" w:firstLineChars="200"/>
              <w:rPr>
                <w:sz w:val="24"/>
                <w:szCs w:val="24"/>
                <w:u w:val="single"/>
              </w:rPr>
            </w:pPr>
            <w:r>
              <w:rPr>
                <w:rFonts w:hint="eastAsia"/>
                <w:sz w:val="24"/>
                <w:szCs w:val="24"/>
                <w:u w:val="single"/>
              </w:rPr>
              <w:t>项目属于建筑材料生产业，</w:t>
            </w:r>
            <w:r>
              <w:rPr>
                <w:rFonts w:hint="eastAsia"/>
                <w:spacing w:val="-4"/>
                <w:sz w:val="24"/>
                <w:u w:val="single"/>
              </w:rPr>
              <w:t>不属于钢铁、水泥、电解铝、平板玻璃、船舶等产能严重过剩行业新增产能项目，</w:t>
            </w:r>
            <w:r>
              <w:rPr>
                <w:rFonts w:hint="eastAsia"/>
                <w:sz w:val="24"/>
                <w:szCs w:val="24"/>
                <w:u w:val="single"/>
                <w:lang w:eastAsia="zh-CN"/>
              </w:rPr>
              <w:t>不在</w:t>
            </w:r>
            <w:r>
              <w:rPr>
                <w:rFonts w:hint="eastAsia"/>
                <w:sz w:val="24"/>
                <w:szCs w:val="24"/>
                <w:u w:val="single"/>
              </w:rPr>
              <w:t>环境准入负面清单</w:t>
            </w:r>
            <w:r>
              <w:rPr>
                <w:rFonts w:hint="eastAsia"/>
                <w:sz w:val="24"/>
                <w:szCs w:val="24"/>
                <w:u w:val="single"/>
                <w:lang w:eastAsia="zh-CN"/>
              </w:rPr>
              <w:t>内</w:t>
            </w:r>
            <w:r>
              <w:rPr>
                <w:rFonts w:hint="eastAsia"/>
                <w:sz w:val="24"/>
                <w:szCs w:val="24"/>
                <w:u w:val="single"/>
              </w:rPr>
              <w:t>。</w:t>
            </w:r>
          </w:p>
          <w:p>
            <w:pPr>
              <w:spacing w:line="360" w:lineRule="auto"/>
              <w:ind w:firstLine="720" w:firstLineChars="300"/>
              <w:rPr>
                <w:sz w:val="24"/>
                <w:u w:val="single"/>
              </w:rPr>
            </w:pPr>
            <w:r>
              <w:rPr>
                <w:sz w:val="24"/>
                <w:szCs w:val="24"/>
                <w:u w:val="single"/>
              </w:rPr>
              <w:t>综上所述，本项目</w:t>
            </w:r>
            <w:r>
              <w:rPr>
                <w:rFonts w:hint="eastAsia"/>
                <w:sz w:val="24"/>
                <w:szCs w:val="24"/>
                <w:u w:val="single"/>
              </w:rPr>
              <w:t>符合“三线一单”要求</w:t>
            </w:r>
            <w:r>
              <w:rPr>
                <w:sz w:val="24"/>
                <w:u w:val="single"/>
              </w:rPr>
              <w:t>。</w:t>
            </w:r>
          </w:p>
          <w:p>
            <w:pPr>
              <w:spacing w:line="300" w:lineRule="auto"/>
              <w:ind w:firstLine="482" w:firstLineChars="200"/>
              <w:rPr>
                <w:rFonts w:hint="eastAsia"/>
                <w:b/>
                <w:sz w:val="24"/>
                <w:lang w:val="en-US" w:eastAsia="zh-CN"/>
              </w:rPr>
            </w:pPr>
            <w:r>
              <w:rPr>
                <w:rFonts w:hint="eastAsia"/>
                <w:b/>
                <w:sz w:val="24"/>
                <w:lang w:val="en-US" w:eastAsia="zh-CN"/>
              </w:rPr>
              <w:t>14.项目与《关于发布长江经济带发展负面清单指南（试行）的通知》（第89号）的符合性分析</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000000"/>
                <w:kern w:val="2"/>
                <w:sz w:val="24"/>
                <w:szCs w:val="24"/>
                <w:lang w:val="en-US" w:eastAsia="zh-CN" w:bidi="ar-SA"/>
              </w:rPr>
            </w:pPr>
            <w:r>
              <w:rPr>
                <w:rFonts w:hint="eastAsia"/>
                <w:lang w:val="en-US" w:eastAsia="zh-CN"/>
              </w:rPr>
              <w:t xml:space="preserve">   </w:t>
            </w:r>
            <w:r>
              <w:rPr>
                <w:rFonts w:hint="eastAsia" w:ascii="Times New Roman" w:hAnsi="Times New Roman" w:eastAsia="宋体" w:cs="Times New Roman"/>
                <w:color w:val="000000"/>
                <w:kern w:val="2"/>
                <w:sz w:val="24"/>
                <w:szCs w:val="24"/>
                <w:lang w:val="en-US" w:eastAsia="zh-CN" w:bidi="ar-SA"/>
              </w:rPr>
              <w:t xml:space="preserve"> </w:t>
            </w:r>
            <w:r>
              <w:rPr>
                <w:rFonts w:hint="eastAsia" w:cs="Times New Roman"/>
                <w:color w:val="000000"/>
                <w:kern w:val="2"/>
                <w:sz w:val="24"/>
                <w:szCs w:val="24"/>
                <w:lang w:val="en-US" w:eastAsia="zh-CN" w:bidi="ar-SA"/>
              </w:rPr>
              <w:t xml:space="preserve"> </w:t>
            </w:r>
            <w:r>
              <w:rPr>
                <w:rFonts w:hint="eastAsia" w:ascii="Times New Roman" w:hAnsi="Times New Roman" w:eastAsia="宋体" w:cs="Times New Roman"/>
                <w:color w:val="000000"/>
                <w:kern w:val="2"/>
                <w:sz w:val="24"/>
                <w:szCs w:val="24"/>
                <w:lang w:val="en-US" w:eastAsia="zh-CN" w:bidi="ar-SA"/>
              </w:rPr>
              <w:t>本项目属于建筑材料生产业，距离长江为</w:t>
            </w:r>
            <w:r>
              <w:rPr>
                <w:rFonts w:hint="eastAsia" w:ascii="Times New Roman" w:hAnsi="Times New Roman" w:cs="Times New Roman"/>
                <w:color w:val="000000"/>
                <w:kern w:val="2"/>
                <w:sz w:val="24"/>
                <w:szCs w:val="24"/>
                <w:lang w:val="en-US" w:eastAsia="zh-CN" w:bidi="ar-SA"/>
              </w:rPr>
              <w:t>15</w:t>
            </w:r>
            <w:r>
              <w:rPr>
                <w:rFonts w:hint="eastAsia" w:ascii="Times New Roman" w:hAnsi="Times New Roman" w:eastAsia="宋体" w:cs="Times New Roman"/>
                <w:color w:val="000000"/>
                <w:kern w:val="2"/>
                <w:sz w:val="24"/>
                <w:szCs w:val="24"/>
                <w:lang w:val="en-US" w:eastAsia="zh-CN" w:bidi="ar-SA"/>
              </w:rPr>
              <w:t>km，</w:t>
            </w:r>
            <w:r>
              <w:rPr>
                <w:rFonts w:hint="eastAsia" w:cs="Times New Roman"/>
                <w:color w:val="000000"/>
                <w:kern w:val="2"/>
                <w:sz w:val="24"/>
                <w:szCs w:val="24"/>
                <w:lang w:val="en-US" w:eastAsia="zh-CN" w:bidi="ar-SA"/>
              </w:rPr>
              <w:t>且本项目所在河段为渔业用水，</w:t>
            </w:r>
            <w:r>
              <w:rPr>
                <w:rFonts w:hint="eastAsia" w:ascii="Times New Roman" w:hAnsi="Times New Roman" w:eastAsia="宋体" w:cs="Times New Roman"/>
                <w:color w:val="000000"/>
                <w:kern w:val="2"/>
                <w:sz w:val="24"/>
                <w:szCs w:val="24"/>
                <w:lang w:val="en-US" w:eastAsia="zh-CN" w:bidi="ar-SA"/>
              </w:rPr>
              <w:t>根据《关于发布长江经济带发展负面清单指南（试行）的通知》（第89号）中</w:t>
            </w:r>
            <w:r>
              <w:rPr>
                <w:rFonts w:hint="eastAsia" w:cs="Times New Roman"/>
                <w:color w:val="000000"/>
                <w:kern w:val="2"/>
                <w:sz w:val="24"/>
                <w:szCs w:val="24"/>
                <w:lang w:val="en-US" w:eastAsia="zh-CN" w:bidi="ar-SA"/>
              </w:rPr>
              <w:t>规定</w:t>
            </w:r>
            <w:r>
              <w:rPr>
                <w:rFonts w:hint="eastAsia" w:ascii="Times New Roman" w:hAnsi="Times New Roman" w:eastAsia="宋体" w:cs="Times New Roman"/>
                <w:color w:val="000000"/>
                <w:kern w:val="2"/>
                <w:sz w:val="24"/>
                <w:szCs w:val="24"/>
                <w:lang w:val="en-US" w:eastAsia="zh-CN" w:bidi="ar-SA"/>
              </w:rPr>
              <w:t>，本项目不属于该负面清单禁止行业，符合要求。</w:t>
            </w:r>
          </w:p>
          <w:p>
            <w:pPr>
              <w:spacing w:line="300" w:lineRule="auto"/>
              <w:ind w:firstLine="482" w:firstLineChars="200"/>
              <w:rPr>
                <w:b/>
                <w:sz w:val="24"/>
                <w:u w:val="single"/>
              </w:rPr>
            </w:pPr>
            <w:r>
              <w:rPr>
                <w:rFonts w:hint="eastAsia"/>
                <w:b/>
                <w:sz w:val="24"/>
                <w:u w:val="single"/>
                <w:lang w:val="en-US" w:eastAsia="zh-CN"/>
              </w:rPr>
              <w:t>15</w:t>
            </w:r>
            <w:r>
              <w:rPr>
                <w:rFonts w:hint="eastAsia"/>
                <w:b/>
                <w:sz w:val="24"/>
                <w:u w:val="single"/>
              </w:rPr>
              <w:t>.</w:t>
            </w:r>
            <w:r>
              <w:rPr>
                <w:rFonts w:hint="eastAsia"/>
                <w:b/>
                <w:sz w:val="24"/>
                <w:szCs w:val="22"/>
                <w:u w:val="single"/>
              </w:rPr>
              <w:t>项目与《湖南省砂石骨料行业规范条件》的符合性分析</w:t>
            </w:r>
          </w:p>
          <w:p>
            <w:pPr>
              <w:spacing w:line="360" w:lineRule="auto"/>
              <w:ind w:firstLine="480" w:firstLineChars="200"/>
              <w:rPr>
                <w:sz w:val="24"/>
                <w:szCs w:val="24"/>
                <w:u w:val="single"/>
              </w:rPr>
            </w:pPr>
            <w:r>
              <w:rPr>
                <w:rFonts w:hint="eastAsia"/>
                <w:sz w:val="24"/>
                <w:szCs w:val="24"/>
                <w:u w:val="single"/>
              </w:rPr>
              <w:t>根据湖南省经济和信息化委员会文件《湖南省砂石骨料行业规范条件》湘经信原材料【2018】10号相关的要求，本项目与该规范符合要求如下表：</w:t>
            </w:r>
          </w:p>
          <w:p>
            <w:pPr>
              <w:pStyle w:val="143"/>
              <w:tabs>
                <w:tab w:val="clear" w:pos="400"/>
              </w:tabs>
              <w:ind w:firstLine="0"/>
              <w:jc w:val="center"/>
              <w:rPr>
                <w:b/>
                <w:sz w:val="24"/>
                <w:szCs w:val="24"/>
                <w:u w:val="single"/>
              </w:rPr>
            </w:pPr>
            <w:r>
              <w:rPr>
                <w:b/>
                <w:sz w:val="24"/>
                <w:szCs w:val="24"/>
                <w:u w:val="single"/>
              </w:rPr>
              <w:t>表7</w:t>
            </w:r>
            <w:r>
              <w:rPr>
                <w:rFonts w:hint="eastAsia"/>
                <w:b/>
                <w:sz w:val="24"/>
                <w:szCs w:val="24"/>
                <w:u w:val="single"/>
              </w:rPr>
              <w:t>-</w:t>
            </w:r>
            <w:r>
              <w:rPr>
                <w:rFonts w:hint="eastAsia"/>
                <w:b/>
                <w:sz w:val="24"/>
                <w:szCs w:val="24"/>
                <w:u w:val="single"/>
                <w:lang w:val="en-US" w:eastAsia="zh-CN"/>
              </w:rPr>
              <w:t>1</w:t>
            </w:r>
            <w:r>
              <w:rPr>
                <w:rFonts w:hint="eastAsia"/>
                <w:b/>
                <w:sz w:val="24"/>
                <w:szCs w:val="24"/>
                <w:u w:val="single"/>
              </w:rPr>
              <w:t>6 与《湖南省砂石骨料行业规范条件》要求对照表</w:t>
            </w:r>
          </w:p>
          <w:tbl>
            <w:tblPr>
              <w:tblStyle w:val="28"/>
              <w:tblW w:w="84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3653"/>
              <w:gridCol w:w="1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center"/>
                    <w:rPr>
                      <w:sz w:val="21"/>
                      <w:szCs w:val="21"/>
                      <w:u w:val="single"/>
                    </w:rPr>
                  </w:pPr>
                  <w:r>
                    <w:rPr>
                      <w:rFonts w:hint="eastAsia"/>
                      <w:sz w:val="21"/>
                      <w:szCs w:val="21"/>
                      <w:u w:val="single"/>
                    </w:rPr>
                    <w:t>规范要求</w:t>
                  </w:r>
                </w:p>
              </w:tc>
              <w:tc>
                <w:tcPr>
                  <w:tcW w:w="3653" w:type="dxa"/>
                  <w:vAlign w:val="center"/>
                </w:tcPr>
                <w:p>
                  <w:pPr>
                    <w:pStyle w:val="143"/>
                    <w:tabs>
                      <w:tab w:val="clear" w:pos="400"/>
                    </w:tabs>
                    <w:spacing w:line="240" w:lineRule="auto"/>
                    <w:ind w:firstLine="0"/>
                    <w:jc w:val="center"/>
                    <w:rPr>
                      <w:sz w:val="21"/>
                      <w:szCs w:val="21"/>
                      <w:u w:val="single"/>
                    </w:rPr>
                  </w:pPr>
                  <w:r>
                    <w:rPr>
                      <w:rFonts w:hint="eastAsia"/>
                      <w:sz w:val="21"/>
                      <w:szCs w:val="21"/>
                      <w:u w:val="single"/>
                    </w:rPr>
                    <w:t>本项目</w:t>
                  </w:r>
                </w:p>
              </w:tc>
              <w:tc>
                <w:tcPr>
                  <w:tcW w:w="1429" w:type="dxa"/>
                  <w:vAlign w:val="center"/>
                </w:tcPr>
                <w:p>
                  <w:pPr>
                    <w:pStyle w:val="143"/>
                    <w:tabs>
                      <w:tab w:val="clear" w:pos="400"/>
                    </w:tabs>
                    <w:spacing w:line="240" w:lineRule="auto"/>
                    <w:ind w:firstLine="0"/>
                    <w:jc w:val="center"/>
                    <w:rPr>
                      <w:sz w:val="21"/>
                      <w:szCs w:val="21"/>
                      <w:u w:val="single"/>
                    </w:rPr>
                  </w:pPr>
                  <w:r>
                    <w:rPr>
                      <w:rFonts w:hint="eastAsia"/>
                      <w:sz w:val="21"/>
                      <w:szCs w:val="21"/>
                      <w:u w:val="single"/>
                    </w:rPr>
                    <w:t>符合要求与否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480" w:type="dxa"/>
                  <w:gridSpan w:val="3"/>
                  <w:vAlign w:val="center"/>
                </w:tcPr>
                <w:p>
                  <w:pPr>
                    <w:pStyle w:val="143"/>
                    <w:tabs>
                      <w:tab w:val="clear" w:pos="400"/>
                    </w:tabs>
                    <w:spacing w:line="240" w:lineRule="auto"/>
                    <w:ind w:firstLine="0"/>
                    <w:rPr>
                      <w:sz w:val="21"/>
                      <w:szCs w:val="21"/>
                      <w:u w:val="single"/>
                    </w:rPr>
                  </w:pPr>
                  <w:r>
                    <w:rPr>
                      <w:rFonts w:hint="eastAsia"/>
                      <w:sz w:val="21"/>
                      <w:szCs w:val="21"/>
                      <w:u w:val="single"/>
                    </w:rPr>
                    <w:t>（1）规划布局和建设要求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新建、改扩建机制砂石骨料项目应符合国家产业政策和当地产业、矿产资源及土地利用总体规划等要求统筹资源、环境、物流和市场等因素合理布局 ，推动产业规模化、集约化、基地化发展。</w:t>
                  </w:r>
                </w:p>
                <w:p>
                  <w:pPr>
                    <w:pStyle w:val="143"/>
                    <w:tabs>
                      <w:tab w:val="clear" w:pos="400"/>
                    </w:tabs>
                    <w:spacing w:line="240" w:lineRule="auto"/>
                    <w:ind w:firstLine="0"/>
                    <w:jc w:val="left"/>
                    <w:rPr>
                      <w:sz w:val="21"/>
                      <w:szCs w:val="21"/>
                      <w:u w:val="single"/>
                    </w:rPr>
                  </w:pPr>
                  <w:r>
                    <w:rPr>
                      <w:rFonts w:hint="eastAsia"/>
                      <w:sz w:val="21"/>
                      <w:szCs w:val="21"/>
                      <w:u w:val="single"/>
                    </w:rPr>
                    <w:t>天然砂石骨料项目应符合河道、航道整治和湘江流域露天开采非金属矿开发利用与保护规划等相关要求。</w:t>
                  </w:r>
                </w:p>
              </w:tc>
              <w:tc>
                <w:tcPr>
                  <w:tcW w:w="3653" w:type="dxa"/>
                  <w:vAlign w:val="center"/>
                </w:tcPr>
                <w:p>
                  <w:pPr>
                    <w:pStyle w:val="143"/>
                    <w:tabs>
                      <w:tab w:val="clear" w:pos="400"/>
                    </w:tabs>
                    <w:spacing w:line="240" w:lineRule="auto"/>
                    <w:ind w:firstLine="0"/>
                    <w:jc w:val="left"/>
                    <w:rPr>
                      <w:rFonts w:hint="eastAsia" w:eastAsia="宋体"/>
                      <w:sz w:val="21"/>
                      <w:szCs w:val="21"/>
                      <w:u w:val="single"/>
                      <w:lang w:eastAsia="zh-CN"/>
                    </w:rPr>
                  </w:pPr>
                  <w:r>
                    <w:rPr>
                      <w:rFonts w:hint="eastAsia"/>
                      <w:sz w:val="21"/>
                      <w:szCs w:val="21"/>
                      <w:u w:val="single"/>
                    </w:rPr>
                    <w:t>本项目属于新建项目，符合国家级当地产业政策，本项目不涉及砂石开采，项目砂石来源由</w:t>
                  </w:r>
                  <w:r>
                    <w:rPr>
                      <w:rFonts w:hint="eastAsia"/>
                      <w:sz w:val="21"/>
                      <w:szCs w:val="21"/>
                      <w:u w:val="single"/>
                      <w:lang w:eastAsia="zh-CN"/>
                    </w:rPr>
                    <w:t>宜昌楚航商贸有限公司</w:t>
                  </w:r>
                  <w:r>
                    <w:rPr>
                      <w:rFonts w:hint="eastAsia"/>
                      <w:sz w:val="21"/>
                      <w:szCs w:val="21"/>
                      <w:u w:val="single"/>
                    </w:rPr>
                    <w:t>提供，不涉及非金属矿产开发，符合要求</w:t>
                  </w:r>
                  <w:r>
                    <w:rPr>
                      <w:rFonts w:hint="eastAsia"/>
                      <w:sz w:val="21"/>
                      <w:szCs w:val="21"/>
                      <w:u w:val="single"/>
                      <w:lang w:eastAsia="zh-CN"/>
                    </w:rPr>
                    <w:t>。</w:t>
                  </w:r>
                </w:p>
              </w:tc>
              <w:tc>
                <w:tcPr>
                  <w:tcW w:w="1429" w:type="dxa"/>
                  <w:vAlign w:val="center"/>
                </w:tcPr>
                <w:p>
                  <w:pPr>
                    <w:pStyle w:val="143"/>
                    <w:tabs>
                      <w:tab w:val="clear" w:pos="400"/>
                    </w:tabs>
                    <w:spacing w:line="240" w:lineRule="auto"/>
                    <w:ind w:firstLine="0"/>
                    <w:jc w:val="center"/>
                    <w:rPr>
                      <w:sz w:val="21"/>
                      <w:szCs w:val="21"/>
                      <w:u w:val="single"/>
                    </w:rPr>
                  </w:pPr>
                  <w:r>
                    <w:rPr>
                      <w:rFonts w:hint="eastAsia"/>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新建机制砂石骨料项目宜选择资源或接近矿山资源所在地，远离居民区。严禁在风景名胜区、地质公园、生态保护区、自然和文化遗产保护区、饮用水源保护区、城市建成区等区域新建和扩建机制砂石骨料项 目。严禁布置在矿山爆破安全危险区范围内，已建成的项目应按照相关规划和规定进行处置。</w:t>
                  </w:r>
                </w:p>
              </w:tc>
              <w:tc>
                <w:tcPr>
                  <w:tcW w:w="3653" w:type="dxa"/>
                  <w:vAlign w:val="center"/>
                </w:tcPr>
                <w:p>
                  <w:pPr>
                    <w:pStyle w:val="143"/>
                    <w:tabs>
                      <w:tab w:val="clear" w:pos="400"/>
                    </w:tabs>
                    <w:spacing w:line="240" w:lineRule="auto"/>
                    <w:ind w:firstLine="0"/>
                    <w:jc w:val="center"/>
                    <w:rPr>
                      <w:color w:val="FF0000"/>
                      <w:sz w:val="21"/>
                      <w:szCs w:val="21"/>
                      <w:u w:val="single"/>
                    </w:rPr>
                  </w:pPr>
                  <w:r>
                    <w:rPr>
                      <w:rFonts w:hint="eastAsia"/>
                      <w:sz w:val="21"/>
                      <w:szCs w:val="21"/>
                      <w:u w:val="single"/>
                    </w:rPr>
                    <w:t>本项目地选址位于华容县万庾镇万庾村苍苔七组，项目原材料由建泉公司负责运输到场内，周围不涉及居民区，不属于严禁区，不属于矿山爆破安全为先区范围内。</w:t>
                  </w:r>
                </w:p>
              </w:tc>
              <w:tc>
                <w:tcPr>
                  <w:tcW w:w="1429" w:type="dxa"/>
                  <w:vAlign w:val="center"/>
                </w:tcPr>
                <w:p>
                  <w:pPr>
                    <w:pStyle w:val="143"/>
                    <w:tabs>
                      <w:tab w:val="clear" w:pos="400"/>
                    </w:tabs>
                    <w:spacing w:line="240" w:lineRule="auto"/>
                    <w:ind w:firstLine="0"/>
                    <w:jc w:val="center"/>
                    <w:rPr>
                      <w:color w:val="FF0000"/>
                      <w:sz w:val="21"/>
                      <w:szCs w:val="21"/>
                      <w:u w:val="single"/>
                    </w:rPr>
                  </w:pPr>
                  <w:r>
                    <w:rPr>
                      <w:rFonts w:hint="eastAsia"/>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480" w:type="dxa"/>
                  <w:gridSpan w:val="3"/>
                  <w:vAlign w:val="center"/>
                </w:tcPr>
                <w:p>
                  <w:pPr>
                    <w:pStyle w:val="143"/>
                    <w:tabs>
                      <w:tab w:val="clear" w:pos="400"/>
                    </w:tabs>
                    <w:spacing w:line="240" w:lineRule="auto"/>
                    <w:ind w:firstLine="0"/>
                    <w:rPr>
                      <w:sz w:val="21"/>
                      <w:szCs w:val="21"/>
                      <w:u w:val="single"/>
                    </w:rPr>
                  </w:pPr>
                  <w:r>
                    <w:rPr>
                      <w:rFonts w:hint="eastAsia"/>
                      <w:sz w:val="21"/>
                      <w:szCs w:val="21"/>
                      <w:u w:val="single"/>
                    </w:rPr>
                    <w:t>（2）工艺与装备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新建、改建机制砂石骨料项目生产规模不低于 60万t/年；对综合利用尾矿、废石、工业和建筑等废弃物生产砂石骨料，其生产规模可适当放宽。新建项目其矿山资源储量服务年限应不低于10年 。</w:t>
                  </w:r>
                </w:p>
              </w:tc>
              <w:tc>
                <w:tcPr>
                  <w:tcW w:w="3653" w:type="dxa"/>
                  <w:vAlign w:val="center"/>
                </w:tcPr>
                <w:p>
                  <w:pPr>
                    <w:pStyle w:val="143"/>
                    <w:tabs>
                      <w:tab w:val="clear" w:pos="400"/>
                    </w:tabs>
                    <w:spacing w:line="240" w:lineRule="auto"/>
                    <w:ind w:firstLine="0"/>
                    <w:jc w:val="left"/>
                    <w:rPr>
                      <w:rFonts w:hint="eastAsia" w:eastAsia="宋体"/>
                      <w:sz w:val="21"/>
                      <w:szCs w:val="21"/>
                      <w:u w:val="single"/>
                      <w:lang w:val="en-US" w:eastAsia="zh-CN"/>
                    </w:rPr>
                  </w:pPr>
                  <w:r>
                    <w:rPr>
                      <w:rFonts w:hint="eastAsia"/>
                      <w:sz w:val="21"/>
                      <w:szCs w:val="21"/>
                      <w:u w:val="single"/>
                    </w:rPr>
                    <w:t>本项目属于机制砂石项目，项目规模为60万t/a，符合要求</w:t>
                  </w:r>
                  <w:r>
                    <w:rPr>
                      <w:rFonts w:hint="eastAsia"/>
                      <w:sz w:val="21"/>
                      <w:szCs w:val="21"/>
                      <w:u w:val="single"/>
                      <w:lang w:eastAsia="zh-CN"/>
                    </w:rPr>
                    <w:t>。</w:t>
                  </w:r>
                </w:p>
              </w:tc>
              <w:tc>
                <w:tcPr>
                  <w:tcW w:w="1429" w:type="dxa"/>
                  <w:vAlign w:val="center"/>
                </w:tcPr>
                <w:p>
                  <w:pPr>
                    <w:pStyle w:val="143"/>
                    <w:tabs>
                      <w:tab w:val="clear" w:pos="400"/>
                    </w:tabs>
                    <w:spacing w:line="240" w:lineRule="auto"/>
                    <w:ind w:firstLine="420" w:firstLineChars="200"/>
                    <w:jc w:val="left"/>
                    <w:rPr>
                      <w:sz w:val="21"/>
                      <w:szCs w:val="21"/>
                      <w:u w:val="single"/>
                    </w:rPr>
                  </w:pPr>
                  <w:r>
                    <w:rPr>
                      <w:rFonts w:hint="eastAsia"/>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优先采用干法生产工艺，其次半干法砂石工艺，当不能满足要求时，可采用湿法砂石生产艺。砂石骨料生产线及产品技术指标应符合 GB51186《 机制砂石骨料工厂设计规范》等相关标准要求。新建项目不得使用限制和淘汰技术设备，已 建项目不得使用淘汰设各。生产工艺及设各配置应能灵活调整砂石成品级配和石粉含量，并能有效控制砂石成品针片状含量。采用先进高效破碎、制砂、筛分和散料连续输送设各，推广应用自动化 (智能化制造技术。</w:t>
                  </w:r>
                </w:p>
              </w:tc>
              <w:tc>
                <w:tcPr>
                  <w:tcW w:w="3653"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本项目破碎采用湿法工艺，项目生产线及产品技术指标均符合GB51186中相关要求，项目设备不属于淘汰类，生产采用全自动化设备及工艺，能灵活调整砂石成品级配及石粉含量。符合要求。</w:t>
                  </w:r>
                </w:p>
              </w:tc>
              <w:tc>
                <w:tcPr>
                  <w:tcW w:w="1429"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 xml:space="preserve">    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480" w:type="dxa"/>
                  <w:gridSpan w:val="3"/>
                  <w:vAlign w:val="center"/>
                </w:tcPr>
                <w:p>
                  <w:pPr>
                    <w:pStyle w:val="143"/>
                    <w:tabs>
                      <w:tab w:val="clear" w:pos="400"/>
                    </w:tabs>
                    <w:spacing w:line="240" w:lineRule="auto"/>
                    <w:ind w:firstLine="0"/>
                    <w:jc w:val="left"/>
                    <w:rPr>
                      <w:sz w:val="21"/>
                      <w:szCs w:val="21"/>
                      <w:u w:val="single"/>
                    </w:rPr>
                  </w:pPr>
                  <w:r>
                    <w:rPr>
                      <w:rFonts w:hint="eastAsia"/>
                      <w:sz w:val="21"/>
                      <w:szCs w:val="21"/>
                      <w:u w:val="single"/>
                    </w:rPr>
                    <w:t>（3）质量管理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机制、天然砂石骨料质量应符合 GB/T14685《建设用卵石、碎石》、 GB/T14684《 建设用砂》等标准要求。</w:t>
                  </w:r>
                </w:p>
              </w:tc>
              <w:tc>
                <w:tcPr>
                  <w:tcW w:w="3653"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项目砂石质量严格按GB/T14685《建设用卵石、碎石》、 GB/T14684《 建设用砂》标准要求生产</w:t>
                  </w:r>
                </w:p>
              </w:tc>
              <w:tc>
                <w:tcPr>
                  <w:tcW w:w="1429" w:type="dxa"/>
                  <w:vAlign w:val="center"/>
                </w:tcPr>
                <w:p>
                  <w:pPr>
                    <w:pStyle w:val="143"/>
                    <w:tabs>
                      <w:tab w:val="clear" w:pos="400"/>
                    </w:tabs>
                    <w:spacing w:line="240" w:lineRule="auto"/>
                    <w:ind w:firstLine="0"/>
                    <w:jc w:val="center"/>
                    <w:rPr>
                      <w:sz w:val="21"/>
                      <w:szCs w:val="21"/>
                      <w:u w:val="single"/>
                    </w:rPr>
                  </w:pPr>
                  <w:r>
                    <w:rPr>
                      <w:rFonts w:hint="eastAsia"/>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砂 、石产品分级分仓储存，各类产品应按分类、规格、类别分别运输、堆放和销售，防止人为碾压、混料及污染。</w:t>
                  </w:r>
                </w:p>
              </w:tc>
              <w:tc>
                <w:tcPr>
                  <w:tcW w:w="3653"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项目原料堆存及成品堆存区分区划分，做到了各类产品分类堆放和销售，符合要求</w:t>
                  </w:r>
                </w:p>
              </w:tc>
              <w:tc>
                <w:tcPr>
                  <w:tcW w:w="1429" w:type="dxa"/>
                  <w:vAlign w:val="center"/>
                </w:tcPr>
                <w:p>
                  <w:pPr>
                    <w:pStyle w:val="143"/>
                    <w:tabs>
                      <w:tab w:val="clear" w:pos="400"/>
                    </w:tabs>
                    <w:spacing w:line="240" w:lineRule="auto"/>
                    <w:ind w:firstLine="0"/>
                    <w:jc w:val="center"/>
                    <w:rPr>
                      <w:sz w:val="21"/>
                      <w:szCs w:val="21"/>
                      <w:u w:val="single"/>
                    </w:rPr>
                  </w:pPr>
                  <w:r>
                    <w:rPr>
                      <w:rFonts w:hint="eastAsia"/>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480" w:type="dxa"/>
                  <w:gridSpan w:val="3"/>
                  <w:vAlign w:val="center"/>
                </w:tcPr>
                <w:p>
                  <w:pPr>
                    <w:pStyle w:val="143"/>
                    <w:tabs>
                      <w:tab w:val="clear" w:pos="400"/>
                    </w:tabs>
                    <w:spacing w:line="240" w:lineRule="auto"/>
                    <w:ind w:firstLine="0"/>
                    <w:jc w:val="left"/>
                    <w:rPr>
                      <w:sz w:val="21"/>
                      <w:szCs w:val="21"/>
                      <w:u w:val="single"/>
                    </w:rPr>
                  </w:pPr>
                  <w:r>
                    <w:rPr>
                      <w:rFonts w:hint="eastAsia"/>
                      <w:sz w:val="21"/>
                      <w:szCs w:val="21"/>
                      <w:u w:val="single"/>
                    </w:rPr>
                    <w:t>（4）环境保护与资源利用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砂石骨料企业应制订相关环境保管理体系文件和环境突发事件应急预案等。机制砂石骨料生产线须配套收尘装置，采用喷雾、洒水、全封</w:t>
                  </w:r>
                </w:p>
                <w:p>
                  <w:pPr>
                    <w:pStyle w:val="143"/>
                    <w:tabs>
                      <w:tab w:val="clear" w:pos="400"/>
                    </w:tabs>
                    <w:spacing w:line="240" w:lineRule="auto"/>
                    <w:ind w:firstLine="0"/>
                    <w:jc w:val="left"/>
                    <w:rPr>
                      <w:sz w:val="21"/>
                      <w:szCs w:val="21"/>
                      <w:u w:val="single"/>
                    </w:rPr>
                  </w:pPr>
                  <w:r>
                    <w:rPr>
                      <w:rFonts w:hint="eastAsia"/>
                      <w:sz w:val="21"/>
                      <w:szCs w:val="21"/>
                      <w:u w:val="single"/>
                    </w:rPr>
                    <w:t>闭皮带运输等措施。破碎加工区、中间料库、成品库等区域实现厂房全封闭，污染物排放符合 GB16297《大气污染物综合排放标准》要求。矿山开采鼓励选用湿式凿岩工艺，若采用干法凿岩工艺须加设除尘装置，作业场所应采用喷雾、洒水等措施。机制砂石骨料生产线须配置消声、减振、隔振等设施，工厂噪声应符合GB12348《工业企业厂界环境噪声排放标准》要求。厂区污水排放符合 GB8978《污水综合排放标准》二级及以上要求 ，湿法生产线必须设置水处理循环系统。</w:t>
                  </w:r>
                </w:p>
                <w:p>
                  <w:pPr>
                    <w:pStyle w:val="143"/>
                    <w:tabs>
                      <w:tab w:val="clear" w:pos="400"/>
                    </w:tabs>
                    <w:spacing w:line="240" w:lineRule="auto"/>
                    <w:ind w:firstLine="0"/>
                    <w:jc w:val="left"/>
                    <w:rPr>
                      <w:sz w:val="21"/>
                      <w:szCs w:val="21"/>
                      <w:u w:val="single"/>
                    </w:rPr>
                  </w:pPr>
                  <w:r>
                    <w:rPr>
                      <w:rFonts w:hint="eastAsia"/>
                      <w:sz w:val="21"/>
                      <w:szCs w:val="21"/>
                      <w:u w:val="single"/>
                    </w:rPr>
                    <w:t>公用工程、环境保护设计应符合 GB51186《机制砂石骨料工厂设计规范》等有关标准规定，配套建设的环境保护设施应与主体工程同时设计、同时施工、同时投入使用。</w:t>
                  </w:r>
                </w:p>
              </w:tc>
              <w:tc>
                <w:tcPr>
                  <w:tcW w:w="3653"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本项目已按要求制定相关环境保护管理体系文件及突发性环境应急预案，目前手续正在办理中，项目生产线配备了洒水喷淋降尘、采用全封闭皮带运输等措施，破碎加工区及成品库为全封闭钢结构厂房，粉尘排放符合GB16297中无组织排放限值要求，本项目不涉及矿山开采；项目生产线通过消声、减振、隔振等措施后，厂界噪声符合GB12348中2类标准限值要求；项目厂区生产废水采用循环系统处理后不外排，生活污水经隔油池及化粪池处理后用于农田施肥，不外排，本环评要求项目配套建设的环境保护设施应与主体工程同时设计、同时施工、同时投入使用。</w:t>
                  </w:r>
                </w:p>
              </w:tc>
              <w:tc>
                <w:tcPr>
                  <w:tcW w:w="1429" w:type="dxa"/>
                  <w:vAlign w:val="center"/>
                </w:tcPr>
                <w:p>
                  <w:pPr>
                    <w:pStyle w:val="143"/>
                    <w:tabs>
                      <w:tab w:val="clear" w:pos="400"/>
                    </w:tabs>
                    <w:spacing w:line="240" w:lineRule="auto"/>
                    <w:ind w:firstLine="420" w:firstLineChars="200"/>
                    <w:jc w:val="left"/>
                    <w:rPr>
                      <w:sz w:val="21"/>
                      <w:szCs w:val="21"/>
                      <w:u w:val="single"/>
                    </w:rPr>
                  </w:pPr>
                  <w:r>
                    <w:rPr>
                      <w:rFonts w:hint="eastAsia"/>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砂石骨料生产线须配置废弃物综合利用及处置设施，矿山开采应选择资源节约型、环境友好型开发方式 ,最大限度减少对自然环境的破坏 ，符合区域生态建设要求。实现资源分级利用、优质优用和综合利用 ，对矿石的顶板、夹层等进行综合利用。鼓励企业利用尾矿、废石、工业和建筑垃圾开发生产满足相关要求的砂石骨料。</w:t>
                  </w:r>
                </w:p>
              </w:tc>
              <w:tc>
                <w:tcPr>
                  <w:tcW w:w="3653"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本项目属于利用鹅卵石进行生产，生产线须配置废弃物综合利用及处置设施，符合要求，</w:t>
                  </w:r>
                </w:p>
              </w:tc>
              <w:tc>
                <w:tcPr>
                  <w:tcW w:w="1429" w:type="dxa"/>
                  <w:vAlign w:val="center"/>
                </w:tcPr>
                <w:p>
                  <w:pPr>
                    <w:pStyle w:val="143"/>
                    <w:tabs>
                      <w:tab w:val="clear" w:pos="400"/>
                    </w:tabs>
                    <w:spacing w:line="240" w:lineRule="auto"/>
                    <w:ind w:firstLine="0"/>
                    <w:jc w:val="left"/>
                    <w:rPr>
                      <w:sz w:val="21"/>
                      <w:szCs w:val="21"/>
                      <w:u w:val="single"/>
                    </w:rPr>
                  </w:pPr>
                  <w:r>
                    <w:rPr>
                      <w:rFonts w:hint="eastAsia"/>
                      <w:sz w:val="21"/>
                      <w:szCs w:val="21"/>
                      <w:u w:val="single"/>
                    </w:rPr>
                    <w:t xml:space="preserve">    符合</w:t>
                  </w:r>
                </w:p>
              </w:tc>
            </w:tr>
          </w:tbl>
          <w:p>
            <w:pPr>
              <w:spacing w:line="300" w:lineRule="auto"/>
              <w:ind w:firstLine="482" w:firstLineChars="200"/>
              <w:rPr>
                <w:b/>
                <w:sz w:val="24"/>
              </w:rPr>
            </w:pPr>
            <w:r>
              <w:rPr>
                <w:b/>
                <w:sz w:val="24"/>
              </w:rPr>
              <w:t>1</w:t>
            </w:r>
            <w:r>
              <w:rPr>
                <w:rFonts w:hint="eastAsia"/>
                <w:b/>
                <w:sz w:val="24"/>
                <w:lang w:val="en-US" w:eastAsia="zh-CN"/>
              </w:rPr>
              <w:t>5</w:t>
            </w:r>
            <w:r>
              <w:rPr>
                <w:rFonts w:hint="eastAsia"/>
                <w:b/>
                <w:sz w:val="24"/>
              </w:rPr>
              <w:t>.</w:t>
            </w:r>
            <w:r>
              <w:rPr>
                <w:rFonts w:hint="eastAsia"/>
                <w:b/>
                <w:sz w:val="24"/>
                <w:szCs w:val="22"/>
              </w:rPr>
              <w:t>项目与《机制砂石骨料工厂设计规范（GB51186-2016）》相符性分析</w:t>
            </w:r>
          </w:p>
          <w:p>
            <w:pPr>
              <w:spacing w:line="360" w:lineRule="auto"/>
              <w:ind w:firstLine="480" w:firstLineChars="200"/>
              <w:rPr>
                <w:sz w:val="24"/>
                <w:szCs w:val="24"/>
              </w:rPr>
            </w:pPr>
            <w:r>
              <w:rPr>
                <w:rFonts w:hint="eastAsia"/>
                <w:sz w:val="24"/>
                <w:szCs w:val="24"/>
              </w:rPr>
              <w:t>根据住房和城乡建设部文件《机制砂石骨料工厂设计规范（GB51186-2016）》的要求，本项目生产规模为60万吨，属于小型规模，本项目与该规范符合要求如下表：</w:t>
            </w:r>
          </w:p>
          <w:p>
            <w:pPr>
              <w:pStyle w:val="143"/>
              <w:tabs>
                <w:tab w:val="clear" w:pos="400"/>
              </w:tabs>
              <w:ind w:firstLine="0"/>
              <w:jc w:val="center"/>
              <w:rPr>
                <w:b/>
                <w:sz w:val="24"/>
                <w:szCs w:val="24"/>
              </w:rPr>
            </w:pPr>
            <w:r>
              <w:rPr>
                <w:b/>
                <w:sz w:val="24"/>
                <w:szCs w:val="24"/>
              </w:rPr>
              <w:t>表7</w:t>
            </w:r>
            <w:r>
              <w:rPr>
                <w:rFonts w:hint="eastAsia"/>
                <w:b/>
                <w:sz w:val="24"/>
                <w:szCs w:val="24"/>
              </w:rPr>
              <w:t>-</w:t>
            </w:r>
            <w:r>
              <w:rPr>
                <w:rFonts w:hint="eastAsia"/>
                <w:b/>
                <w:sz w:val="24"/>
                <w:szCs w:val="24"/>
                <w:lang w:val="en-US" w:eastAsia="zh-CN"/>
              </w:rPr>
              <w:t>1</w:t>
            </w:r>
            <w:r>
              <w:rPr>
                <w:rFonts w:hint="eastAsia"/>
                <w:b/>
                <w:sz w:val="24"/>
                <w:szCs w:val="24"/>
              </w:rPr>
              <w:t>7 与</w:t>
            </w:r>
            <w:r>
              <w:rPr>
                <w:rFonts w:hint="eastAsia"/>
                <w:b/>
                <w:sz w:val="24"/>
                <w:szCs w:val="22"/>
              </w:rPr>
              <w:t>《机制砂石骨料工厂设计规范（GB51186-2016）》</w:t>
            </w:r>
            <w:r>
              <w:rPr>
                <w:rFonts w:hint="eastAsia"/>
                <w:b/>
                <w:sz w:val="24"/>
                <w:szCs w:val="24"/>
              </w:rPr>
              <w:t>要求对照表</w:t>
            </w:r>
          </w:p>
          <w:tbl>
            <w:tblPr>
              <w:tblStyle w:val="28"/>
              <w:tblW w:w="84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3653"/>
              <w:gridCol w:w="1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center"/>
                    <w:rPr>
                      <w:sz w:val="21"/>
                      <w:szCs w:val="21"/>
                    </w:rPr>
                  </w:pPr>
                  <w:r>
                    <w:rPr>
                      <w:rFonts w:hint="eastAsia"/>
                      <w:sz w:val="21"/>
                      <w:szCs w:val="21"/>
                    </w:rPr>
                    <w:t>规范要求</w:t>
                  </w:r>
                </w:p>
              </w:tc>
              <w:tc>
                <w:tcPr>
                  <w:tcW w:w="3653" w:type="dxa"/>
                  <w:vAlign w:val="center"/>
                </w:tcPr>
                <w:p>
                  <w:pPr>
                    <w:pStyle w:val="143"/>
                    <w:tabs>
                      <w:tab w:val="clear" w:pos="400"/>
                    </w:tabs>
                    <w:spacing w:line="240" w:lineRule="auto"/>
                    <w:ind w:firstLine="0"/>
                    <w:jc w:val="center"/>
                    <w:rPr>
                      <w:sz w:val="21"/>
                      <w:szCs w:val="21"/>
                    </w:rPr>
                  </w:pPr>
                  <w:r>
                    <w:rPr>
                      <w:rFonts w:hint="eastAsia"/>
                      <w:sz w:val="21"/>
                      <w:szCs w:val="21"/>
                    </w:rPr>
                    <w:t>本项目</w:t>
                  </w:r>
                </w:p>
              </w:tc>
              <w:tc>
                <w:tcPr>
                  <w:tcW w:w="1429" w:type="dxa"/>
                  <w:vAlign w:val="center"/>
                </w:tcPr>
                <w:p>
                  <w:pPr>
                    <w:pStyle w:val="143"/>
                    <w:tabs>
                      <w:tab w:val="clear" w:pos="400"/>
                    </w:tabs>
                    <w:spacing w:line="240" w:lineRule="auto"/>
                    <w:ind w:firstLine="0"/>
                    <w:jc w:val="center"/>
                    <w:rPr>
                      <w:sz w:val="21"/>
                      <w:szCs w:val="21"/>
                    </w:rPr>
                  </w:pPr>
                  <w:r>
                    <w:rPr>
                      <w:rFonts w:hint="eastAsia"/>
                      <w:sz w:val="21"/>
                      <w:szCs w:val="21"/>
                    </w:rPr>
                    <w:t>符合要求与否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480" w:type="dxa"/>
                  <w:gridSpan w:val="3"/>
                  <w:vAlign w:val="center"/>
                </w:tcPr>
                <w:p>
                  <w:pPr>
                    <w:pStyle w:val="143"/>
                    <w:tabs>
                      <w:tab w:val="clear" w:pos="400"/>
                    </w:tabs>
                    <w:spacing w:line="240" w:lineRule="auto"/>
                    <w:ind w:firstLine="0"/>
                    <w:rPr>
                      <w:sz w:val="21"/>
                      <w:szCs w:val="21"/>
                    </w:rPr>
                  </w:pPr>
                  <w:r>
                    <w:rPr>
                      <w:rFonts w:hint="eastAsia"/>
                      <w:sz w:val="21"/>
                      <w:szCs w:val="21"/>
                    </w:rPr>
                    <w:t>（1）厂址选址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9" w:hRule="atLeast"/>
                <w:jc w:val="center"/>
              </w:trPr>
              <w:tc>
                <w:tcPr>
                  <w:tcW w:w="3398" w:type="dxa"/>
                  <w:vAlign w:val="center"/>
                </w:tcPr>
                <w:p>
                  <w:pPr>
                    <w:pStyle w:val="143"/>
                    <w:tabs>
                      <w:tab w:val="clear" w:pos="400"/>
                    </w:tabs>
                    <w:spacing w:line="240" w:lineRule="auto"/>
                    <w:ind w:firstLine="0"/>
                    <w:jc w:val="left"/>
                    <w:rPr>
                      <w:sz w:val="21"/>
                      <w:szCs w:val="21"/>
                    </w:rPr>
                  </w:pPr>
                  <w:r>
                    <w:rPr>
                      <w:rFonts w:hint="eastAsia"/>
                      <w:sz w:val="21"/>
                      <w:szCs w:val="21"/>
                    </w:rPr>
                    <w:t>厂址选择应靠近资源所在地，并应远离居民区；厂址应选择在工程地质和水文地质较好的地带，并应避开山洪、滑坡、泥石流等地质灾害易发地段；厂址选址宜利用荒山地、山坡地，不占农田或少占农田、林地，不宜动迁村庄；位于城镇周围的机制砂石骨料工厂，厂址应位于城镇和居住区全年最小频率风向的上风侧；厂址应具有良好的外部建设条件，并应有利于外部的协作；机制砂石骨料工厂严禁布置在矿山爆破危险区范围内。</w:t>
                  </w:r>
                </w:p>
              </w:tc>
              <w:tc>
                <w:tcPr>
                  <w:tcW w:w="3653" w:type="dxa"/>
                  <w:vAlign w:val="center"/>
                </w:tcPr>
                <w:p>
                  <w:pPr>
                    <w:pStyle w:val="143"/>
                    <w:tabs>
                      <w:tab w:val="clear" w:pos="400"/>
                    </w:tabs>
                    <w:spacing w:line="240" w:lineRule="auto"/>
                    <w:ind w:firstLine="0"/>
                    <w:jc w:val="left"/>
                    <w:rPr>
                      <w:sz w:val="21"/>
                      <w:szCs w:val="21"/>
                    </w:rPr>
                  </w:pPr>
                  <w:r>
                    <w:rPr>
                      <w:rFonts w:hint="eastAsia"/>
                      <w:sz w:val="21"/>
                      <w:szCs w:val="21"/>
                    </w:rPr>
                    <w:t>本项目临近S203省道，北侧为长江，资源运输方便，不属于居民区，厂址水文地质较好，不属于开山洪、滑坡、泥石流等地质灾害易发地段，不占农田，不牵动村庄，不属于矿山爆破危险区范围内</w:t>
                  </w:r>
                </w:p>
              </w:tc>
              <w:tc>
                <w:tcPr>
                  <w:tcW w:w="1429" w:type="dxa"/>
                  <w:vAlign w:val="center"/>
                </w:tcPr>
                <w:p>
                  <w:pPr>
                    <w:pStyle w:val="143"/>
                    <w:tabs>
                      <w:tab w:val="clear" w:pos="400"/>
                    </w:tabs>
                    <w:spacing w:line="240" w:lineRule="auto"/>
                    <w:ind w:firstLine="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480" w:type="dxa"/>
                  <w:gridSpan w:val="3"/>
                  <w:vAlign w:val="center"/>
                </w:tcPr>
                <w:p>
                  <w:pPr>
                    <w:pStyle w:val="143"/>
                    <w:tabs>
                      <w:tab w:val="clear" w:pos="400"/>
                    </w:tabs>
                    <w:spacing w:line="240" w:lineRule="auto"/>
                    <w:ind w:firstLine="0"/>
                    <w:rPr>
                      <w:sz w:val="21"/>
                      <w:szCs w:val="21"/>
                    </w:rPr>
                  </w:pPr>
                  <w:r>
                    <w:rPr>
                      <w:rFonts w:hint="eastAsia"/>
                      <w:sz w:val="21"/>
                      <w:szCs w:val="21"/>
                    </w:rPr>
                    <w:t>（2）总平面布置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rPr>
                  </w:pPr>
                  <w:r>
                    <w:rPr>
                      <w:rFonts w:hint="eastAsia"/>
                      <w:sz w:val="21"/>
                      <w:szCs w:val="21"/>
                    </w:rPr>
                    <w:t>成品库（维场）的场地宜满足物料进行装（卸）车、倒堆储存及转运要求、并应具有满足装卸和储存要求的装（卸）车位及储存场地；</w:t>
                  </w:r>
                </w:p>
                <w:p>
                  <w:pPr>
                    <w:pStyle w:val="143"/>
                    <w:tabs>
                      <w:tab w:val="clear" w:pos="400"/>
                    </w:tabs>
                    <w:spacing w:line="240" w:lineRule="auto"/>
                    <w:ind w:firstLine="0"/>
                    <w:jc w:val="left"/>
                    <w:rPr>
                      <w:sz w:val="21"/>
                      <w:szCs w:val="21"/>
                    </w:rPr>
                  </w:pPr>
                  <w:r>
                    <w:rPr>
                      <w:rFonts w:hint="eastAsia"/>
                      <w:sz w:val="21"/>
                      <w:szCs w:val="21"/>
                    </w:rPr>
                    <w:t>成品库（堆场）设计储存能力应满足生产对储存期及装（卸）车长度要求。</w:t>
                  </w:r>
                </w:p>
              </w:tc>
              <w:tc>
                <w:tcPr>
                  <w:tcW w:w="3653" w:type="dxa"/>
                  <w:vAlign w:val="center"/>
                </w:tcPr>
                <w:p>
                  <w:pPr>
                    <w:pStyle w:val="143"/>
                    <w:tabs>
                      <w:tab w:val="clear" w:pos="400"/>
                    </w:tabs>
                    <w:spacing w:line="240" w:lineRule="auto"/>
                    <w:ind w:firstLine="0"/>
                    <w:jc w:val="left"/>
                    <w:rPr>
                      <w:sz w:val="21"/>
                      <w:szCs w:val="21"/>
                    </w:rPr>
                  </w:pPr>
                  <w:r>
                    <w:rPr>
                      <w:rFonts w:hint="eastAsia"/>
                      <w:sz w:val="21"/>
                      <w:szCs w:val="21"/>
                    </w:rPr>
                    <w:t>项目设有成品堆场，位于项目北部，场地的建设符合转运要求，堆场占地面积3200平方米（长度为50m*60m），堆场储存能力满足要求，满足装卸车长度要求</w:t>
                  </w:r>
                </w:p>
              </w:tc>
              <w:tc>
                <w:tcPr>
                  <w:tcW w:w="1429" w:type="dxa"/>
                  <w:vAlign w:val="center"/>
                </w:tcPr>
                <w:p>
                  <w:pPr>
                    <w:pStyle w:val="143"/>
                    <w:tabs>
                      <w:tab w:val="clear" w:pos="400"/>
                    </w:tabs>
                    <w:spacing w:line="240" w:lineRule="auto"/>
                    <w:ind w:firstLine="420" w:firstLineChars="200"/>
                    <w:jc w:val="left"/>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rPr>
                  </w:pPr>
                  <w:r>
                    <w:rPr>
                      <w:rFonts w:hint="eastAsia"/>
                      <w:sz w:val="21"/>
                      <w:szCs w:val="21"/>
                    </w:rPr>
                    <w:t>厂区内应设置有雨水排水系统，排放含有生产废渣的雨水时，应进行沉淀处理</w:t>
                  </w:r>
                </w:p>
              </w:tc>
              <w:tc>
                <w:tcPr>
                  <w:tcW w:w="3653" w:type="dxa"/>
                  <w:vAlign w:val="center"/>
                </w:tcPr>
                <w:p>
                  <w:pPr>
                    <w:pStyle w:val="143"/>
                    <w:tabs>
                      <w:tab w:val="clear" w:pos="400"/>
                    </w:tabs>
                    <w:spacing w:line="240" w:lineRule="auto"/>
                    <w:ind w:firstLine="0"/>
                    <w:jc w:val="left"/>
                    <w:rPr>
                      <w:sz w:val="21"/>
                      <w:szCs w:val="21"/>
                    </w:rPr>
                  </w:pPr>
                  <w:r>
                    <w:rPr>
                      <w:rFonts w:hint="eastAsia"/>
                      <w:sz w:val="21"/>
                      <w:szCs w:val="21"/>
                    </w:rPr>
                    <w:t>项目设有雨水排水系统，经雨水导流沟排入沉淀池，沉淀后清水回用于生产</w:t>
                  </w:r>
                </w:p>
              </w:tc>
              <w:tc>
                <w:tcPr>
                  <w:tcW w:w="1429" w:type="dxa"/>
                  <w:vAlign w:val="center"/>
                </w:tcPr>
                <w:p>
                  <w:pPr>
                    <w:pStyle w:val="143"/>
                    <w:tabs>
                      <w:tab w:val="clear" w:pos="400"/>
                    </w:tabs>
                    <w:spacing w:line="240" w:lineRule="auto"/>
                    <w:ind w:firstLine="0"/>
                    <w:jc w:val="left"/>
                    <w:rPr>
                      <w:sz w:val="21"/>
                      <w:szCs w:val="21"/>
                    </w:rPr>
                  </w:pPr>
                  <w:r>
                    <w:rPr>
                      <w:rFonts w:hint="eastAsia"/>
                      <w:sz w:val="21"/>
                      <w:szCs w:val="21"/>
                    </w:rPr>
                    <w:t xml:space="preserve">    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480" w:type="dxa"/>
                  <w:gridSpan w:val="3"/>
                  <w:vAlign w:val="center"/>
                </w:tcPr>
                <w:p>
                  <w:pPr>
                    <w:pStyle w:val="143"/>
                    <w:tabs>
                      <w:tab w:val="clear" w:pos="400"/>
                    </w:tabs>
                    <w:spacing w:line="240" w:lineRule="auto"/>
                    <w:ind w:firstLine="0"/>
                    <w:jc w:val="left"/>
                    <w:rPr>
                      <w:sz w:val="21"/>
                      <w:szCs w:val="21"/>
                    </w:rPr>
                  </w:pPr>
                  <w:r>
                    <w:rPr>
                      <w:rFonts w:hint="eastAsia"/>
                      <w:sz w:val="21"/>
                      <w:szCs w:val="21"/>
                    </w:rPr>
                    <w:t>（3）生产工艺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rPr>
                  </w:pPr>
                  <w:r>
                    <w:rPr>
                      <w:rFonts w:hint="eastAsia"/>
                      <w:sz w:val="21"/>
                      <w:szCs w:val="21"/>
                    </w:rPr>
                    <w:t>项目破碎及筛分、筛泥日工作班次应在2~3班，每班工作时间为6~7小时，日工作小时数为12~21小时</w:t>
                  </w:r>
                </w:p>
              </w:tc>
              <w:tc>
                <w:tcPr>
                  <w:tcW w:w="3653" w:type="dxa"/>
                  <w:vAlign w:val="center"/>
                </w:tcPr>
                <w:p>
                  <w:pPr>
                    <w:pStyle w:val="143"/>
                    <w:tabs>
                      <w:tab w:val="clear" w:pos="400"/>
                    </w:tabs>
                    <w:spacing w:line="240" w:lineRule="auto"/>
                    <w:ind w:firstLine="0"/>
                    <w:jc w:val="left"/>
                    <w:rPr>
                      <w:sz w:val="21"/>
                      <w:szCs w:val="21"/>
                    </w:rPr>
                  </w:pPr>
                  <w:r>
                    <w:rPr>
                      <w:rFonts w:hint="eastAsia"/>
                      <w:sz w:val="21"/>
                      <w:szCs w:val="21"/>
                    </w:rPr>
                    <w:t>项目生产班次为2班制，每班6小时，日工作时间为12小时</w:t>
                  </w:r>
                </w:p>
              </w:tc>
              <w:tc>
                <w:tcPr>
                  <w:tcW w:w="1429" w:type="dxa"/>
                  <w:vAlign w:val="center"/>
                </w:tcPr>
                <w:p>
                  <w:pPr>
                    <w:pStyle w:val="143"/>
                    <w:tabs>
                      <w:tab w:val="clear" w:pos="400"/>
                    </w:tabs>
                    <w:spacing w:line="240" w:lineRule="auto"/>
                    <w:ind w:firstLine="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rPr>
                  </w:pPr>
                  <w:r>
                    <w:rPr>
                      <w:rFonts w:hint="eastAsia"/>
                      <w:sz w:val="21"/>
                      <w:szCs w:val="21"/>
                    </w:rPr>
                    <w:t>制砂工艺流程设计应优先采用干法制砂工艺。干法制砂产品的含泥量、细度模数、颗粒级配应符合现行国家标准《建设用砂）GBT14684的有关规定，当不能满足时，宜采用湿法制砂工艺。</w:t>
                  </w:r>
                </w:p>
              </w:tc>
              <w:tc>
                <w:tcPr>
                  <w:tcW w:w="3653" w:type="dxa"/>
                  <w:vAlign w:val="center"/>
                </w:tcPr>
                <w:p>
                  <w:pPr>
                    <w:pStyle w:val="143"/>
                    <w:tabs>
                      <w:tab w:val="clear" w:pos="400"/>
                    </w:tabs>
                    <w:spacing w:line="240" w:lineRule="auto"/>
                    <w:ind w:firstLine="0"/>
                    <w:jc w:val="left"/>
                    <w:rPr>
                      <w:sz w:val="21"/>
                      <w:szCs w:val="21"/>
                    </w:rPr>
                  </w:pPr>
                  <w:r>
                    <w:rPr>
                      <w:rFonts w:hint="eastAsia"/>
                      <w:sz w:val="21"/>
                      <w:szCs w:val="21"/>
                    </w:rPr>
                    <w:t>项目采用湿法制砂，产生的废水进入沉淀池后循环利用</w:t>
                  </w:r>
                </w:p>
              </w:tc>
              <w:tc>
                <w:tcPr>
                  <w:tcW w:w="1429" w:type="dxa"/>
                  <w:vAlign w:val="center"/>
                </w:tcPr>
                <w:p>
                  <w:pPr>
                    <w:pStyle w:val="143"/>
                    <w:tabs>
                      <w:tab w:val="clear" w:pos="400"/>
                    </w:tabs>
                    <w:spacing w:line="240" w:lineRule="auto"/>
                    <w:ind w:firstLine="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480" w:type="dxa"/>
                  <w:gridSpan w:val="3"/>
                  <w:vAlign w:val="center"/>
                </w:tcPr>
                <w:p>
                  <w:pPr>
                    <w:pStyle w:val="143"/>
                    <w:tabs>
                      <w:tab w:val="clear" w:pos="400"/>
                    </w:tabs>
                    <w:spacing w:line="240" w:lineRule="auto"/>
                    <w:ind w:firstLine="0"/>
                    <w:jc w:val="left"/>
                    <w:rPr>
                      <w:sz w:val="21"/>
                      <w:szCs w:val="21"/>
                    </w:rPr>
                  </w:pPr>
                  <w:r>
                    <w:rPr>
                      <w:rFonts w:hint="eastAsia"/>
                      <w:sz w:val="21"/>
                      <w:szCs w:val="21"/>
                    </w:rPr>
                    <w:t>（4）环境保护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rPr>
                  </w:pPr>
                  <w:r>
                    <w:rPr>
                      <w:rFonts w:hint="eastAsia"/>
                      <w:sz w:val="21"/>
                      <w:szCs w:val="21"/>
                    </w:rPr>
                    <w:t>机制砂石骨料湿法生产线必须设置废水处理系统，并应循环用水。机制砂石骨料工厂应对破碎、筛分及输送等生产环节采取封闭措施；应对破碎、筛分及输送转运站等扬尘点设置收尘装置，粉尘排放浓度应符合现行国家标准《大气污染物综合排放标准》GB16297的有关规定，并应满足厂区所在地区的环保要求；对于无组织排放扬尘场所，应采取喷雾、洒水、封闭等防尘措施。</w:t>
                  </w:r>
                </w:p>
              </w:tc>
              <w:tc>
                <w:tcPr>
                  <w:tcW w:w="3653" w:type="dxa"/>
                  <w:vAlign w:val="center"/>
                </w:tcPr>
                <w:p>
                  <w:pPr>
                    <w:pStyle w:val="143"/>
                    <w:tabs>
                      <w:tab w:val="clear" w:pos="400"/>
                    </w:tabs>
                    <w:spacing w:line="240" w:lineRule="auto"/>
                    <w:ind w:firstLine="0"/>
                    <w:jc w:val="left"/>
                    <w:rPr>
                      <w:sz w:val="21"/>
                      <w:szCs w:val="21"/>
                    </w:rPr>
                  </w:pPr>
                  <w:r>
                    <w:rPr>
                      <w:rFonts w:hint="eastAsia"/>
                      <w:sz w:val="21"/>
                      <w:szCs w:val="21"/>
                    </w:rPr>
                    <w:t>项目配备生产废水收集系统，破碎、筛分为全封闭，同时对破碎筛分采用喷淋降尘等措施，含尘废水进入沉淀池收集后外售处理，项目粉尘排放浓度符合《大气污染物综合排放标准》GB16297的有关规定。项目破碎、筛分、堆场、皮带运输均为全封闭，同时配备喷淋洒水等措施降尘。</w:t>
                  </w:r>
                </w:p>
              </w:tc>
              <w:tc>
                <w:tcPr>
                  <w:tcW w:w="1429" w:type="dxa"/>
                  <w:vAlign w:val="center"/>
                </w:tcPr>
                <w:p>
                  <w:pPr>
                    <w:pStyle w:val="143"/>
                    <w:tabs>
                      <w:tab w:val="clear" w:pos="400"/>
                    </w:tabs>
                    <w:spacing w:line="240" w:lineRule="auto"/>
                    <w:ind w:firstLine="420" w:firstLineChars="200"/>
                    <w:jc w:val="left"/>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rPr>
                  </w:pPr>
                  <w:r>
                    <w:rPr>
                      <w:rFonts w:hint="eastAsia"/>
                      <w:sz w:val="21"/>
                      <w:szCs w:val="21"/>
                    </w:rPr>
                    <w:t>收尘设备收下的粉尘经处理后应运到固定地点堆放，并应采取防止二次污染的措施：</w:t>
                  </w:r>
                </w:p>
                <w:p>
                  <w:pPr>
                    <w:pStyle w:val="143"/>
                    <w:tabs>
                      <w:tab w:val="clear" w:pos="400"/>
                    </w:tabs>
                    <w:spacing w:line="240" w:lineRule="auto"/>
                    <w:ind w:firstLine="0"/>
                    <w:jc w:val="left"/>
                    <w:rPr>
                      <w:sz w:val="21"/>
                      <w:szCs w:val="21"/>
                    </w:rPr>
                  </w:pPr>
                  <w:r>
                    <w:rPr>
                      <w:rFonts w:hint="eastAsia"/>
                      <w:sz w:val="21"/>
                      <w:szCs w:val="21"/>
                    </w:rPr>
                    <w:t>固体废弃物宜综合利用。</w:t>
                  </w:r>
                </w:p>
              </w:tc>
              <w:tc>
                <w:tcPr>
                  <w:tcW w:w="3653" w:type="dxa"/>
                  <w:vAlign w:val="center"/>
                </w:tcPr>
                <w:p>
                  <w:pPr>
                    <w:pStyle w:val="143"/>
                    <w:tabs>
                      <w:tab w:val="clear" w:pos="400"/>
                    </w:tabs>
                    <w:spacing w:line="240" w:lineRule="auto"/>
                    <w:ind w:firstLine="0"/>
                    <w:jc w:val="left"/>
                    <w:rPr>
                      <w:sz w:val="21"/>
                      <w:szCs w:val="21"/>
                    </w:rPr>
                  </w:pPr>
                  <w:r>
                    <w:rPr>
                      <w:rFonts w:hint="eastAsia"/>
                      <w:sz w:val="21"/>
                      <w:szCs w:val="21"/>
                    </w:rPr>
                    <w:t>项目粉尘进入沉淀池收集后外售处理综合利用，不会产生二次污染，</w:t>
                  </w:r>
                </w:p>
              </w:tc>
              <w:tc>
                <w:tcPr>
                  <w:tcW w:w="1429" w:type="dxa"/>
                  <w:vAlign w:val="center"/>
                </w:tcPr>
                <w:p>
                  <w:pPr>
                    <w:pStyle w:val="143"/>
                    <w:tabs>
                      <w:tab w:val="clear" w:pos="400"/>
                    </w:tabs>
                    <w:spacing w:line="240" w:lineRule="auto"/>
                    <w:ind w:firstLine="0"/>
                    <w:jc w:val="left"/>
                    <w:rPr>
                      <w:sz w:val="21"/>
                      <w:szCs w:val="21"/>
                    </w:rPr>
                  </w:pPr>
                  <w:r>
                    <w:rPr>
                      <w:rFonts w:hint="eastAsia"/>
                      <w:sz w:val="21"/>
                      <w:szCs w:val="21"/>
                    </w:rPr>
                    <w:t xml:space="preserve">    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rPr>
                  </w:pPr>
                  <w:r>
                    <w:rPr>
                      <w:rFonts w:hint="eastAsia"/>
                      <w:sz w:val="21"/>
                      <w:szCs w:val="21"/>
                    </w:rPr>
                    <w:t>生产废水经自然沉淀或机械脱水，固液分离后的清水应回用于生产系统；</w:t>
                  </w:r>
                </w:p>
              </w:tc>
              <w:tc>
                <w:tcPr>
                  <w:tcW w:w="3653" w:type="dxa"/>
                  <w:vAlign w:val="center"/>
                </w:tcPr>
                <w:p>
                  <w:pPr>
                    <w:pStyle w:val="143"/>
                    <w:tabs>
                      <w:tab w:val="clear" w:pos="400"/>
                    </w:tabs>
                    <w:spacing w:line="240" w:lineRule="auto"/>
                    <w:ind w:firstLine="0"/>
                    <w:jc w:val="left"/>
                    <w:rPr>
                      <w:sz w:val="21"/>
                      <w:szCs w:val="21"/>
                    </w:rPr>
                  </w:pPr>
                  <w:r>
                    <w:rPr>
                      <w:rFonts w:hint="eastAsia"/>
                      <w:sz w:val="21"/>
                      <w:szCs w:val="21"/>
                    </w:rPr>
                    <w:t>生产废水经</w:t>
                  </w:r>
                  <w:r>
                    <w:rPr>
                      <w:rFonts w:hint="eastAsia"/>
                      <w:sz w:val="21"/>
                      <w:szCs w:val="21"/>
                      <w:lang w:eastAsia="zh-CN"/>
                    </w:rPr>
                    <w:t>循环水塔沉淀后</w:t>
                  </w:r>
                  <w:r>
                    <w:rPr>
                      <w:rFonts w:hint="eastAsia"/>
                      <w:sz w:val="21"/>
                      <w:szCs w:val="21"/>
                    </w:rPr>
                    <w:t>，清水回用于生产</w:t>
                  </w:r>
                </w:p>
              </w:tc>
              <w:tc>
                <w:tcPr>
                  <w:tcW w:w="1429" w:type="dxa"/>
                  <w:vAlign w:val="center"/>
                </w:tcPr>
                <w:p>
                  <w:pPr>
                    <w:pStyle w:val="143"/>
                    <w:tabs>
                      <w:tab w:val="clear" w:pos="400"/>
                    </w:tabs>
                    <w:spacing w:line="240" w:lineRule="auto"/>
                    <w:ind w:firstLine="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8" w:type="dxa"/>
                  <w:vAlign w:val="center"/>
                </w:tcPr>
                <w:p>
                  <w:pPr>
                    <w:pStyle w:val="143"/>
                    <w:tabs>
                      <w:tab w:val="clear" w:pos="400"/>
                    </w:tabs>
                    <w:spacing w:line="240" w:lineRule="auto"/>
                    <w:ind w:firstLine="0"/>
                    <w:jc w:val="left"/>
                    <w:rPr>
                      <w:sz w:val="21"/>
                      <w:szCs w:val="21"/>
                    </w:rPr>
                  </w:pPr>
                  <w:r>
                    <w:rPr>
                      <w:rFonts w:hint="eastAsia"/>
                      <w:sz w:val="21"/>
                      <w:szCs w:val="21"/>
                    </w:rPr>
                    <w:t>工厂厂界噪声限值应符合现行国家标准《工业企业厂界环境噪声排放标准》GB12318的有关规定；</w:t>
                  </w:r>
                </w:p>
                <w:p>
                  <w:pPr>
                    <w:pStyle w:val="143"/>
                    <w:tabs>
                      <w:tab w:val="clear" w:pos="400"/>
                    </w:tabs>
                    <w:spacing w:line="240" w:lineRule="auto"/>
                    <w:ind w:firstLine="0"/>
                    <w:jc w:val="left"/>
                    <w:rPr>
                      <w:sz w:val="21"/>
                      <w:szCs w:val="21"/>
                    </w:rPr>
                  </w:pPr>
                  <w:r>
                    <w:rPr>
                      <w:rFonts w:hint="eastAsia"/>
                      <w:sz w:val="21"/>
                      <w:szCs w:val="21"/>
                    </w:rPr>
                    <w:t>设备选型时应选用低噪声生产设备，工艺布置应采取控制噪声传播的措施；</w:t>
                  </w:r>
                </w:p>
                <w:p>
                  <w:pPr>
                    <w:pStyle w:val="143"/>
                    <w:tabs>
                      <w:tab w:val="clear" w:pos="400"/>
                    </w:tabs>
                    <w:spacing w:line="240" w:lineRule="auto"/>
                    <w:ind w:firstLine="0"/>
                    <w:jc w:val="left"/>
                    <w:rPr>
                      <w:sz w:val="21"/>
                      <w:szCs w:val="21"/>
                    </w:rPr>
                  </w:pPr>
                  <w:r>
                    <w:rPr>
                      <w:rFonts w:hint="eastAsia"/>
                      <w:sz w:val="21"/>
                      <w:szCs w:val="21"/>
                    </w:rPr>
                    <w:t>高噪强振的设备，应采取消声、减振措施；</w:t>
                  </w:r>
                </w:p>
                <w:p>
                  <w:pPr>
                    <w:pStyle w:val="143"/>
                    <w:tabs>
                      <w:tab w:val="clear" w:pos="400"/>
                    </w:tabs>
                    <w:spacing w:line="240" w:lineRule="auto"/>
                    <w:ind w:firstLine="0"/>
                    <w:jc w:val="left"/>
                    <w:rPr>
                      <w:sz w:val="21"/>
                      <w:szCs w:val="21"/>
                    </w:rPr>
                  </w:pPr>
                  <w:r>
                    <w:rPr>
                      <w:rFonts w:hint="eastAsia"/>
                      <w:sz w:val="21"/>
                      <w:szCs w:val="21"/>
                    </w:rPr>
                    <w:t>高强噪声源车间，应采取隔声围护结构等措施。</w:t>
                  </w:r>
                </w:p>
              </w:tc>
              <w:tc>
                <w:tcPr>
                  <w:tcW w:w="3653" w:type="dxa"/>
                  <w:vAlign w:val="center"/>
                </w:tcPr>
                <w:p>
                  <w:pPr>
                    <w:pStyle w:val="143"/>
                    <w:tabs>
                      <w:tab w:val="clear" w:pos="400"/>
                    </w:tabs>
                    <w:spacing w:line="240" w:lineRule="auto"/>
                    <w:ind w:firstLine="0"/>
                    <w:jc w:val="left"/>
                    <w:rPr>
                      <w:sz w:val="21"/>
                      <w:szCs w:val="21"/>
                    </w:rPr>
                  </w:pPr>
                  <w:r>
                    <w:rPr>
                      <w:rFonts w:hint="eastAsia"/>
                      <w:sz w:val="21"/>
                      <w:szCs w:val="21"/>
                    </w:rPr>
                    <w:t>经预测，项目厂界噪声符合GB12318中2类标准限值，项目设备选型采用低噪声设备，小生减震，全封闭厂房隔声等措施</w:t>
                  </w:r>
                </w:p>
              </w:tc>
              <w:tc>
                <w:tcPr>
                  <w:tcW w:w="1429" w:type="dxa"/>
                  <w:vAlign w:val="center"/>
                </w:tcPr>
                <w:p>
                  <w:pPr>
                    <w:pStyle w:val="143"/>
                    <w:tabs>
                      <w:tab w:val="clear" w:pos="400"/>
                    </w:tabs>
                    <w:spacing w:line="240" w:lineRule="auto"/>
                    <w:ind w:firstLine="0"/>
                    <w:jc w:val="center"/>
                    <w:rPr>
                      <w:sz w:val="21"/>
                      <w:szCs w:val="21"/>
                    </w:rPr>
                  </w:pPr>
                  <w:r>
                    <w:rPr>
                      <w:rFonts w:hint="eastAsia"/>
                      <w:sz w:val="21"/>
                      <w:szCs w:val="21"/>
                    </w:rPr>
                    <w:t>符合</w:t>
                  </w:r>
                </w:p>
              </w:tc>
            </w:tr>
          </w:tbl>
          <w:p>
            <w:pPr>
              <w:spacing w:line="360" w:lineRule="auto"/>
              <w:ind w:firstLine="480" w:firstLineChars="200"/>
              <w:rPr>
                <w:color w:val="FF0000"/>
                <w:sz w:val="24"/>
                <w:u w:val="single"/>
              </w:rPr>
            </w:pPr>
          </w:p>
          <w:p>
            <w:pPr>
              <w:spacing w:line="360" w:lineRule="auto"/>
              <w:rPr>
                <w:color w:val="FF0000"/>
                <w:sz w:val="24"/>
              </w:rPr>
            </w:pPr>
          </w:p>
        </w:tc>
      </w:tr>
    </w:tbl>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eastAsia="黑体"/>
          <w:sz w:val="32"/>
        </w:rPr>
      </w:pPr>
      <w:r>
        <w:rPr>
          <w:rFonts w:hint="eastAsia" w:ascii="宋体" w:hAnsi="宋体" w:cs="宋体"/>
          <w:b/>
          <w:bCs/>
          <w:sz w:val="28"/>
          <w:szCs w:val="28"/>
        </w:rPr>
        <w:t>表八、建设项目拟采取的防治措施及预期治理效果</w:t>
      </w:r>
    </w:p>
    <w:tbl>
      <w:tblPr>
        <w:tblStyle w:val="28"/>
        <w:tblW w:w="8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618"/>
        <w:gridCol w:w="1058"/>
        <w:gridCol w:w="1358"/>
        <w:gridCol w:w="2920"/>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1" w:type="dxa"/>
            <w:gridSpan w:val="2"/>
            <w:tcBorders>
              <w:top w:val="single" w:color="auto" w:sz="12" w:space="0"/>
              <w:left w:val="single" w:color="auto" w:sz="12" w:space="0"/>
              <w:tl2br w:val="single" w:color="auto" w:sz="4" w:space="0"/>
            </w:tcBorders>
            <w:vAlign w:val="center"/>
          </w:tcPr>
          <w:p>
            <w:pPr>
              <w:jc w:val="right"/>
              <w:rPr>
                <w:szCs w:val="21"/>
              </w:rPr>
            </w:pPr>
            <w:r>
              <w:rPr>
                <w:szCs w:val="21"/>
              </w:rPr>
              <w:t>内容</w:t>
            </w:r>
          </w:p>
          <w:p>
            <w:pPr>
              <w:rPr>
                <w:szCs w:val="21"/>
              </w:rPr>
            </w:pPr>
            <w:r>
              <w:rPr>
                <w:szCs w:val="21"/>
              </w:rPr>
              <w:t>类型</w:t>
            </w:r>
          </w:p>
        </w:tc>
        <w:tc>
          <w:tcPr>
            <w:tcW w:w="1058" w:type="dxa"/>
            <w:tcBorders>
              <w:top w:val="single" w:color="auto" w:sz="12" w:space="0"/>
            </w:tcBorders>
            <w:vAlign w:val="center"/>
          </w:tcPr>
          <w:p>
            <w:pPr>
              <w:spacing w:line="360" w:lineRule="auto"/>
              <w:jc w:val="center"/>
              <w:rPr>
                <w:szCs w:val="21"/>
              </w:rPr>
            </w:pPr>
            <w:r>
              <w:rPr>
                <w:szCs w:val="21"/>
              </w:rPr>
              <w:t>排放源</w:t>
            </w:r>
          </w:p>
          <w:p>
            <w:pPr>
              <w:spacing w:line="360" w:lineRule="auto"/>
              <w:jc w:val="center"/>
              <w:rPr>
                <w:szCs w:val="21"/>
              </w:rPr>
            </w:pPr>
            <w:r>
              <w:rPr>
                <w:szCs w:val="21"/>
              </w:rPr>
              <w:t>(编号)</w:t>
            </w:r>
          </w:p>
        </w:tc>
        <w:tc>
          <w:tcPr>
            <w:tcW w:w="1358" w:type="dxa"/>
            <w:tcBorders>
              <w:top w:val="single" w:color="auto" w:sz="12" w:space="0"/>
            </w:tcBorders>
            <w:vAlign w:val="center"/>
          </w:tcPr>
          <w:p>
            <w:pPr>
              <w:spacing w:line="360" w:lineRule="auto"/>
              <w:jc w:val="center"/>
              <w:rPr>
                <w:szCs w:val="21"/>
              </w:rPr>
            </w:pPr>
            <w:r>
              <w:rPr>
                <w:szCs w:val="21"/>
              </w:rPr>
              <w:t>污染物</w:t>
            </w:r>
          </w:p>
          <w:p>
            <w:pPr>
              <w:spacing w:line="360" w:lineRule="auto"/>
              <w:jc w:val="center"/>
              <w:rPr>
                <w:szCs w:val="21"/>
              </w:rPr>
            </w:pPr>
            <w:r>
              <w:rPr>
                <w:szCs w:val="21"/>
              </w:rPr>
              <w:t>名称</w:t>
            </w:r>
          </w:p>
        </w:tc>
        <w:tc>
          <w:tcPr>
            <w:tcW w:w="2920" w:type="dxa"/>
            <w:tcBorders>
              <w:top w:val="single" w:color="auto" w:sz="12" w:space="0"/>
            </w:tcBorders>
            <w:vAlign w:val="center"/>
          </w:tcPr>
          <w:p>
            <w:pPr>
              <w:pStyle w:val="84"/>
              <w:spacing w:line="360" w:lineRule="auto"/>
              <w:rPr>
                <w:snapToGrid w:val="0"/>
                <w:kern w:val="21"/>
                <w:szCs w:val="21"/>
              </w:rPr>
            </w:pPr>
            <w:r>
              <w:rPr>
                <w:snapToGrid w:val="0"/>
                <w:kern w:val="21"/>
                <w:szCs w:val="21"/>
              </w:rPr>
              <w:t>防治措施</w:t>
            </w:r>
          </w:p>
        </w:tc>
        <w:tc>
          <w:tcPr>
            <w:tcW w:w="2396" w:type="dxa"/>
            <w:tcBorders>
              <w:top w:val="single" w:color="auto" w:sz="12" w:space="0"/>
              <w:right w:val="single" w:color="auto" w:sz="12" w:space="0"/>
            </w:tcBorders>
            <w:vAlign w:val="center"/>
          </w:tcPr>
          <w:p>
            <w:pPr>
              <w:pStyle w:val="84"/>
              <w:spacing w:line="360" w:lineRule="auto"/>
              <w:rPr>
                <w:snapToGrid w:val="0"/>
                <w:kern w:val="21"/>
                <w:szCs w:val="21"/>
              </w:rPr>
            </w:pPr>
            <w:r>
              <w:rPr>
                <w:snapToGrid w:val="0"/>
                <w:kern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453" w:type="dxa"/>
            <w:vMerge w:val="restart"/>
            <w:tcBorders>
              <w:left w:val="single" w:color="auto" w:sz="12" w:space="0"/>
              <w:right w:val="single" w:color="auto" w:sz="4" w:space="0"/>
            </w:tcBorders>
            <w:vAlign w:val="center"/>
          </w:tcPr>
          <w:p>
            <w:pPr>
              <w:jc w:val="center"/>
              <w:rPr>
                <w:szCs w:val="21"/>
              </w:rPr>
            </w:pPr>
            <w:r>
              <w:rPr>
                <w:rFonts w:hint="eastAsia"/>
                <w:szCs w:val="21"/>
              </w:rPr>
              <w:t>营运期</w:t>
            </w:r>
          </w:p>
        </w:tc>
        <w:tc>
          <w:tcPr>
            <w:tcW w:w="618" w:type="dxa"/>
            <w:vMerge w:val="restart"/>
            <w:tcBorders>
              <w:left w:val="single" w:color="auto" w:sz="4" w:space="0"/>
            </w:tcBorders>
            <w:vAlign w:val="center"/>
          </w:tcPr>
          <w:p>
            <w:pPr>
              <w:jc w:val="center"/>
              <w:rPr>
                <w:szCs w:val="21"/>
              </w:rPr>
            </w:pPr>
            <w:r>
              <w:rPr>
                <w:rFonts w:hint="eastAsia"/>
                <w:szCs w:val="21"/>
              </w:rPr>
              <w:t>大气污染物</w:t>
            </w:r>
          </w:p>
        </w:tc>
        <w:tc>
          <w:tcPr>
            <w:tcW w:w="1058" w:type="dxa"/>
            <w:tcBorders>
              <w:right w:val="single" w:color="000000" w:sz="4" w:space="0"/>
            </w:tcBorders>
            <w:vAlign w:val="center"/>
          </w:tcPr>
          <w:p>
            <w:pPr>
              <w:spacing w:line="360" w:lineRule="auto"/>
              <w:jc w:val="center"/>
              <w:rPr>
                <w:szCs w:val="21"/>
              </w:rPr>
            </w:pPr>
            <w:r>
              <w:rPr>
                <w:rFonts w:hint="eastAsia"/>
              </w:rPr>
              <w:t>砂石装卸量</w:t>
            </w:r>
          </w:p>
        </w:tc>
        <w:tc>
          <w:tcPr>
            <w:tcW w:w="1358" w:type="dxa"/>
            <w:tcBorders>
              <w:left w:val="single" w:color="000000" w:sz="4" w:space="0"/>
              <w:right w:val="single" w:color="000000" w:sz="4" w:space="0"/>
            </w:tcBorders>
            <w:vAlign w:val="center"/>
          </w:tcPr>
          <w:p>
            <w:pPr>
              <w:spacing w:line="360" w:lineRule="auto"/>
              <w:jc w:val="center"/>
              <w:rPr>
                <w:szCs w:val="21"/>
              </w:rPr>
            </w:pPr>
            <w:r>
              <w:rPr>
                <w:rFonts w:hint="eastAsia"/>
                <w:szCs w:val="21"/>
              </w:rPr>
              <w:t>粉尘</w:t>
            </w:r>
          </w:p>
        </w:tc>
        <w:tc>
          <w:tcPr>
            <w:tcW w:w="2920" w:type="dxa"/>
            <w:tcBorders>
              <w:left w:val="single" w:color="000000" w:sz="4" w:space="0"/>
              <w:right w:val="single" w:color="000000" w:sz="4" w:space="0"/>
            </w:tcBorders>
            <w:vAlign w:val="center"/>
          </w:tcPr>
          <w:p>
            <w:pPr>
              <w:spacing w:line="360" w:lineRule="auto"/>
              <w:jc w:val="center"/>
              <w:rPr>
                <w:szCs w:val="21"/>
              </w:rPr>
            </w:pPr>
            <w:r>
              <w:rPr>
                <w:rFonts w:hint="eastAsia" w:hAnsi="宋体"/>
                <w:szCs w:val="21"/>
              </w:rPr>
              <w:t>洒水降尘、密闭厂房</w:t>
            </w:r>
          </w:p>
        </w:tc>
        <w:tc>
          <w:tcPr>
            <w:tcW w:w="2396" w:type="dxa"/>
            <w:vMerge w:val="restart"/>
            <w:tcBorders>
              <w:left w:val="single" w:color="000000" w:sz="4" w:space="0"/>
              <w:right w:val="single" w:color="auto" w:sz="12" w:space="0"/>
            </w:tcBorders>
            <w:vAlign w:val="center"/>
          </w:tcPr>
          <w:p>
            <w:pPr>
              <w:spacing w:line="360" w:lineRule="auto"/>
              <w:jc w:val="center"/>
              <w:rPr>
                <w:szCs w:val="21"/>
              </w:rPr>
            </w:pPr>
            <w:r>
              <w:rPr>
                <w:rFonts w:hint="eastAsia" w:ascii="宋体" w:hAnsi="宋体"/>
                <w:szCs w:val="21"/>
              </w:rPr>
              <w:t>《大气污染物综合排放标准》（GB16297-1996）中无组织排放周界外浓度最高限值要求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vMerge w:val="continue"/>
            <w:tcBorders>
              <w:left w:val="single" w:color="auto" w:sz="4" w:space="0"/>
            </w:tcBorders>
            <w:vAlign w:val="center"/>
          </w:tcPr>
          <w:p>
            <w:pPr>
              <w:jc w:val="center"/>
              <w:rPr>
                <w:szCs w:val="21"/>
              </w:rPr>
            </w:pPr>
          </w:p>
        </w:tc>
        <w:tc>
          <w:tcPr>
            <w:tcW w:w="1058" w:type="dxa"/>
            <w:tcBorders>
              <w:right w:val="single" w:color="000000" w:sz="4" w:space="0"/>
            </w:tcBorders>
            <w:vAlign w:val="center"/>
          </w:tcPr>
          <w:p>
            <w:pPr>
              <w:jc w:val="center"/>
              <w:rPr>
                <w:szCs w:val="21"/>
              </w:rPr>
            </w:pPr>
            <w:r>
              <w:rPr>
                <w:rFonts w:hint="eastAsia"/>
                <w:szCs w:val="21"/>
              </w:rPr>
              <w:t>破碎、筛分</w:t>
            </w:r>
          </w:p>
        </w:tc>
        <w:tc>
          <w:tcPr>
            <w:tcW w:w="1358" w:type="dxa"/>
            <w:tcBorders>
              <w:left w:val="single" w:color="000000" w:sz="4" w:space="0"/>
              <w:right w:val="single" w:color="000000" w:sz="4" w:space="0"/>
            </w:tcBorders>
            <w:vAlign w:val="center"/>
          </w:tcPr>
          <w:p>
            <w:pPr>
              <w:jc w:val="center"/>
              <w:rPr>
                <w:szCs w:val="21"/>
              </w:rPr>
            </w:pPr>
            <w:r>
              <w:rPr>
                <w:rFonts w:hint="eastAsia" w:hAnsi="宋体"/>
                <w:szCs w:val="21"/>
              </w:rPr>
              <w:t>粉尘</w:t>
            </w:r>
          </w:p>
        </w:tc>
        <w:tc>
          <w:tcPr>
            <w:tcW w:w="2920" w:type="dxa"/>
            <w:tcBorders>
              <w:left w:val="single" w:color="000000" w:sz="4" w:space="0"/>
              <w:right w:val="single" w:color="000000" w:sz="4" w:space="0"/>
            </w:tcBorders>
            <w:vAlign w:val="center"/>
          </w:tcPr>
          <w:p>
            <w:pPr>
              <w:jc w:val="center"/>
              <w:rPr>
                <w:szCs w:val="21"/>
              </w:rPr>
            </w:pPr>
            <w:r>
              <w:rPr>
                <w:rFonts w:hint="eastAsia" w:hAnsi="宋体"/>
                <w:szCs w:val="21"/>
              </w:rPr>
              <w:t>密闭厂房+湿式作业+喷淋除尘、加强通风</w:t>
            </w:r>
          </w:p>
        </w:tc>
        <w:tc>
          <w:tcPr>
            <w:tcW w:w="2396" w:type="dxa"/>
            <w:vMerge w:val="continue"/>
            <w:tcBorders>
              <w:left w:val="single" w:color="000000"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vMerge w:val="continue"/>
            <w:tcBorders>
              <w:left w:val="single" w:color="auto" w:sz="4" w:space="0"/>
            </w:tcBorders>
            <w:vAlign w:val="center"/>
          </w:tcPr>
          <w:p>
            <w:pPr>
              <w:jc w:val="center"/>
              <w:rPr>
                <w:szCs w:val="21"/>
              </w:rPr>
            </w:pPr>
          </w:p>
        </w:tc>
        <w:tc>
          <w:tcPr>
            <w:tcW w:w="1058" w:type="dxa"/>
            <w:tcBorders>
              <w:right w:val="single" w:color="000000" w:sz="4" w:space="0"/>
            </w:tcBorders>
            <w:vAlign w:val="center"/>
          </w:tcPr>
          <w:p>
            <w:pPr>
              <w:jc w:val="center"/>
              <w:rPr>
                <w:szCs w:val="21"/>
              </w:rPr>
            </w:pPr>
            <w:r>
              <w:rPr>
                <w:rFonts w:hint="eastAsia"/>
                <w:szCs w:val="21"/>
              </w:rPr>
              <w:t>运输扬尘</w:t>
            </w:r>
          </w:p>
        </w:tc>
        <w:tc>
          <w:tcPr>
            <w:tcW w:w="1358" w:type="dxa"/>
            <w:tcBorders>
              <w:left w:val="single" w:color="000000" w:sz="4" w:space="0"/>
              <w:right w:val="single" w:color="000000" w:sz="4" w:space="0"/>
            </w:tcBorders>
            <w:vAlign w:val="center"/>
          </w:tcPr>
          <w:p>
            <w:pPr>
              <w:jc w:val="center"/>
              <w:rPr>
                <w:szCs w:val="21"/>
              </w:rPr>
            </w:pPr>
            <w:r>
              <w:rPr>
                <w:rFonts w:hint="eastAsia" w:hAnsi="宋体"/>
                <w:szCs w:val="21"/>
              </w:rPr>
              <w:t>粉尘</w:t>
            </w:r>
          </w:p>
        </w:tc>
        <w:tc>
          <w:tcPr>
            <w:tcW w:w="2920" w:type="dxa"/>
            <w:tcBorders>
              <w:left w:val="single" w:color="000000" w:sz="4" w:space="0"/>
              <w:right w:val="single" w:color="000000" w:sz="4" w:space="0"/>
            </w:tcBorders>
            <w:vAlign w:val="center"/>
          </w:tcPr>
          <w:p>
            <w:pPr>
              <w:jc w:val="center"/>
              <w:rPr>
                <w:szCs w:val="21"/>
              </w:rPr>
            </w:pPr>
            <w:r>
              <w:rPr>
                <w:rFonts w:hint="eastAsia"/>
                <w:szCs w:val="21"/>
              </w:rPr>
              <w:t>洒水降尘</w:t>
            </w:r>
          </w:p>
        </w:tc>
        <w:tc>
          <w:tcPr>
            <w:tcW w:w="2396" w:type="dxa"/>
            <w:vMerge w:val="continue"/>
            <w:tcBorders>
              <w:left w:val="single" w:color="000000"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vMerge w:val="continue"/>
            <w:tcBorders>
              <w:left w:val="single" w:color="auto" w:sz="4" w:space="0"/>
            </w:tcBorders>
            <w:vAlign w:val="center"/>
          </w:tcPr>
          <w:p>
            <w:pPr>
              <w:jc w:val="center"/>
              <w:rPr>
                <w:szCs w:val="21"/>
              </w:rPr>
            </w:pPr>
          </w:p>
        </w:tc>
        <w:tc>
          <w:tcPr>
            <w:tcW w:w="1058" w:type="dxa"/>
            <w:tcBorders>
              <w:right w:val="single" w:color="000000" w:sz="4" w:space="0"/>
            </w:tcBorders>
            <w:vAlign w:val="center"/>
          </w:tcPr>
          <w:p>
            <w:pPr>
              <w:jc w:val="center"/>
              <w:rPr>
                <w:rFonts w:hAnsi="宋体"/>
                <w:szCs w:val="21"/>
              </w:rPr>
            </w:pPr>
            <w:r>
              <w:rPr>
                <w:rFonts w:hint="eastAsia"/>
              </w:rPr>
              <w:t>食堂油烟废气</w:t>
            </w:r>
          </w:p>
        </w:tc>
        <w:tc>
          <w:tcPr>
            <w:tcW w:w="1358" w:type="dxa"/>
            <w:tcBorders>
              <w:left w:val="single" w:color="000000" w:sz="4" w:space="0"/>
              <w:right w:val="single" w:color="000000" w:sz="4" w:space="0"/>
            </w:tcBorders>
            <w:vAlign w:val="center"/>
          </w:tcPr>
          <w:p>
            <w:pPr>
              <w:spacing w:line="360" w:lineRule="auto"/>
              <w:jc w:val="center"/>
              <w:rPr>
                <w:szCs w:val="21"/>
              </w:rPr>
            </w:pPr>
            <w:r>
              <w:rPr>
                <w:rFonts w:hint="eastAsia"/>
                <w:szCs w:val="21"/>
              </w:rPr>
              <w:t>油烟</w:t>
            </w:r>
          </w:p>
        </w:tc>
        <w:tc>
          <w:tcPr>
            <w:tcW w:w="2920" w:type="dxa"/>
            <w:tcBorders>
              <w:left w:val="single" w:color="000000" w:sz="4" w:space="0"/>
              <w:right w:val="single" w:color="000000" w:sz="4" w:space="0"/>
            </w:tcBorders>
            <w:vAlign w:val="center"/>
          </w:tcPr>
          <w:p>
            <w:pPr>
              <w:spacing w:line="360" w:lineRule="auto"/>
              <w:jc w:val="center"/>
              <w:rPr>
                <w:rFonts w:ascii="宋体" w:hAnsi="宋体"/>
                <w:szCs w:val="21"/>
              </w:rPr>
            </w:pPr>
            <w:r>
              <w:rPr>
                <w:rFonts w:hint="eastAsia"/>
                <w:szCs w:val="21"/>
              </w:rPr>
              <w:t>油烟净化器处理后通过15m排气筒排放</w:t>
            </w:r>
          </w:p>
        </w:tc>
        <w:tc>
          <w:tcPr>
            <w:tcW w:w="2396" w:type="dxa"/>
            <w:tcBorders>
              <w:left w:val="single" w:color="000000" w:sz="4" w:space="0"/>
              <w:right w:val="single" w:color="auto" w:sz="12" w:space="0"/>
            </w:tcBorders>
            <w:vAlign w:val="center"/>
          </w:tcPr>
          <w:p>
            <w:pPr>
              <w:jc w:val="center"/>
              <w:rPr>
                <w:szCs w:val="21"/>
              </w:rPr>
            </w:pPr>
            <w:r>
              <w:rPr>
                <w:rFonts w:hint="eastAsia"/>
                <w:szCs w:val="21"/>
              </w:rPr>
              <w:t>《饮食业油烟排放标准》 （试行）（GB18483-2001）中要求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vMerge w:val="restart"/>
            <w:tcBorders>
              <w:left w:val="single" w:color="auto" w:sz="4" w:space="0"/>
            </w:tcBorders>
            <w:vAlign w:val="center"/>
          </w:tcPr>
          <w:p>
            <w:pPr>
              <w:jc w:val="center"/>
              <w:rPr>
                <w:szCs w:val="21"/>
              </w:rPr>
            </w:pPr>
            <w:r>
              <w:rPr>
                <w:rFonts w:hint="eastAsia"/>
                <w:szCs w:val="21"/>
              </w:rPr>
              <w:t>水污</w:t>
            </w:r>
          </w:p>
          <w:p>
            <w:pPr>
              <w:jc w:val="center"/>
              <w:rPr>
                <w:szCs w:val="21"/>
              </w:rPr>
            </w:pPr>
            <w:r>
              <w:rPr>
                <w:rFonts w:hint="eastAsia"/>
                <w:szCs w:val="21"/>
              </w:rPr>
              <w:t>染物</w:t>
            </w:r>
          </w:p>
        </w:tc>
        <w:tc>
          <w:tcPr>
            <w:tcW w:w="1058" w:type="dxa"/>
            <w:tcBorders>
              <w:right w:val="single" w:color="000000" w:sz="4" w:space="0"/>
            </w:tcBorders>
            <w:vAlign w:val="center"/>
          </w:tcPr>
          <w:p>
            <w:pPr>
              <w:spacing w:line="360" w:lineRule="auto"/>
              <w:jc w:val="center"/>
              <w:rPr>
                <w:szCs w:val="21"/>
              </w:rPr>
            </w:pPr>
            <w:r>
              <w:rPr>
                <w:rFonts w:hint="eastAsia"/>
                <w:szCs w:val="21"/>
              </w:rPr>
              <w:t>生活废水</w:t>
            </w:r>
          </w:p>
        </w:tc>
        <w:tc>
          <w:tcPr>
            <w:tcW w:w="1358" w:type="dxa"/>
            <w:tcBorders>
              <w:left w:val="single" w:color="000000" w:sz="4" w:space="0"/>
              <w:right w:val="single" w:color="000000" w:sz="4" w:space="0"/>
            </w:tcBorders>
            <w:vAlign w:val="center"/>
          </w:tcPr>
          <w:p>
            <w:pPr>
              <w:spacing w:line="360" w:lineRule="auto"/>
              <w:jc w:val="center"/>
              <w:rPr>
                <w:szCs w:val="21"/>
              </w:rPr>
            </w:pPr>
            <w:r>
              <w:rPr>
                <w:szCs w:val="21"/>
              </w:rPr>
              <w:t>CODcr、</w:t>
            </w:r>
          </w:p>
          <w:p>
            <w:pPr>
              <w:spacing w:line="360" w:lineRule="auto"/>
              <w:jc w:val="center"/>
              <w:rPr>
                <w:szCs w:val="21"/>
              </w:rPr>
            </w:pPr>
            <w:r>
              <w:rPr>
                <w:szCs w:val="21"/>
              </w:rPr>
              <w:t>BOD</w:t>
            </w:r>
            <w:r>
              <w:rPr>
                <w:szCs w:val="21"/>
                <w:vertAlign w:val="subscript"/>
              </w:rPr>
              <w:t>5</w:t>
            </w:r>
            <w:r>
              <w:rPr>
                <w:szCs w:val="21"/>
              </w:rPr>
              <w:t>、SS</w:t>
            </w:r>
            <w:r>
              <w:rPr>
                <w:rFonts w:hint="eastAsia"/>
                <w:szCs w:val="21"/>
              </w:rPr>
              <w:t>、氨氮</w:t>
            </w:r>
          </w:p>
        </w:tc>
        <w:tc>
          <w:tcPr>
            <w:tcW w:w="2920" w:type="dxa"/>
            <w:tcBorders>
              <w:left w:val="single" w:color="000000" w:sz="4" w:space="0"/>
              <w:right w:val="single" w:color="000000" w:sz="4" w:space="0"/>
            </w:tcBorders>
            <w:vAlign w:val="center"/>
          </w:tcPr>
          <w:p>
            <w:pPr>
              <w:spacing w:line="360" w:lineRule="auto"/>
              <w:jc w:val="center"/>
              <w:rPr>
                <w:rFonts w:hAnsi="宋体"/>
                <w:szCs w:val="21"/>
              </w:rPr>
            </w:pPr>
            <w:r>
              <w:rPr>
                <w:rFonts w:hint="eastAsia" w:hAnsi="宋体"/>
                <w:szCs w:val="21"/>
              </w:rPr>
              <w:t>生活废水经隔油池化粪池处理后用于周边农田及植被绿化施肥</w:t>
            </w:r>
          </w:p>
        </w:tc>
        <w:tc>
          <w:tcPr>
            <w:tcW w:w="2396" w:type="dxa"/>
            <w:tcBorders>
              <w:left w:val="single" w:color="000000" w:sz="4" w:space="0"/>
              <w:right w:val="single" w:color="auto" w:sz="12" w:space="0"/>
            </w:tcBorders>
            <w:vAlign w:val="center"/>
          </w:tcPr>
          <w:p>
            <w:pPr>
              <w:spacing w:line="360" w:lineRule="auto"/>
              <w:jc w:val="center"/>
              <w:rPr>
                <w:rFonts w:hAnsi="宋体"/>
                <w:szCs w:val="21"/>
              </w:rPr>
            </w:pPr>
            <w:r>
              <w:rPr>
                <w:rFonts w:hint="eastAsia" w:hAnsi="宋体"/>
                <w:szCs w:val="21"/>
              </w:rPr>
              <w:t>不外排，对环境影响较小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vMerge w:val="continue"/>
            <w:tcBorders>
              <w:left w:val="single" w:color="auto" w:sz="4" w:space="0"/>
            </w:tcBorders>
            <w:vAlign w:val="center"/>
          </w:tcPr>
          <w:p>
            <w:pPr>
              <w:jc w:val="center"/>
              <w:rPr>
                <w:szCs w:val="21"/>
              </w:rPr>
            </w:pPr>
          </w:p>
        </w:tc>
        <w:tc>
          <w:tcPr>
            <w:tcW w:w="1058" w:type="dxa"/>
            <w:tcBorders>
              <w:right w:val="single" w:color="000000" w:sz="4" w:space="0"/>
            </w:tcBorders>
            <w:vAlign w:val="center"/>
          </w:tcPr>
          <w:p>
            <w:pPr>
              <w:spacing w:line="360" w:lineRule="auto"/>
              <w:jc w:val="center"/>
              <w:rPr>
                <w:szCs w:val="21"/>
              </w:rPr>
            </w:pPr>
            <w:r>
              <w:rPr>
                <w:rFonts w:hint="eastAsia"/>
                <w:szCs w:val="21"/>
              </w:rPr>
              <w:t>洗砂废水</w:t>
            </w:r>
          </w:p>
        </w:tc>
        <w:tc>
          <w:tcPr>
            <w:tcW w:w="1358" w:type="dxa"/>
            <w:tcBorders>
              <w:left w:val="single" w:color="000000" w:sz="4" w:space="0"/>
              <w:right w:val="single" w:color="000000" w:sz="4" w:space="0"/>
            </w:tcBorders>
            <w:vAlign w:val="center"/>
          </w:tcPr>
          <w:p>
            <w:pPr>
              <w:spacing w:line="360" w:lineRule="auto"/>
              <w:jc w:val="center"/>
              <w:rPr>
                <w:szCs w:val="21"/>
              </w:rPr>
            </w:pPr>
            <w:r>
              <w:rPr>
                <w:rFonts w:hint="eastAsia"/>
                <w:szCs w:val="21"/>
              </w:rPr>
              <w:t>SS</w:t>
            </w:r>
          </w:p>
        </w:tc>
        <w:tc>
          <w:tcPr>
            <w:tcW w:w="2920" w:type="dxa"/>
            <w:tcBorders>
              <w:left w:val="single" w:color="000000" w:sz="4" w:space="0"/>
              <w:right w:val="single" w:color="000000" w:sz="4" w:space="0"/>
            </w:tcBorders>
            <w:vAlign w:val="center"/>
          </w:tcPr>
          <w:p>
            <w:pPr>
              <w:spacing w:line="360" w:lineRule="auto"/>
              <w:jc w:val="center"/>
              <w:rPr>
                <w:rFonts w:hAnsi="宋体"/>
                <w:szCs w:val="21"/>
              </w:rPr>
            </w:pPr>
            <w:r>
              <w:rPr>
                <w:rFonts w:hint="eastAsia" w:hAnsi="宋体"/>
                <w:szCs w:val="21"/>
              </w:rPr>
              <w:t>经</w:t>
            </w:r>
            <w:r>
              <w:rPr>
                <w:rFonts w:hint="eastAsia" w:hAnsi="宋体"/>
                <w:szCs w:val="21"/>
                <w:lang w:eastAsia="zh-CN"/>
              </w:rPr>
              <w:t>循环水塔</w:t>
            </w:r>
            <w:r>
              <w:rPr>
                <w:rFonts w:hint="eastAsia" w:hAnsi="宋体"/>
                <w:szCs w:val="21"/>
              </w:rPr>
              <w:t>循环</w:t>
            </w:r>
            <w:r>
              <w:rPr>
                <w:rFonts w:hint="eastAsia" w:hAnsi="宋体"/>
                <w:szCs w:val="21"/>
                <w:lang w:eastAsia="zh-CN"/>
              </w:rPr>
              <w:t>后</w:t>
            </w:r>
            <w:r>
              <w:rPr>
                <w:rFonts w:hint="eastAsia" w:hAnsi="宋体"/>
                <w:szCs w:val="21"/>
              </w:rPr>
              <w:t>利用</w:t>
            </w:r>
          </w:p>
        </w:tc>
        <w:tc>
          <w:tcPr>
            <w:tcW w:w="2396" w:type="dxa"/>
            <w:tcBorders>
              <w:left w:val="single" w:color="000000" w:sz="4" w:space="0"/>
              <w:right w:val="single" w:color="auto" w:sz="12" w:space="0"/>
            </w:tcBorders>
            <w:vAlign w:val="center"/>
          </w:tcPr>
          <w:p>
            <w:pPr>
              <w:spacing w:line="360" w:lineRule="auto"/>
              <w:jc w:val="center"/>
              <w:rPr>
                <w:rFonts w:hAnsi="宋体"/>
                <w:szCs w:val="21"/>
              </w:rPr>
            </w:pPr>
            <w:r>
              <w:rPr>
                <w:rFonts w:hint="eastAsia" w:hAnsi="宋体"/>
                <w:szCs w:val="21"/>
              </w:rPr>
              <w:t>不外排，对环境影响较小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vMerge w:val="restart"/>
            <w:tcBorders>
              <w:left w:val="single" w:color="auto" w:sz="4" w:space="0"/>
            </w:tcBorders>
            <w:vAlign w:val="center"/>
          </w:tcPr>
          <w:p>
            <w:pPr>
              <w:jc w:val="center"/>
              <w:rPr>
                <w:szCs w:val="21"/>
              </w:rPr>
            </w:pPr>
            <w:r>
              <w:rPr>
                <w:rFonts w:hint="eastAsia"/>
                <w:szCs w:val="21"/>
              </w:rPr>
              <w:t>固体废物</w:t>
            </w:r>
          </w:p>
        </w:tc>
        <w:tc>
          <w:tcPr>
            <w:tcW w:w="1058" w:type="dxa"/>
            <w:vMerge w:val="restart"/>
            <w:tcBorders>
              <w:right w:val="single" w:color="000000" w:sz="4" w:space="0"/>
            </w:tcBorders>
            <w:vAlign w:val="center"/>
          </w:tcPr>
          <w:p>
            <w:pPr>
              <w:jc w:val="center"/>
            </w:pPr>
            <w:r>
              <w:rPr>
                <w:rFonts w:hint="eastAsia"/>
              </w:rPr>
              <w:t>沉淀池泥沙</w:t>
            </w:r>
          </w:p>
        </w:tc>
        <w:tc>
          <w:tcPr>
            <w:tcW w:w="1358" w:type="dxa"/>
            <w:tcBorders>
              <w:left w:val="single" w:color="000000" w:sz="4" w:space="0"/>
              <w:right w:val="single" w:color="000000" w:sz="4" w:space="0"/>
            </w:tcBorders>
            <w:vAlign w:val="center"/>
          </w:tcPr>
          <w:p>
            <w:pPr>
              <w:jc w:val="center"/>
            </w:pPr>
            <w:r>
              <w:rPr>
                <w:rFonts w:hint="eastAsia"/>
              </w:rPr>
              <w:t>洗砂泥沙</w:t>
            </w:r>
          </w:p>
        </w:tc>
        <w:tc>
          <w:tcPr>
            <w:tcW w:w="2920" w:type="dxa"/>
            <w:vMerge w:val="restart"/>
            <w:tcBorders>
              <w:left w:val="single" w:color="000000" w:sz="4" w:space="0"/>
              <w:right w:val="single" w:color="000000" w:sz="4" w:space="0"/>
            </w:tcBorders>
            <w:vAlign w:val="center"/>
          </w:tcPr>
          <w:p>
            <w:pPr>
              <w:jc w:val="center"/>
              <w:rPr>
                <w:rFonts w:hAnsi="宋体"/>
                <w:szCs w:val="21"/>
              </w:rPr>
            </w:pPr>
            <w:r>
              <w:rPr>
                <w:rFonts w:hint="eastAsia" w:hAnsi="宋体"/>
                <w:szCs w:val="21"/>
              </w:rPr>
              <w:t>收集暂存后外售给建材厂利用</w:t>
            </w:r>
          </w:p>
        </w:tc>
        <w:tc>
          <w:tcPr>
            <w:tcW w:w="2396" w:type="dxa"/>
            <w:vMerge w:val="restart"/>
            <w:tcBorders>
              <w:left w:val="single" w:color="000000" w:sz="4" w:space="0"/>
              <w:right w:val="single" w:color="auto" w:sz="12" w:space="0"/>
            </w:tcBorders>
            <w:vAlign w:val="center"/>
          </w:tcPr>
          <w:p>
            <w:pPr>
              <w:jc w:val="center"/>
              <w:rPr>
                <w:szCs w:val="21"/>
              </w:rPr>
            </w:pPr>
            <w:r>
              <w:rPr>
                <w:rFonts w:hint="eastAsia"/>
                <w:szCs w:val="21"/>
              </w:rPr>
              <w:t>《</w:t>
            </w:r>
            <w:r>
              <w:fldChar w:fldCharType="begin"/>
            </w:r>
            <w:r>
              <w:instrText xml:space="preserve"> HYPERLINK "http://baike.baidu.com/view/3746065.htm" \t "http://baike.baidu.com/_blank" </w:instrText>
            </w:r>
            <w:r>
              <w:fldChar w:fldCharType="separate"/>
            </w:r>
            <w:r>
              <w:rPr>
                <w:szCs w:val="21"/>
              </w:rPr>
              <w:t>一般工业固体废物贮存、处置场污染控制标准</w:t>
            </w:r>
            <w:r>
              <w:rPr>
                <w:szCs w:val="21"/>
              </w:rPr>
              <w:fldChar w:fldCharType="end"/>
            </w:r>
            <w:r>
              <w:rPr>
                <w:szCs w:val="21"/>
              </w:rPr>
              <w:t>》</w:t>
            </w:r>
            <w:r>
              <w:rPr>
                <w:rFonts w:hint="eastAsia"/>
                <w:szCs w:val="21"/>
              </w:rPr>
              <w:t>（</w:t>
            </w:r>
            <w:r>
              <w:rPr>
                <w:szCs w:val="21"/>
              </w:rPr>
              <w:t>GB18599-2001</w:t>
            </w:r>
            <w:r>
              <w:rPr>
                <w:rFonts w:hint="eastAsia"/>
                <w:szCs w:val="21"/>
              </w:rPr>
              <w:t>）（2013年修订）</w:t>
            </w:r>
            <w:r>
              <w:rPr>
                <w:rFonts w:hAnsi="宋体"/>
                <w:szCs w:val="21"/>
              </w:rPr>
              <w:t>中的相关要求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vMerge w:val="continue"/>
            <w:tcBorders>
              <w:left w:val="single" w:color="auto" w:sz="4" w:space="0"/>
            </w:tcBorders>
            <w:vAlign w:val="center"/>
          </w:tcPr>
          <w:p>
            <w:pPr>
              <w:jc w:val="center"/>
              <w:rPr>
                <w:szCs w:val="21"/>
              </w:rPr>
            </w:pPr>
          </w:p>
        </w:tc>
        <w:tc>
          <w:tcPr>
            <w:tcW w:w="1058" w:type="dxa"/>
            <w:vMerge w:val="continue"/>
            <w:tcBorders>
              <w:right w:val="single" w:color="000000" w:sz="4" w:space="0"/>
            </w:tcBorders>
            <w:vAlign w:val="center"/>
          </w:tcPr>
          <w:p>
            <w:pPr>
              <w:jc w:val="center"/>
            </w:pPr>
          </w:p>
        </w:tc>
        <w:tc>
          <w:tcPr>
            <w:tcW w:w="1358" w:type="dxa"/>
            <w:tcBorders>
              <w:left w:val="single" w:color="000000" w:sz="4" w:space="0"/>
              <w:right w:val="single" w:color="000000" w:sz="4" w:space="0"/>
            </w:tcBorders>
            <w:vAlign w:val="center"/>
          </w:tcPr>
          <w:p>
            <w:pPr>
              <w:spacing w:line="360" w:lineRule="auto"/>
              <w:jc w:val="center"/>
              <w:rPr>
                <w:rFonts w:hAnsi="宋体"/>
                <w:szCs w:val="21"/>
              </w:rPr>
            </w:pPr>
            <w:r>
              <w:rPr>
                <w:rFonts w:hint="eastAsia"/>
                <w:szCs w:val="21"/>
              </w:rPr>
              <w:t>破碎筛分粉尘</w:t>
            </w:r>
          </w:p>
        </w:tc>
        <w:tc>
          <w:tcPr>
            <w:tcW w:w="2920" w:type="dxa"/>
            <w:vMerge w:val="continue"/>
            <w:tcBorders>
              <w:left w:val="single" w:color="000000" w:sz="4" w:space="0"/>
              <w:right w:val="single" w:color="000000" w:sz="4" w:space="0"/>
            </w:tcBorders>
            <w:vAlign w:val="center"/>
          </w:tcPr>
          <w:p>
            <w:pPr>
              <w:jc w:val="center"/>
              <w:rPr>
                <w:rFonts w:hAnsi="宋体"/>
                <w:szCs w:val="21"/>
              </w:rPr>
            </w:pPr>
          </w:p>
        </w:tc>
        <w:tc>
          <w:tcPr>
            <w:tcW w:w="2396" w:type="dxa"/>
            <w:vMerge w:val="continue"/>
            <w:tcBorders>
              <w:left w:val="single" w:color="000000" w:sz="4" w:space="0"/>
              <w:right w:val="single" w:color="auto" w:sz="12" w:space="0"/>
            </w:tcBorders>
            <w:vAlign w:val="center"/>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vMerge w:val="continue"/>
            <w:tcBorders>
              <w:left w:val="single" w:color="auto" w:sz="4" w:space="0"/>
            </w:tcBorders>
            <w:vAlign w:val="center"/>
          </w:tcPr>
          <w:p>
            <w:pPr>
              <w:jc w:val="center"/>
              <w:rPr>
                <w:szCs w:val="21"/>
              </w:rPr>
            </w:pPr>
          </w:p>
        </w:tc>
        <w:tc>
          <w:tcPr>
            <w:tcW w:w="1058" w:type="dxa"/>
            <w:tcBorders>
              <w:right w:val="single" w:color="000000" w:sz="4" w:space="0"/>
            </w:tcBorders>
            <w:vAlign w:val="center"/>
          </w:tcPr>
          <w:p>
            <w:pPr>
              <w:spacing w:line="360" w:lineRule="auto"/>
              <w:jc w:val="center"/>
            </w:pPr>
            <w:r>
              <w:rPr>
                <w:rFonts w:hint="eastAsia"/>
              </w:rPr>
              <w:t>员工生活</w:t>
            </w:r>
          </w:p>
        </w:tc>
        <w:tc>
          <w:tcPr>
            <w:tcW w:w="1358" w:type="dxa"/>
            <w:tcBorders>
              <w:left w:val="single" w:color="000000" w:sz="4" w:space="0"/>
              <w:right w:val="single" w:color="000000" w:sz="4" w:space="0"/>
            </w:tcBorders>
            <w:vAlign w:val="center"/>
          </w:tcPr>
          <w:p>
            <w:pPr>
              <w:spacing w:line="360" w:lineRule="auto"/>
              <w:jc w:val="center"/>
            </w:pPr>
            <w:r>
              <w:rPr>
                <w:rFonts w:hint="eastAsia"/>
              </w:rPr>
              <w:t>生活垃圾</w:t>
            </w:r>
          </w:p>
        </w:tc>
        <w:tc>
          <w:tcPr>
            <w:tcW w:w="2920" w:type="dxa"/>
            <w:tcBorders>
              <w:left w:val="single" w:color="000000" w:sz="4" w:space="0"/>
              <w:right w:val="single" w:color="000000" w:sz="4" w:space="0"/>
            </w:tcBorders>
            <w:vAlign w:val="center"/>
          </w:tcPr>
          <w:p>
            <w:pPr>
              <w:spacing w:line="360" w:lineRule="auto"/>
              <w:jc w:val="center"/>
              <w:rPr>
                <w:rFonts w:hAnsi="宋体"/>
                <w:szCs w:val="21"/>
              </w:rPr>
            </w:pPr>
            <w:r>
              <w:rPr>
                <w:rFonts w:hint="eastAsia" w:hAnsi="宋体"/>
                <w:szCs w:val="21"/>
              </w:rPr>
              <w:t>清运至生活垃圾处理中心</w:t>
            </w:r>
          </w:p>
        </w:tc>
        <w:tc>
          <w:tcPr>
            <w:tcW w:w="2396" w:type="dxa"/>
            <w:vMerge w:val="restart"/>
            <w:tcBorders>
              <w:left w:val="single" w:color="000000" w:sz="4" w:space="0"/>
              <w:right w:val="single" w:color="auto" w:sz="12" w:space="0"/>
            </w:tcBorders>
            <w:vAlign w:val="center"/>
          </w:tcPr>
          <w:p>
            <w:pPr>
              <w:spacing w:line="360" w:lineRule="auto"/>
              <w:jc w:val="center"/>
              <w:rPr>
                <w:szCs w:val="21"/>
              </w:rPr>
            </w:pPr>
            <w:r>
              <w:rPr>
                <w:rFonts w:hint="eastAsia"/>
                <w:szCs w:val="21"/>
              </w:rPr>
              <w:t>不影响环境卫生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vMerge w:val="continue"/>
            <w:tcBorders>
              <w:left w:val="single" w:color="auto" w:sz="4" w:space="0"/>
            </w:tcBorders>
            <w:vAlign w:val="center"/>
          </w:tcPr>
          <w:p>
            <w:pPr>
              <w:jc w:val="center"/>
              <w:rPr>
                <w:szCs w:val="21"/>
              </w:rPr>
            </w:pPr>
          </w:p>
        </w:tc>
        <w:tc>
          <w:tcPr>
            <w:tcW w:w="1058" w:type="dxa"/>
            <w:tcBorders>
              <w:right w:val="single" w:color="000000" w:sz="4" w:space="0"/>
            </w:tcBorders>
            <w:vAlign w:val="center"/>
          </w:tcPr>
          <w:p>
            <w:pPr>
              <w:spacing w:line="360" w:lineRule="auto"/>
              <w:jc w:val="center"/>
            </w:pPr>
            <w:r>
              <w:rPr>
                <w:rFonts w:hint="eastAsia"/>
              </w:rPr>
              <w:t>维修</w:t>
            </w:r>
          </w:p>
        </w:tc>
        <w:tc>
          <w:tcPr>
            <w:tcW w:w="1358" w:type="dxa"/>
            <w:tcBorders>
              <w:left w:val="single" w:color="000000" w:sz="4" w:space="0"/>
              <w:right w:val="single" w:color="000000" w:sz="4" w:space="0"/>
            </w:tcBorders>
            <w:vAlign w:val="center"/>
          </w:tcPr>
          <w:p>
            <w:pPr>
              <w:spacing w:line="360" w:lineRule="auto"/>
              <w:jc w:val="center"/>
            </w:pPr>
            <w:r>
              <w:rPr>
                <w:rFonts w:hint="eastAsia"/>
              </w:rPr>
              <w:t>废机油抹布</w:t>
            </w:r>
          </w:p>
        </w:tc>
        <w:tc>
          <w:tcPr>
            <w:tcW w:w="2920" w:type="dxa"/>
            <w:tcBorders>
              <w:left w:val="single" w:color="000000" w:sz="4" w:space="0"/>
              <w:right w:val="single" w:color="000000" w:sz="4" w:space="0"/>
            </w:tcBorders>
            <w:vAlign w:val="center"/>
          </w:tcPr>
          <w:p>
            <w:pPr>
              <w:spacing w:line="360" w:lineRule="auto"/>
              <w:jc w:val="center"/>
              <w:rPr>
                <w:rFonts w:hAnsi="宋体"/>
                <w:szCs w:val="21"/>
              </w:rPr>
            </w:pPr>
            <w:r>
              <w:rPr>
                <w:rFonts w:hint="eastAsia" w:hAnsi="宋体"/>
                <w:szCs w:val="21"/>
              </w:rPr>
              <w:t>与生活垃圾一起清运至生活垃圾处理中心</w:t>
            </w:r>
          </w:p>
        </w:tc>
        <w:tc>
          <w:tcPr>
            <w:tcW w:w="2396" w:type="dxa"/>
            <w:vMerge w:val="continue"/>
            <w:tcBorders>
              <w:left w:val="single" w:color="000000" w:sz="4" w:space="0"/>
              <w:right w:val="single" w:color="auto" w:sz="12" w:space="0"/>
            </w:tcBorders>
            <w:vAlign w:val="center"/>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 w:type="dxa"/>
            <w:vMerge w:val="continue"/>
            <w:tcBorders>
              <w:left w:val="single" w:color="auto" w:sz="12" w:space="0"/>
              <w:right w:val="single" w:color="auto" w:sz="4" w:space="0"/>
            </w:tcBorders>
            <w:vAlign w:val="center"/>
          </w:tcPr>
          <w:p>
            <w:pPr>
              <w:jc w:val="center"/>
              <w:rPr>
                <w:szCs w:val="21"/>
              </w:rPr>
            </w:pPr>
          </w:p>
        </w:tc>
        <w:tc>
          <w:tcPr>
            <w:tcW w:w="618" w:type="dxa"/>
            <w:tcBorders>
              <w:left w:val="single" w:color="auto" w:sz="4" w:space="0"/>
            </w:tcBorders>
            <w:vAlign w:val="center"/>
          </w:tcPr>
          <w:p>
            <w:pPr>
              <w:jc w:val="center"/>
              <w:rPr>
                <w:szCs w:val="21"/>
              </w:rPr>
            </w:pPr>
            <w:r>
              <w:rPr>
                <w:szCs w:val="21"/>
              </w:rPr>
              <w:t>噪</w:t>
            </w:r>
          </w:p>
          <w:p>
            <w:pPr>
              <w:jc w:val="center"/>
              <w:rPr>
                <w:szCs w:val="21"/>
              </w:rPr>
            </w:pPr>
            <w:r>
              <w:rPr>
                <w:szCs w:val="21"/>
              </w:rPr>
              <w:t>声</w:t>
            </w:r>
          </w:p>
        </w:tc>
        <w:tc>
          <w:tcPr>
            <w:tcW w:w="7732" w:type="dxa"/>
            <w:gridSpan w:val="4"/>
            <w:tcBorders>
              <w:right w:val="single" w:color="auto" w:sz="12" w:space="0"/>
            </w:tcBorders>
            <w:vAlign w:val="center"/>
          </w:tcPr>
          <w:p>
            <w:pPr>
              <w:pStyle w:val="27"/>
              <w:widowControl/>
              <w:overflowPunct/>
              <w:autoSpaceDE/>
              <w:autoSpaceDN/>
              <w:adjustRightInd/>
              <w:ind w:firstLine="420"/>
              <w:jc w:val="left"/>
              <w:rPr>
                <w:sz w:val="21"/>
                <w:szCs w:val="21"/>
              </w:rPr>
            </w:pPr>
            <w:r>
              <w:rPr>
                <w:sz w:val="21"/>
                <w:szCs w:val="21"/>
              </w:rPr>
              <w:t>运营期</w:t>
            </w:r>
            <w:r>
              <w:rPr>
                <w:rFonts w:hint="eastAsia"/>
                <w:sz w:val="21"/>
                <w:szCs w:val="21"/>
              </w:rPr>
              <w:t>厂区设备噪声</w:t>
            </w:r>
            <w:r>
              <w:rPr>
                <w:sz w:val="21"/>
                <w:szCs w:val="21"/>
              </w:rPr>
              <w:t>7</w:t>
            </w:r>
            <w:r>
              <w:rPr>
                <w:rFonts w:hint="eastAsia"/>
                <w:sz w:val="21"/>
                <w:szCs w:val="21"/>
              </w:rPr>
              <w:t>0</w:t>
            </w:r>
            <w:r>
              <w:rPr>
                <w:sz w:val="21"/>
                <w:szCs w:val="21"/>
              </w:rPr>
              <w:t>～</w:t>
            </w:r>
            <w:r>
              <w:rPr>
                <w:rFonts w:hint="eastAsia"/>
                <w:sz w:val="21"/>
                <w:szCs w:val="21"/>
              </w:rPr>
              <w:t>95</w:t>
            </w:r>
            <w:r>
              <w:rPr>
                <w:sz w:val="21"/>
                <w:szCs w:val="21"/>
              </w:rPr>
              <w:t>dB（A），经</w:t>
            </w:r>
            <w:r>
              <w:rPr>
                <w:rFonts w:hint="eastAsia"/>
                <w:sz w:val="21"/>
                <w:szCs w:val="21"/>
              </w:rPr>
              <w:t>隔声减振等</w:t>
            </w:r>
            <w:r>
              <w:rPr>
                <w:sz w:val="21"/>
                <w:szCs w:val="21"/>
              </w:rPr>
              <w:t>环保措施治理，并通过禁止汽车鸣笛，大声喧哗，设置警示标语</w:t>
            </w:r>
            <w:r>
              <w:rPr>
                <w:rFonts w:hint="eastAsia"/>
                <w:sz w:val="21"/>
                <w:szCs w:val="21"/>
              </w:rPr>
              <w:t>，采用低噪音设备</w:t>
            </w:r>
            <w:r>
              <w:rPr>
                <w:sz w:val="21"/>
                <w:szCs w:val="21"/>
              </w:rPr>
              <w:t>等措施，项目边界噪声可达到</w:t>
            </w:r>
            <w:r>
              <w:rPr>
                <w:rFonts w:hint="eastAsia"/>
                <w:sz w:val="21"/>
                <w:szCs w:val="21"/>
              </w:rPr>
              <w:t>《工业企业厂界环境噪声排放标准》（GB12348-2008）2类标准，</w:t>
            </w:r>
            <w:r>
              <w:rPr>
                <w:rFonts w:hint="eastAsia"/>
                <w:kern w:val="2"/>
                <w:sz w:val="21"/>
                <w:szCs w:val="21"/>
              </w:rPr>
              <w:t>，机动车辆采取</w:t>
            </w:r>
            <w:r>
              <w:rPr>
                <w:sz w:val="21"/>
                <w:szCs w:val="21"/>
              </w:rPr>
              <w:t>装有消声器和符合规定的喇叭，并保持性能良好</w:t>
            </w:r>
            <w:r>
              <w:rPr>
                <w:rFonts w:hint="eastAsia"/>
                <w:kern w:val="2"/>
                <w:sz w:val="21"/>
                <w:szCs w:val="21"/>
              </w:rPr>
              <w:t>。通过加强道路的管理维护，声环境质量可达《</w:t>
            </w:r>
            <w:r>
              <w:rPr>
                <w:rFonts w:hAnsi="宋体"/>
                <w:sz w:val="21"/>
                <w:szCs w:val="21"/>
              </w:rPr>
              <w:t>声环境质量标准</w:t>
            </w:r>
            <w:r>
              <w:rPr>
                <w:rFonts w:hint="eastAsia"/>
                <w:sz w:val="21"/>
                <w:szCs w:val="21"/>
              </w:rPr>
              <w:t>》（</w:t>
            </w:r>
            <w:r>
              <w:rPr>
                <w:sz w:val="21"/>
                <w:szCs w:val="21"/>
              </w:rPr>
              <w:t>GB3096-</w:t>
            </w:r>
            <w:r>
              <w:rPr>
                <w:rFonts w:hint="eastAsia"/>
                <w:sz w:val="21"/>
                <w:szCs w:val="21"/>
              </w:rPr>
              <w:t>2008）</w:t>
            </w:r>
            <w:r>
              <w:rPr>
                <w:rFonts w:hint="eastAsia"/>
                <w:kern w:val="2"/>
                <w:sz w:val="21"/>
                <w:szCs w:val="21"/>
              </w:rPr>
              <w:t>中2类标准。因此</w:t>
            </w:r>
            <w:r>
              <w:rPr>
                <w:kern w:val="2"/>
                <w:sz w:val="21"/>
                <w:szCs w:val="21"/>
              </w:rPr>
              <w:t>，本项目运营期</w:t>
            </w:r>
            <w:r>
              <w:rPr>
                <w:rFonts w:hint="eastAsia"/>
                <w:kern w:val="2"/>
                <w:sz w:val="21"/>
                <w:szCs w:val="21"/>
              </w:rPr>
              <w:t>不会</w:t>
            </w:r>
            <w:r>
              <w:rPr>
                <w:kern w:val="2"/>
                <w:sz w:val="21"/>
                <w:szCs w:val="21"/>
              </w:rPr>
              <w:t>对沿线</w:t>
            </w:r>
            <w:r>
              <w:rPr>
                <w:rFonts w:hint="eastAsia"/>
                <w:kern w:val="2"/>
                <w:sz w:val="21"/>
                <w:szCs w:val="21"/>
              </w:rPr>
              <w:t>敏感点产生较</w:t>
            </w:r>
            <w:r>
              <w:rPr>
                <w:rFonts w:hint="eastAsia"/>
                <w:sz w:val="21"/>
                <w:szCs w:val="21"/>
              </w:rPr>
              <w:t>大影响。</w:t>
            </w:r>
          </w:p>
          <w:p>
            <w:pPr>
              <w:spacing w:line="360" w:lineRule="auto"/>
              <w:jc w:val="left"/>
              <w:rPr>
                <w:spacing w:val="-2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03" w:type="dxa"/>
            <w:gridSpan w:val="6"/>
            <w:tcBorders>
              <w:left w:val="single" w:color="auto" w:sz="12" w:space="0"/>
              <w:bottom w:val="single" w:color="auto" w:sz="12" w:space="0"/>
              <w:right w:val="single" w:color="auto" w:sz="12" w:space="0"/>
            </w:tcBorders>
            <w:vAlign w:val="center"/>
          </w:tcPr>
          <w:p>
            <w:pPr>
              <w:spacing w:line="360" w:lineRule="auto"/>
              <w:rPr>
                <w:b/>
                <w:szCs w:val="21"/>
              </w:rPr>
            </w:pPr>
            <w:r>
              <w:rPr>
                <w:b/>
                <w:szCs w:val="21"/>
              </w:rPr>
              <w:t>主要生态影响：</w:t>
            </w:r>
          </w:p>
          <w:p>
            <w:pPr>
              <w:spacing w:line="360" w:lineRule="auto"/>
              <w:ind w:firstLine="420" w:firstLineChars="200"/>
              <w:jc w:val="left"/>
              <w:rPr>
                <w:szCs w:val="22"/>
              </w:rPr>
            </w:pPr>
            <w:r>
              <w:rPr>
                <w:rFonts w:hint="eastAsia"/>
                <w:szCs w:val="22"/>
              </w:rPr>
              <w:t>本项且厂区目前已有厂房及办公楼，路面已得到硬化，本项目只需在现有厂房基础上装修，对生态环境影响较小，且项目原料产品堆场四周设撇洪沟或导水沟。</w:t>
            </w:r>
            <w:r>
              <w:rPr>
                <w:rFonts w:hint="eastAsia"/>
                <w:szCs w:val="22"/>
                <w:lang w:eastAsia="zh-CN"/>
              </w:rPr>
              <w:t>清水池</w:t>
            </w:r>
            <w:r>
              <w:rPr>
                <w:rFonts w:hint="eastAsia"/>
                <w:szCs w:val="22"/>
              </w:rPr>
              <w:t>等规范设置，采取防渗措施。采取以上措施，项目对生态环境影响较小。</w:t>
            </w: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pStyle w:val="2"/>
              <w:rPr>
                <w:color w:val="FF0000"/>
                <w:szCs w:val="21"/>
              </w:rPr>
            </w:pPr>
          </w:p>
          <w:p>
            <w:pPr>
              <w:rPr>
                <w:color w:val="FF0000"/>
                <w:sz w:val="24"/>
              </w:rPr>
            </w:pPr>
          </w:p>
        </w:tc>
      </w:tr>
    </w:tbl>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ascii="宋体" w:hAnsi="宋体" w:cs="宋体"/>
          <w:b/>
          <w:bCs/>
          <w:color w:val="FF0000"/>
          <w:sz w:val="28"/>
          <w:szCs w:val="28"/>
        </w:rPr>
      </w:pPr>
      <w:r>
        <w:rPr>
          <w:rFonts w:hint="eastAsia" w:ascii="宋体" w:hAnsi="宋体" w:cs="宋体"/>
          <w:b/>
          <w:bCs/>
          <w:sz w:val="28"/>
          <w:szCs w:val="28"/>
        </w:rPr>
        <w:t>表九、结论与建议</w:t>
      </w:r>
    </w:p>
    <w:tbl>
      <w:tblPr>
        <w:tblStyle w:val="28"/>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rPr>
          <w:trHeight w:val="12808" w:hRule="atLeast"/>
          <w:jc w:val="center"/>
        </w:trPr>
        <w:tc>
          <w:tcPr>
            <w:tcW w:w="8522" w:type="dxa"/>
          </w:tcPr>
          <w:p>
            <w:pPr>
              <w:spacing w:line="360" w:lineRule="auto"/>
              <w:ind w:left="105" w:right="105" w:rightChars="50"/>
              <w:rPr>
                <w:b/>
                <w:sz w:val="24"/>
              </w:rPr>
            </w:pPr>
            <w:r>
              <w:rPr>
                <w:rFonts w:hint="eastAsia"/>
                <w:b/>
                <w:sz w:val="24"/>
              </w:rPr>
              <w:t>一、</w:t>
            </w:r>
            <w:r>
              <w:rPr>
                <w:b/>
                <w:sz w:val="24"/>
              </w:rPr>
              <w:t>结论：</w:t>
            </w:r>
          </w:p>
          <w:p>
            <w:pPr>
              <w:spacing w:line="360" w:lineRule="auto"/>
              <w:ind w:firstLine="482" w:firstLineChars="200"/>
              <w:rPr>
                <w:b/>
                <w:sz w:val="24"/>
              </w:rPr>
            </w:pPr>
            <w:r>
              <w:rPr>
                <w:rFonts w:hint="eastAsia"/>
                <w:b/>
                <w:sz w:val="24"/>
              </w:rPr>
              <w:t>1、</w:t>
            </w:r>
            <w:r>
              <w:rPr>
                <w:b/>
                <w:sz w:val="24"/>
              </w:rPr>
              <w:t>工程</w:t>
            </w:r>
            <w:r>
              <w:rPr>
                <w:rFonts w:hint="eastAsia"/>
                <w:b/>
                <w:sz w:val="24"/>
              </w:rPr>
              <w:t>概况</w:t>
            </w:r>
          </w:p>
          <w:p>
            <w:pPr>
              <w:widowControl/>
              <w:spacing w:line="360" w:lineRule="auto"/>
              <w:ind w:firstLine="480"/>
              <w:jc w:val="left"/>
              <w:rPr>
                <w:rFonts w:hint="eastAsia" w:ascii="Times New Roman" w:hAnsi="Times New Roman" w:cs="Times New Roman"/>
                <w:kern w:val="0"/>
                <w:sz w:val="24"/>
                <w:szCs w:val="22"/>
              </w:rPr>
            </w:pPr>
            <w:r>
              <w:rPr>
                <w:rFonts w:hint="eastAsia"/>
                <w:kern w:val="0"/>
                <w:sz w:val="24"/>
              </w:rPr>
              <w:t>项目用地为租赁</w:t>
            </w:r>
            <w:r>
              <w:rPr>
                <w:rFonts w:hint="eastAsia" w:ascii="Basemic Times" w:hAnsi="Basemic Times" w:cs="宋体"/>
                <w:sz w:val="24"/>
              </w:rPr>
              <w:t>华容县万庾镇万庾村苍苔七组</w:t>
            </w:r>
            <w:r>
              <w:rPr>
                <w:rFonts w:hint="eastAsia"/>
                <w:kern w:val="0"/>
                <w:sz w:val="24"/>
              </w:rPr>
              <w:t>现有闲置厂区（原为蒙华铁路搅拌场</w:t>
            </w:r>
            <w:r>
              <w:rPr>
                <w:rFonts w:hint="eastAsia"/>
                <w:kern w:val="0"/>
                <w:sz w:val="24"/>
                <w:lang w:eastAsia="zh-CN"/>
              </w:rPr>
              <w:t>，该地块属于万庾村苍台七组集体用地资源，</w:t>
            </w:r>
            <w:r>
              <w:rPr>
                <w:rFonts w:hint="eastAsia"/>
                <w:kern w:val="0"/>
                <w:sz w:val="24"/>
                <w:lang w:val="en-US" w:eastAsia="zh-CN"/>
              </w:rPr>
              <w:t>2019年5月20日，建设单位与华容县万庾镇万庾村签订了入股协议，详见附件6</w:t>
            </w:r>
            <w:r>
              <w:rPr>
                <w:rFonts w:hint="eastAsia"/>
                <w:kern w:val="0"/>
                <w:sz w:val="24"/>
              </w:rPr>
              <w:t>），部分厂房及办公附属房已有，但本项目需在现有厂房及办公楼基础上进行装修及修建，项目总用地面积</w:t>
            </w:r>
            <w:r>
              <w:rPr>
                <w:rFonts w:hint="eastAsia"/>
                <w:sz w:val="24"/>
              </w:rPr>
              <w:t>6668</w:t>
            </w:r>
            <w:r>
              <w:rPr>
                <w:rFonts w:hint="eastAsia"/>
                <w:szCs w:val="21"/>
              </w:rPr>
              <w:t>m</w:t>
            </w:r>
            <w:r>
              <w:rPr>
                <w:rFonts w:hint="eastAsia"/>
                <w:szCs w:val="21"/>
                <w:vertAlign w:val="superscript"/>
              </w:rPr>
              <w:t>2</w:t>
            </w:r>
            <w:r>
              <w:rPr>
                <w:rFonts w:hint="eastAsia"/>
                <w:kern w:val="0"/>
                <w:sz w:val="24"/>
              </w:rPr>
              <w:t>，总建筑面积5540.24</w:t>
            </w:r>
            <w:r>
              <w:rPr>
                <w:rFonts w:hint="eastAsia"/>
                <w:szCs w:val="21"/>
              </w:rPr>
              <w:t>m</w:t>
            </w:r>
            <w:r>
              <w:rPr>
                <w:rFonts w:hint="eastAsia"/>
                <w:szCs w:val="21"/>
                <w:vertAlign w:val="superscript"/>
              </w:rPr>
              <w:t>2</w:t>
            </w:r>
            <w:r>
              <w:rPr>
                <w:rFonts w:hint="eastAsia"/>
                <w:kern w:val="0"/>
                <w:sz w:val="24"/>
              </w:rPr>
              <w:t>，主要建筑物为1栋生产车间（利用现有）、1栋办公大楼（利用现有），1栋食堂（现有）、1栋原料堆场（现有），1栋成品堆场（新建），另本项目设</w:t>
            </w:r>
            <w:r>
              <w:rPr>
                <w:rFonts w:hint="eastAsia"/>
                <w:kern w:val="0"/>
                <w:sz w:val="24"/>
                <w:lang w:val="en-US" w:eastAsia="zh-CN"/>
              </w:rPr>
              <w:t>2</w:t>
            </w:r>
            <w:r>
              <w:rPr>
                <w:rFonts w:hint="eastAsia"/>
                <w:kern w:val="0"/>
                <w:sz w:val="24"/>
              </w:rPr>
              <w:t>个循环</w:t>
            </w:r>
            <w:r>
              <w:rPr>
                <w:rFonts w:hint="eastAsia"/>
                <w:kern w:val="0"/>
                <w:sz w:val="24"/>
                <w:lang w:eastAsia="zh-CN"/>
              </w:rPr>
              <w:t>水塔</w:t>
            </w:r>
            <w:r>
              <w:rPr>
                <w:rFonts w:hint="eastAsia"/>
                <w:kern w:val="0"/>
                <w:sz w:val="24"/>
              </w:rPr>
              <w:t>（新建），1个</w:t>
            </w:r>
            <w:r>
              <w:rPr>
                <w:rFonts w:hint="eastAsia"/>
                <w:kern w:val="0"/>
                <w:sz w:val="24"/>
                <w:lang w:eastAsia="zh-CN"/>
              </w:rPr>
              <w:t>清水</w:t>
            </w:r>
            <w:r>
              <w:rPr>
                <w:rFonts w:hint="eastAsia"/>
                <w:kern w:val="0"/>
                <w:sz w:val="24"/>
              </w:rPr>
              <w:t>池（利用现有</w:t>
            </w:r>
            <w:r>
              <w:rPr>
                <w:rFonts w:hint="eastAsia" w:ascii="Times New Roman" w:hAnsi="Times New Roman" w:cs="Times New Roman"/>
                <w:kern w:val="0"/>
                <w:sz w:val="24"/>
                <w:szCs w:val="22"/>
              </w:rPr>
              <w:t>），并完善给排水、供配电、道路硬化等公用配套设施。建成后达到60万吨/年机制砂建筑材料规模。</w:t>
            </w:r>
          </w:p>
          <w:p>
            <w:pPr>
              <w:widowControl/>
              <w:spacing w:line="360" w:lineRule="auto"/>
              <w:ind w:firstLine="480"/>
              <w:jc w:val="left"/>
              <w:rPr>
                <w:rFonts w:hint="eastAsia" w:ascii="Times New Roman" w:hAnsi="Times New Roman" w:cs="Times New Roman"/>
                <w:kern w:val="0"/>
                <w:sz w:val="24"/>
                <w:szCs w:val="22"/>
              </w:rPr>
            </w:pPr>
            <w:r>
              <w:rPr>
                <w:rFonts w:hint="eastAsia" w:ascii="Times New Roman" w:hAnsi="Times New Roman" w:cs="Times New Roman"/>
                <w:kern w:val="0"/>
                <w:sz w:val="24"/>
                <w:szCs w:val="22"/>
              </w:rPr>
              <w:t>本项目不采砂，原材料由</w:t>
            </w:r>
            <w:r>
              <w:rPr>
                <w:rFonts w:hint="eastAsia" w:ascii="Times New Roman" w:hAnsi="Times New Roman" w:cs="Times New Roman"/>
                <w:kern w:val="0"/>
                <w:sz w:val="24"/>
                <w:szCs w:val="22"/>
                <w:lang w:eastAsia="zh-CN"/>
              </w:rPr>
              <w:t>宜昌楚航商贸有限公司</w:t>
            </w:r>
            <w:r>
              <w:rPr>
                <w:rFonts w:hint="eastAsia" w:ascii="Times New Roman" w:hAnsi="Times New Roman" w:cs="Times New Roman"/>
                <w:kern w:val="0"/>
                <w:sz w:val="24"/>
                <w:szCs w:val="22"/>
              </w:rPr>
              <w:t>提供。</w:t>
            </w:r>
          </w:p>
          <w:p>
            <w:pPr>
              <w:widowControl/>
              <w:spacing w:line="360" w:lineRule="auto"/>
              <w:ind w:firstLine="480"/>
              <w:jc w:val="left"/>
              <w:rPr>
                <w:sz w:val="24"/>
              </w:rPr>
            </w:pPr>
            <w:r>
              <w:rPr>
                <w:rFonts w:hint="eastAsia" w:ascii="Times New Roman" w:hAnsi="Times New Roman" w:cs="Times New Roman"/>
                <w:kern w:val="0"/>
                <w:sz w:val="24"/>
                <w:szCs w:val="22"/>
              </w:rPr>
              <w:t>根据《产业结构调整指导目录》（</w:t>
            </w:r>
            <w:r>
              <w:rPr>
                <w:rFonts w:hint="eastAsia" w:ascii="Times New Roman" w:hAnsi="Times New Roman" w:cs="Times New Roman"/>
                <w:kern w:val="0"/>
                <w:sz w:val="24"/>
                <w:szCs w:val="22"/>
                <w:lang w:val="en-US" w:eastAsia="zh-CN"/>
              </w:rPr>
              <w:t>2019年本</w:t>
            </w:r>
            <w:r>
              <w:rPr>
                <w:rFonts w:hint="eastAsia" w:ascii="Times New Roman" w:hAnsi="Times New Roman" w:cs="Times New Roman"/>
                <w:kern w:val="0"/>
                <w:sz w:val="24"/>
                <w:szCs w:val="22"/>
              </w:rPr>
              <w:t>），项目不属于“鼓励类”和“限制类”。同时，项目产品及使用的</w:t>
            </w:r>
            <w:r>
              <w:rPr>
                <w:rFonts w:hint="eastAsia"/>
                <w:sz w:val="24"/>
              </w:rPr>
              <w:t>原材料、生产设备、生产工艺未列入</w:t>
            </w:r>
            <w:r>
              <w:rPr>
                <w:sz w:val="24"/>
              </w:rPr>
              <w:t>《产业结构调整指导目录（2</w:t>
            </w:r>
            <w:r>
              <w:rPr>
                <w:rFonts w:hint="eastAsia"/>
                <w:sz w:val="24"/>
                <w:lang w:val="en-US" w:eastAsia="zh-CN"/>
              </w:rPr>
              <w:t>019</w:t>
            </w:r>
            <w:r>
              <w:rPr>
                <w:sz w:val="24"/>
              </w:rPr>
              <w:t>年本）》</w:t>
            </w:r>
            <w:r>
              <w:rPr>
                <w:rFonts w:hint="eastAsia" w:ascii="宋体" w:hAnsi="宋体"/>
                <w:sz w:val="24"/>
              </w:rPr>
              <w:t>目录中的限制、淘汰类，</w:t>
            </w:r>
            <w:r>
              <w:rPr>
                <w:rFonts w:hint="eastAsia" w:hAnsi="宋体"/>
                <w:b w:val="0"/>
                <w:bCs w:val="0"/>
                <w:color w:val="auto"/>
                <w:sz w:val="24"/>
                <w:lang w:eastAsia="zh-CN"/>
              </w:rPr>
              <w:t>符合</w:t>
            </w:r>
            <w:r>
              <w:rPr>
                <w:rFonts w:hint="eastAsia"/>
                <w:b w:val="0"/>
                <w:bCs w:val="0"/>
                <w:color w:val="auto"/>
                <w:sz w:val="24"/>
                <w:szCs w:val="22"/>
              </w:rPr>
              <w:t>《湖南省砂石骨料行业规范条件》</w:t>
            </w:r>
            <w:r>
              <w:rPr>
                <w:rFonts w:hint="eastAsia"/>
                <w:b w:val="0"/>
                <w:bCs w:val="0"/>
                <w:color w:val="auto"/>
                <w:sz w:val="24"/>
                <w:szCs w:val="22"/>
                <w:lang w:eastAsia="zh-CN"/>
              </w:rPr>
              <w:t>、</w:t>
            </w:r>
            <w:r>
              <w:rPr>
                <w:rFonts w:hint="eastAsia"/>
                <w:b w:val="0"/>
                <w:bCs w:val="0"/>
                <w:color w:val="auto"/>
                <w:sz w:val="24"/>
                <w:szCs w:val="22"/>
              </w:rPr>
              <w:t>《机制砂石骨料工厂设计规范（GB51186-2016）》</w:t>
            </w:r>
            <w:r>
              <w:rPr>
                <w:rFonts w:hint="eastAsia"/>
                <w:b w:val="0"/>
                <w:bCs w:val="0"/>
                <w:color w:val="auto"/>
                <w:sz w:val="24"/>
                <w:szCs w:val="22"/>
                <w:lang w:eastAsia="zh-CN"/>
              </w:rPr>
              <w:t>中生产设备要求，</w:t>
            </w:r>
            <w:r>
              <w:rPr>
                <w:rFonts w:hint="eastAsia" w:hAnsi="宋体"/>
                <w:sz w:val="24"/>
              </w:rPr>
              <w:t>不属于</w:t>
            </w:r>
            <w:r>
              <w:rPr>
                <w:rFonts w:hint="eastAsia"/>
                <w:sz w:val="24"/>
                <w:shd w:val="clear" w:color="auto" w:fill="FFFFFF"/>
              </w:rPr>
              <w:t>《高耗能落后机电设备（产品）淘汰目录（第四批）公告》中华人民共和国工业和信息化部公告[2016]第13号</w:t>
            </w:r>
            <w:r>
              <w:rPr>
                <w:rFonts w:hint="eastAsia" w:hAnsi="宋体"/>
                <w:sz w:val="24"/>
              </w:rPr>
              <w:t>，不属于《部分工业行业淘汰落后生产工艺装备和产品指</w:t>
            </w:r>
            <w:r>
              <w:rPr>
                <w:rFonts w:hint="eastAsia" w:hAnsi="宋体"/>
                <w:sz w:val="24"/>
                <w:szCs w:val="22"/>
              </w:rPr>
              <w:t>导目录（2010年本）》工产业[2010]第122号。</w:t>
            </w:r>
            <w:r>
              <w:rPr>
                <w:sz w:val="24"/>
              </w:rPr>
              <w:t>项目投产后，具有较好的经济效益和发展前景，</w:t>
            </w:r>
            <w:r>
              <w:rPr>
                <w:rFonts w:hint="eastAsia"/>
                <w:sz w:val="24"/>
              </w:rPr>
              <w:t>对当地经济有带动作用，</w:t>
            </w:r>
            <w:r>
              <w:rPr>
                <w:sz w:val="24"/>
              </w:rPr>
              <w:t>因此项目建设与国家的产业政策相一致。</w:t>
            </w:r>
          </w:p>
          <w:p>
            <w:pPr>
              <w:spacing w:line="440" w:lineRule="atLeast"/>
              <w:ind w:left="105" w:leftChars="50" w:right="105" w:rightChars="50"/>
              <w:rPr>
                <w:b/>
                <w:sz w:val="24"/>
              </w:rPr>
            </w:pPr>
            <w:r>
              <w:rPr>
                <w:rFonts w:hint="eastAsia"/>
                <w:b/>
                <w:sz w:val="24"/>
              </w:rPr>
              <w:t xml:space="preserve">   2、环境现状</w:t>
            </w:r>
          </w:p>
          <w:p>
            <w:pPr>
              <w:spacing w:line="360" w:lineRule="auto"/>
              <w:ind w:firstLine="480" w:firstLineChars="200"/>
              <w:rPr>
                <w:sz w:val="24"/>
                <w:u w:val="none"/>
              </w:rPr>
            </w:pPr>
            <w:r>
              <w:rPr>
                <w:rFonts w:hint="eastAsia" w:hAnsi="宋体"/>
                <w:sz w:val="24"/>
              </w:rPr>
              <w:t>大气环境：</w:t>
            </w:r>
            <w:r>
              <w:rPr>
                <w:sz w:val="24"/>
                <w:u w:val="none"/>
              </w:rPr>
              <w:t>根据上表中监测数据可看出，华容县环境空气质量监测污染物PM</w:t>
            </w:r>
            <w:r>
              <w:rPr>
                <w:sz w:val="24"/>
                <w:u w:val="none"/>
                <w:vertAlign w:val="subscript"/>
              </w:rPr>
              <w:t>2.5</w:t>
            </w:r>
            <w:r>
              <w:rPr>
                <w:sz w:val="24"/>
                <w:u w:val="none"/>
              </w:rPr>
              <w:t>在年平均浓度、24小时平均第95百分位数均不达标，超标倍数分别为0.37、0.47，因此本项目所在区域（华容县）为不达标区域。</w:t>
            </w:r>
          </w:p>
          <w:p>
            <w:pPr>
              <w:spacing w:line="360" w:lineRule="auto"/>
              <w:ind w:firstLine="480" w:firstLineChars="200"/>
              <w:rPr>
                <w:sz w:val="24"/>
                <w:u w:val="none"/>
              </w:rPr>
            </w:pPr>
            <w:r>
              <w:rPr>
                <w:color w:val="auto"/>
                <w:sz w:val="24"/>
                <w:szCs w:val="24"/>
                <w:u w:val="none"/>
              </w:rPr>
              <w:t>根据湖南精科检测有限公司于2020年</w:t>
            </w:r>
            <w:r>
              <w:rPr>
                <w:rFonts w:hint="eastAsia"/>
                <w:color w:val="auto"/>
                <w:sz w:val="24"/>
                <w:szCs w:val="24"/>
                <w:u w:val="none"/>
              </w:rPr>
              <w:t>7</w:t>
            </w:r>
            <w:r>
              <w:rPr>
                <w:color w:val="auto"/>
                <w:sz w:val="24"/>
                <w:szCs w:val="24"/>
                <w:u w:val="none"/>
              </w:rPr>
              <w:t>月</w:t>
            </w:r>
            <w:r>
              <w:rPr>
                <w:rFonts w:hint="eastAsia"/>
                <w:color w:val="auto"/>
                <w:sz w:val="24"/>
                <w:szCs w:val="24"/>
                <w:u w:val="none"/>
              </w:rPr>
              <w:t>2</w:t>
            </w:r>
            <w:r>
              <w:rPr>
                <w:color w:val="auto"/>
                <w:sz w:val="24"/>
                <w:szCs w:val="24"/>
                <w:u w:val="none"/>
              </w:rPr>
              <w:t>日~</w:t>
            </w:r>
            <w:r>
              <w:rPr>
                <w:rFonts w:hint="eastAsia"/>
                <w:color w:val="auto"/>
                <w:sz w:val="24"/>
                <w:szCs w:val="24"/>
                <w:u w:val="none"/>
              </w:rPr>
              <w:t>7</w:t>
            </w:r>
            <w:r>
              <w:rPr>
                <w:color w:val="auto"/>
                <w:sz w:val="24"/>
                <w:szCs w:val="24"/>
                <w:u w:val="none"/>
              </w:rPr>
              <w:t>月</w:t>
            </w:r>
            <w:r>
              <w:rPr>
                <w:rFonts w:hint="eastAsia"/>
                <w:color w:val="auto"/>
                <w:sz w:val="24"/>
                <w:szCs w:val="24"/>
                <w:u w:val="none"/>
              </w:rPr>
              <w:t>8</w:t>
            </w:r>
            <w:r>
              <w:rPr>
                <w:color w:val="auto"/>
                <w:sz w:val="24"/>
                <w:szCs w:val="24"/>
                <w:u w:val="none"/>
              </w:rPr>
              <w:t>日对</w:t>
            </w:r>
            <w:r>
              <w:rPr>
                <w:rFonts w:hint="eastAsia"/>
                <w:color w:val="auto"/>
                <w:sz w:val="24"/>
                <w:szCs w:val="24"/>
                <w:u w:val="none"/>
              </w:rPr>
              <w:t>项目</w:t>
            </w:r>
            <w:r>
              <w:rPr>
                <w:color w:val="auto"/>
                <w:sz w:val="24"/>
                <w:szCs w:val="24"/>
                <w:u w:val="none"/>
              </w:rPr>
              <w:t>周边的环境空气监测数据，监测结果表明：项目所在区域的</w:t>
            </w:r>
            <w:r>
              <w:rPr>
                <w:rFonts w:hint="eastAsia"/>
                <w:color w:val="auto"/>
                <w:sz w:val="24"/>
                <w:szCs w:val="24"/>
                <w:u w:val="none"/>
                <w:lang w:val="en-US" w:eastAsia="zh-CN"/>
              </w:rPr>
              <w:t>总悬浮颗粒物</w:t>
            </w:r>
            <w:r>
              <w:rPr>
                <w:rFonts w:hint="eastAsia"/>
                <w:color w:val="auto"/>
                <w:sz w:val="24"/>
                <w:szCs w:val="24"/>
                <w:u w:val="none"/>
              </w:rPr>
              <w:t>均</w:t>
            </w:r>
            <w:r>
              <w:rPr>
                <w:color w:val="auto"/>
                <w:sz w:val="24"/>
                <w:szCs w:val="24"/>
                <w:u w:val="none"/>
              </w:rPr>
              <w:t>能</w:t>
            </w:r>
            <w:r>
              <w:rPr>
                <w:bCs/>
                <w:color w:val="auto"/>
                <w:sz w:val="24"/>
                <w:szCs w:val="24"/>
                <w:u w:val="none"/>
              </w:rPr>
              <w:t>满足《环境</w:t>
            </w:r>
            <w:r>
              <w:rPr>
                <w:rFonts w:hint="eastAsia"/>
                <w:bCs/>
                <w:color w:val="auto"/>
                <w:sz w:val="24"/>
                <w:szCs w:val="24"/>
                <w:u w:val="none"/>
                <w:lang w:val="en-US" w:eastAsia="zh-CN"/>
              </w:rPr>
              <w:t>空气质量标准</w:t>
            </w:r>
            <w:r>
              <w:rPr>
                <w:bCs/>
                <w:color w:val="auto"/>
                <w:sz w:val="24"/>
                <w:szCs w:val="24"/>
                <w:u w:val="none"/>
              </w:rPr>
              <w:t>》(</w:t>
            </w:r>
            <w:r>
              <w:rPr>
                <w:rFonts w:hint="eastAsia"/>
                <w:bCs/>
                <w:color w:val="auto"/>
                <w:sz w:val="24"/>
                <w:szCs w:val="24"/>
                <w:u w:val="none"/>
                <w:lang w:val="en-US" w:eastAsia="zh-CN"/>
              </w:rPr>
              <w:t>GB3095-2012</w:t>
            </w:r>
            <w:r>
              <w:rPr>
                <w:bCs/>
                <w:color w:val="auto"/>
                <w:sz w:val="24"/>
                <w:szCs w:val="24"/>
                <w:u w:val="none"/>
              </w:rPr>
              <w:t>)</w:t>
            </w:r>
            <w:r>
              <w:rPr>
                <w:rFonts w:hint="eastAsia"/>
                <w:bCs/>
                <w:color w:val="auto"/>
                <w:sz w:val="24"/>
                <w:szCs w:val="24"/>
                <w:u w:val="none"/>
                <w:lang w:val="en-US" w:eastAsia="zh-CN"/>
              </w:rPr>
              <w:t>中</w:t>
            </w:r>
            <w:r>
              <w:rPr>
                <w:bCs/>
                <w:color w:val="auto"/>
                <w:sz w:val="24"/>
                <w:szCs w:val="24"/>
                <w:u w:val="none"/>
              </w:rPr>
              <w:t>要求。</w:t>
            </w:r>
          </w:p>
          <w:p>
            <w:pPr>
              <w:spacing w:line="360" w:lineRule="auto"/>
              <w:ind w:firstLine="480" w:firstLineChars="200"/>
              <w:rPr>
                <w:sz w:val="24"/>
                <w:szCs w:val="22"/>
                <w:u w:val="none"/>
              </w:rPr>
            </w:pPr>
            <w:r>
              <w:rPr>
                <w:sz w:val="24"/>
                <w:u w:val="none"/>
              </w:rPr>
              <w:t>华容县人民</w:t>
            </w:r>
            <w:r>
              <w:rPr>
                <w:sz w:val="24"/>
                <w:szCs w:val="22"/>
                <w:u w:val="none"/>
              </w:rPr>
              <w:t>政府根据国务院下发的《国务院关于印发打赢蓝天保卫战三年行动计划的通知》（国发【2018】22号）文件以及岳阳市贯彻落实《大气污染防治行动计划》实施方案，华容县全面开展大气环境整治行动，通过源头防控、重点防治、科学合理、循序渐进有效治理污染以及创新环境监管方式，拟通过3年努力降低细颗粒物浓度，明显减少重污染天数。使得环境质量趋于改善状态。</w:t>
            </w:r>
          </w:p>
          <w:p>
            <w:pPr>
              <w:widowControl/>
              <w:spacing w:line="360" w:lineRule="auto"/>
              <w:ind w:firstLine="480" w:firstLineChars="200"/>
              <w:textAlignment w:val="baseline"/>
              <w:rPr>
                <w:sz w:val="24"/>
              </w:rPr>
            </w:pPr>
            <w:r>
              <w:rPr>
                <w:rFonts w:hint="eastAsia"/>
                <w:sz w:val="24"/>
              </w:rPr>
              <w:t>地表水环境：</w:t>
            </w:r>
            <w:r>
              <w:rPr>
                <w:rFonts w:hint="eastAsia"/>
                <w:sz w:val="24"/>
                <w:szCs w:val="22"/>
              </w:rPr>
              <w:t>监测结果表明，项目地华容河</w:t>
            </w:r>
            <w:r>
              <w:rPr>
                <w:rFonts w:hint="eastAsia"/>
                <w:sz w:val="24"/>
              </w:rPr>
              <w:t>监测断面</w:t>
            </w:r>
            <w:r>
              <w:rPr>
                <w:sz w:val="24"/>
              </w:rPr>
              <w:t>水质各项指标</w:t>
            </w:r>
            <w:r>
              <w:rPr>
                <w:rFonts w:hint="eastAsia"/>
                <w:sz w:val="24"/>
              </w:rPr>
              <w:t>出总氮外其余</w:t>
            </w:r>
            <w:r>
              <w:rPr>
                <w:sz w:val="24"/>
              </w:rPr>
              <w:t>均达到《地表水环境质量标准》（GB3838-2002）中</w:t>
            </w:r>
            <w:r>
              <w:rPr>
                <w:rFonts w:hint="eastAsia" w:ascii="宋体" w:hAnsi="宋体" w:cs="宋体"/>
                <w:sz w:val="24"/>
              </w:rPr>
              <w:t>Ⅲ</w:t>
            </w:r>
            <w:r>
              <w:rPr>
                <w:sz w:val="24"/>
              </w:rPr>
              <w:t>类</w:t>
            </w:r>
            <w:r>
              <w:rPr>
                <w:rFonts w:hint="eastAsia" w:ascii="宋体" w:hAnsi="宋体" w:cs="宋体"/>
                <w:sz w:val="24"/>
                <w:szCs w:val="22"/>
              </w:rPr>
              <w:t>标准、SS达到参照《地表水资源质量标准》第三级指标进行评价，总氮超标的原因可能是由于河流两侧居民生活污水所致，水环境质量一般，根据《岳阳市华容河水体达标方案》中采取采取减排、提升的综合整治措施后至2019年底，华容河水域水质持续稳定达到Ⅲ类标准。项目地塌西湖除总磷、总氮超标外，其余水质各项指标均达到《地表水环境质量标准》（GB3838-2002）中Ⅲ类标准、SS达到参照《地表水资源质量标准》第三级指标进行评价，塌西湖主要功能为养殖，是造成总磷总氮超标的主要原因，水体质量一般</w:t>
            </w:r>
            <w:r>
              <w:rPr>
                <w:rFonts w:hint="eastAsia"/>
                <w:sz w:val="24"/>
              </w:rPr>
              <w:t>。</w:t>
            </w:r>
          </w:p>
          <w:p>
            <w:pPr>
              <w:spacing w:line="360" w:lineRule="auto"/>
              <w:ind w:firstLine="480" w:firstLineChars="200"/>
              <w:rPr>
                <w:rFonts w:hint="eastAsia" w:ascii="Times New Roman" w:hAnsi="Times New Roman" w:cs="Times New Roman"/>
                <w:sz w:val="24"/>
                <w:szCs w:val="22"/>
              </w:rPr>
            </w:pPr>
            <w:r>
              <w:rPr>
                <w:rFonts w:hint="eastAsia"/>
                <w:sz w:val="24"/>
              </w:rPr>
              <w:t>声环境：</w:t>
            </w:r>
            <w:r>
              <w:rPr>
                <w:sz w:val="24"/>
              </w:rPr>
              <w:t>根据</w:t>
            </w:r>
            <w:r>
              <w:rPr>
                <w:rFonts w:hint="eastAsia"/>
                <w:sz w:val="24"/>
              </w:rPr>
              <w:t>湖南精科检测有限公司2019年3月21日-3月22日对</w:t>
            </w:r>
            <w:r>
              <w:rPr>
                <w:sz w:val="24"/>
              </w:rPr>
              <w:t>对</w:t>
            </w:r>
            <w:r>
              <w:rPr>
                <w:rFonts w:hint="eastAsia"/>
                <w:sz w:val="24"/>
              </w:rPr>
              <w:t>项目</w:t>
            </w:r>
            <w:r>
              <w:rPr>
                <w:sz w:val="24"/>
              </w:rPr>
              <w:t>所在地</w:t>
            </w:r>
            <w:r>
              <w:rPr>
                <w:rFonts w:hint="eastAsia"/>
                <w:sz w:val="24"/>
              </w:rPr>
              <w:t>四厂界</w:t>
            </w:r>
            <w:r>
              <w:rPr>
                <w:sz w:val="24"/>
              </w:rPr>
              <w:t>环境噪声监测结果，</w:t>
            </w:r>
            <w:r>
              <w:rPr>
                <w:rFonts w:hint="eastAsia"/>
                <w:sz w:val="24"/>
              </w:rPr>
              <w:t>项目地昼间</w:t>
            </w:r>
            <w:r>
              <w:rPr>
                <w:sz w:val="24"/>
              </w:rPr>
              <w:t>噪声为</w:t>
            </w:r>
            <w:r>
              <w:rPr>
                <w:rFonts w:hint="eastAsia"/>
                <w:sz w:val="24"/>
              </w:rPr>
              <w:t>52.7~54.5</w:t>
            </w:r>
            <w:r>
              <w:rPr>
                <w:sz w:val="24"/>
              </w:rPr>
              <w:t>dB(A)</w:t>
            </w:r>
            <w:r>
              <w:rPr>
                <w:rFonts w:hint="eastAsia"/>
                <w:sz w:val="24"/>
              </w:rPr>
              <w:t>、夜间</w:t>
            </w:r>
            <w:r>
              <w:rPr>
                <w:sz w:val="24"/>
              </w:rPr>
              <w:t>噪声为</w:t>
            </w:r>
            <w:r>
              <w:rPr>
                <w:rFonts w:hint="eastAsia"/>
                <w:sz w:val="24"/>
              </w:rPr>
              <w:t>42.8~44.6</w:t>
            </w:r>
            <w:r>
              <w:rPr>
                <w:sz w:val="24"/>
              </w:rPr>
              <w:t>dB(A)，</w:t>
            </w:r>
            <w:r>
              <w:rPr>
                <w:rFonts w:hint="eastAsia"/>
                <w:sz w:val="24"/>
              </w:rPr>
              <w:t>东、南、西、北厂界及周围环境保护目标噪声均</w:t>
            </w:r>
            <w:r>
              <w:rPr>
                <w:sz w:val="24"/>
              </w:rPr>
              <w:t>符合《</w:t>
            </w:r>
            <w:r>
              <w:rPr>
                <w:rFonts w:hint="eastAsia"/>
                <w:sz w:val="24"/>
              </w:rPr>
              <w:t>声</w:t>
            </w:r>
            <w:r>
              <w:rPr>
                <w:sz w:val="24"/>
              </w:rPr>
              <w:t>环境</w:t>
            </w:r>
            <w:r>
              <w:rPr>
                <w:rFonts w:hint="eastAsia"/>
                <w:sz w:val="24"/>
              </w:rPr>
              <w:t>质量</w:t>
            </w:r>
            <w:r>
              <w:rPr>
                <w:sz w:val="24"/>
              </w:rPr>
              <w:t>标准》</w:t>
            </w:r>
            <w:r>
              <w:rPr>
                <w:rFonts w:hint="eastAsia" w:ascii="Times New Roman" w:hAnsi="Times New Roman" w:cs="Times New Roman"/>
                <w:sz w:val="24"/>
                <w:szCs w:val="22"/>
              </w:rPr>
              <w:t>（GB3096-2008）中2类标准要求；周围声环境质量较好。</w:t>
            </w:r>
          </w:p>
          <w:p>
            <w:pPr>
              <w:wordWrap w:val="0"/>
              <w:spacing w:line="360" w:lineRule="auto"/>
              <w:ind w:right="-309" w:rightChars="-147" w:firstLine="480" w:firstLineChars="200"/>
              <w:rPr>
                <w:rFonts w:ascii="Times New Roman" w:hAnsi="Times New Roman" w:cs="Times New Roman"/>
                <w:color w:val="auto"/>
                <w:spacing w:val="-2"/>
                <w:sz w:val="24"/>
                <w:szCs w:val="24"/>
                <w:highlight w:val="none"/>
                <w:lang w:eastAsia="zh-CN"/>
              </w:rPr>
            </w:pPr>
            <w:r>
              <w:rPr>
                <w:rFonts w:hint="eastAsia" w:ascii="Times New Roman" w:hAnsi="Times New Roman" w:cs="Times New Roman"/>
                <w:color w:val="auto"/>
                <w:sz w:val="24"/>
                <w:szCs w:val="22"/>
                <w:lang w:eastAsia="zh-CN"/>
              </w:rPr>
              <w:t>土壤环境：</w:t>
            </w:r>
            <w:r>
              <w:rPr>
                <w:rFonts w:ascii="Times New Roman" w:hAnsi="Times New Roman" w:cs="Times New Roman"/>
                <w:color w:val="auto"/>
                <w:spacing w:val="-2"/>
                <w:sz w:val="24"/>
                <w:szCs w:val="24"/>
                <w:highlight w:val="none"/>
                <w:lang w:eastAsia="zh-CN"/>
              </w:rPr>
              <w:t>根据上表监测结果，项目区各监测</w:t>
            </w:r>
            <w:r>
              <w:rPr>
                <w:rFonts w:hint="eastAsia" w:cs="Times New Roman"/>
                <w:color w:val="auto"/>
                <w:spacing w:val="-2"/>
                <w:sz w:val="24"/>
                <w:szCs w:val="24"/>
                <w:highlight w:val="none"/>
                <w:lang w:val="en-US" w:eastAsia="zh-CN"/>
              </w:rPr>
              <w:t>因子</w:t>
            </w:r>
            <w:r>
              <w:rPr>
                <w:rFonts w:ascii="Times New Roman" w:hAnsi="Times New Roman" w:cs="Times New Roman"/>
                <w:color w:val="auto"/>
                <w:spacing w:val="-2"/>
                <w:sz w:val="24"/>
                <w:szCs w:val="24"/>
                <w:highlight w:val="none"/>
                <w:lang w:eastAsia="zh-CN"/>
              </w:rPr>
              <w:t>土壤环境均能满足《《土壤环境质量 建设用地土壤污染风险管控标准（试行）》第二类用地 筛选值（GB36600-2018）标准要求。</w:t>
            </w:r>
          </w:p>
          <w:p>
            <w:pPr>
              <w:spacing w:line="360" w:lineRule="auto"/>
              <w:ind w:firstLine="482" w:firstLineChars="200"/>
              <w:rPr>
                <w:b/>
                <w:sz w:val="24"/>
              </w:rPr>
            </w:pPr>
            <w:r>
              <w:rPr>
                <w:b/>
                <w:sz w:val="24"/>
              </w:rPr>
              <w:t>3、环境影响分析</w:t>
            </w:r>
          </w:p>
          <w:p>
            <w:pPr>
              <w:pStyle w:val="84"/>
              <w:adjustRightInd/>
              <w:snapToGrid/>
              <w:spacing w:line="360" w:lineRule="auto"/>
              <w:ind w:firstLine="480" w:firstLineChars="200"/>
              <w:jc w:val="both"/>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水环境影响分析：</w:t>
            </w:r>
          </w:p>
          <w:p>
            <w:pPr>
              <w:spacing w:line="360" w:lineRule="auto"/>
              <w:ind w:firstLine="480" w:firstLineChars="200"/>
              <w:rPr>
                <w:rFonts w:hAnsi="宋体"/>
                <w:bCs/>
                <w:sz w:val="24"/>
              </w:rPr>
            </w:pPr>
            <w:r>
              <w:rPr>
                <w:kern w:val="0"/>
                <w:sz w:val="24"/>
              </w:rPr>
              <w:t>营运期</w:t>
            </w:r>
            <w:r>
              <w:rPr>
                <w:rFonts w:hint="eastAsia"/>
                <w:kern w:val="0"/>
                <w:sz w:val="24"/>
              </w:rPr>
              <w:t>外排废水主要为</w:t>
            </w:r>
            <w:r>
              <w:rPr>
                <w:kern w:val="0"/>
                <w:sz w:val="24"/>
              </w:rPr>
              <w:t>生活用水</w:t>
            </w:r>
            <w:r>
              <w:rPr>
                <w:rFonts w:hint="eastAsia"/>
                <w:kern w:val="0"/>
                <w:sz w:val="24"/>
              </w:rPr>
              <w:t>和生产废水</w:t>
            </w:r>
            <w:r>
              <w:rPr>
                <w:kern w:val="0"/>
                <w:sz w:val="24"/>
              </w:rPr>
              <w:t>。</w:t>
            </w:r>
            <w:r>
              <w:rPr>
                <w:rFonts w:hint="eastAsia" w:hAnsi="宋体"/>
                <w:sz w:val="24"/>
              </w:rPr>
              <w:t>项目生活废水经隔油池化粪池处理后用于周边农田及植被绿化施肥，不外排，</w:t>
            </w:r>
            <w:r>
              <w:rPr>
                <w:rFonts w:hint="eastAsia" w:hAnsi="宋体"/>
                <w:kern w:val="0"/>
                <w:sz w:val="24"/>
                <w:szCs w:val="24"/>
              </w:rPr>
              <w:t>，基本不会对塌西湖及华容河水质造成影响</w:t>
            </w:r>
            <w:r>
              <w:rPr>
                <w:rFonts w:hint="eastAsia" w:hAnsi="宋体"/>
                <w:bCs/>
                <w:sz w:val="24"/>
              </w:rPr>
              <w:t>；项目生产废水经循环</w:t>
            </w:r>
            <w:r>
              <w:rPr>
                <w:rFonts w:hint="eastAsia" w:hAnsi="宋体"/>
                <w:bCs/>
                <w:sz w:val="24"/>
                <w:lang w:eastAsia="zh-CN"/>
              </w:rPr>
              <w:t>水塔</w:t>
            </w:r>
            <w:r>
              <w:rPr>
                <w:rFonts w:hint="eastAsia" w:hAnsi="宋体"/>
                <w:bCs/>
                <w:sz w:val="24"/>
              </w:rPr>
              <w:t>沉淀后回用于生产，不外排。</w:t>
            </w:r>
          </w:p>
          <w:p>
            <w:pPr>
              <w:pStyle w:val="84"/>
              <w:adjustRightInd/>
              <w:snapToGrid/>
              <w:spacing w:line="360" w:lineRule="auto"/>
              <w:ind w:firstLine="480" w:firstLineChars="200"/>
              <w:jc w:val="both"/>
              <w:rPr>
                <w:rFonts w:cs="宋体"/>
                <w:sz w:val="24"/>
              </w:rPr>
            </w:pPr>
            <w:r>
              <w:rPr>
                <w:rFonts w:ascii="Times New Roman" w:hAnsi="Times New Roman"/>
                <w:sz w:val="24"/>
                <w:szCs w:val="24"/>
              </w:rPr>
              <w:t>（2）空气环境影响分析：</w:t>
            </w:r>
          </w:p>
          <w:p>
            <w:pPr>
              <w:spacing w:line="360" w:lineRule="auto"/>
              <w:ind w:firstLine="482"/>
              <w:rPr>
                <w:rFonts w:hAnsi="宋体"/>
                <w:sz w:val="24"/>
              </w:rPr>
            </w:pPr>
            <w:r>
              <w:rPr>
                <w:rFonts w:hAnsi="宋体"/>
                <w:sz w:val="24"/>
              </w:rPr>
              <w:t>本项目主要大气污染物为</w:t>
            </w:r>
            <w:r>
              <w:rPr>
                <w:rFonts w:hint="eastAsia" w:hAnsi="宋体"/>
                <w:sz w:val="24"/>
              </w:rPr>
              <w:t>破碎</w:t>
            </w:r>
            <w:r>
              <w:rPr>
                <w:rFonts w:hint="eastAsia" w:hAnsi="宋体"/>
                <w:sz w:val="24"/>
                <w:lang w:eastAsia="zh-CN"/>
              </w:rPr>
              <w:t>（湿法破碎）</w:t>
            </w:r>
            <w:r>
              <w:rPr>
                <w:rFonts w:hint="eastAsia" w:hAnsi="宋体"/>
                <w:sz w:val="24"/>
              </w:rPr>
              <w:t>、筛分</w:t>
            </w:r>
            <w:r>
              <w:rPr>
                <w:rFonts w:hint="eastAsia" w:hAnsi="宋体"/>
                <w:sz w:val="24"/>
                <w:lang w:eastAsia="zh-CN"/>
              </w:rPr>
              <w:t>（湿法筛分）</w:t>
            </w:r>
            <w:r>
              <w:rPr>
                <w:rFonts w:hint="eastAsia" w:hAnsi="宋体"/>
                <w:sz w:val="24"/>
              </w:rPr>
              <w:t>过程粉尘</w:t>
            </w:r>
            <w:r>
              <w:rPr>
                <w:rFonts w:hAnsi="宋体"/>
                <w:sz w:val="24"/>
              </w:rPr>
              <w:t>及</w:t>
            </w:r>
            <w:r>
              <w:rPr>
                <w:rFonts w:hint="eastAsia" w:hAnsi="宋体"/>
                <w:sz w:val="24"/>
              </w:rPr>
              <w:t>、装卸</w:t>
            </w:r>
            <w:r>
              <w:rPr>
                <w:rFonts w:hAnsi="宋体"/>
                <w:sz w:val="24"/>
              </w:rPr>
              <w:t>过程中可能因风力作用产生的扬尘，以及食堂油烟废气。</w:t>
            </w:r>
          </w:p>
          <w:p>
            <w:pPr>
              <w:pStyle w:val="130"/>
              <w:ind w:firstLine="480" w:firstLineChars="200"/>
              <w:rPr>
                <w:color w:val="auto"/>
              </w:rPr>
            </w:pPr>
            <w:r>
              <w:rPr>
                <w:rFonts w:hint="eastAsia" w:hAnsi="宋体"/>
                <w:color w:val="auto"/>
              </w:rPr>
              <w:t>①装卸粉尘</w:t>
            </w:r>
          </w:p>
          <w:p>
            <w:pPr>
              <w:spacing w:line="360" w:lineRule="auto"/>
              <w:ind w:firstLine="482"/>
              <w:rPr>
                <w:rFonts w:hAnsi="宋体"/>
                <w:sz w:val="24"/>
              </w:rPr>
            </w:pPr>
            <w:r>
              <w:rPr>
                <w:rFonts w:hint="eastAsia" w:hAnsi="宋体"/>
                <w:sz w:val="24"/>
              </w:rPr>
              <w:t>物料装卸过程一定风力作用下会产生粉尘。本次评价提出如下防治措施：a.鹅卵石及道路采取不定期洒水抑尘措施，保持原料的含水率在10%左右b.合理安排原料及产品运输计划，避免大量物料长期堆存c.物料装卸过程为全封闭皮带运输。采取以上措施后，物料装卸过程起尘量很小，对周边环境影响较小。</w:t>
            </w:r>
          </w:p>
          <w:p>
            <w:pPr>
              <w:pStyle w:val="130"/>
              <w:rPr>
                <w:color w:val="auto"/>
              </w:rPr>
            </w:pPr>
            <w:r>
              <w:rPr>
                <w:rFonts w:hint="eastAsia" w:hAnsi="宋体"/>
                <w:color w:val="auto"/>
              </w:rPr>
              <w:t xml:space="preserve">    ②破碎</w:t>
            </w:r>
            <w:r>
              <w:rPr>
                <w:rFonts w:hint="eastAsia" w:hAnsi="宋体"/>
                <w:color w:val="auto"/>
                <w:lang w:eastAsia="zh-CN"/>
              </w:rPr>
              <w:t>（湿法破碎）</w:t>
            </w:r>
            <w:r>
              <w:rPr>
                <w:rFonts w:hint="eastAsia" w:hAnsi="宋体"/>
                <w:color w:val="auto"/>
              </w:rPr>
              <w:t>、筛分</w:t>
            </w:r>
            <w:r>
              <w:rPr>
                <w:rFonts w:hint="eastAsia" w:hAnsi="宋体"/>
                <w:color w:val="auto"/>
                <w:lang w:eastAsia="zh-CN"/>
              </w:rPr>
              <w:t>（湿法筛分）</w:t>
            </w:r>
            <w:r>
              <w:rPr>
                <w:rFonts w:hint="eastAsia" w:hAnsi="宋体"/>
                <w:color w:val="auto"/>
              </w:rPr>
              <w:t>粉尘</w:t>
            </w:r>
          </w:p>
          <w:p>
            <w:pPr>
              <w:spacing w:line="360" w:lineRule="auto"/>
              <w:ind w:firstLine="482"/>
              <w:rPr>
                <w:rFonts w:hAnsi="宋体"/>
                <w:sz w:val="24"/>
              </w:rPr>
            </w:pPr>
            <w:r>
              <w:rPr>
                <w:rFonts w:hint="eastAsia" w:hAnsi="宋体"/>
                <w:sz w:val="24"/>
              </w:rPr>
              <w:t>破</w:t>
            </w:r>
            <w:r>
              <w:rPr>
                <w:rFonts w:hint="eastAsia" w:ascii="Times New Roman" w:hAnsi="宋体" w:cs="Times New Roman"/>
                <w:sz w:val="24"/>
                <w:szCs w:val="22"/>
              </w:rPr>
              <w:t>碎、筛分过程</w:t>
            </w:r>
            <w:r>
              <w:rPr>
                <w:rFonts w:hint="eastAsia" w:hAnsi="宋体"/>
                <w:sz w:val="24"/>
              </w:rPr>
              <w:t>采取</w:t>
            </w:r>
            <w:r>
              <w:rPr>
                <w:rFonts w:hint="eastAsia"/>
                <w:sz w:val="24"/>
              </w:rPr>
              <w:t>湿法破碎及湿法筛分，通过洒水抑尘喷淋降尘措施措施，可有效降低粉尘产生量</w:t>
            </w:r>
            <w:r>
              <w:rPr>
                <w:rFonts w:hAnsi="宋体"/>
                <w:sz w:val="24"/>
              </w:rPr>
              <w:t>；减少其对环境的影响</w:t>
            </w:r>
            <w:r>
              <w:rPr>
                <w:rFonts w:hint="eastAsia" w:hAnsi="宋体"/>
                <w:sz w:val="24"/>
              </w:rPr>
              <w:t>。</w:t>
            </w:r>
          </w:p>
          <w:p>
            <w:pPr>
              <w:spacing w:line="360" w:lineRule="auto"/>
              <w:ind w:firstLine="482"/>
              <w:rPr>
                <w:sz w:val="24"/>
              </w:rPr>
            </w:pPr>
            <w:r>
              <w:rPr>
                <w:rFonts w:hint="eastAsia"/>
                <w:sz w:val="24"/>
              </w:rPr>
              <w:t>③食堂油烟</w:t>
            </w:r>
          </w:p>
          <w:p>
            <w:pPr>
              <w:spacing w:line="360" w:lineRule="auto"/>
              <w:ind w:firstLine="482"/>
              <w:rPr>
                <w:sz w:val="24"/>
              </w:rPr>
            </w:pPr>
            <w:r>
              <w:rPr>
                <w:rFonts w:hint="eastAsia"/>
                <w:sz w:val="24"/>
              </w:rPr>
              <w:t>厨房油烟废气经油烟净化器处理后通过油烟管道排至屋顶。项目废气经采取上述措施处理后均可实现达标排放，</w:t>
            </w:r>
            <w:r>
              <w:rPr>
                <w:sz w:val="24"/>
              </w:rPr>
              <w:t>对区域大</w:t>
            </w:r>
            <w:r>
              <w:rPr>
                <w:rFonts w:hint="eastAsia"/>
                <w:sz w:val="24"/>
              </w:rPr>
              <w:t>气环境质量的影响较小。</w:t>
            </w:r>
          </w:p>
          <w:p>
            <w:pPr>
              <w:pStyle w:val="130"/>
              <w:ind w:firstLine="480" w:firstLineChars="200"/>
              <w:rPr>
                <w:color w:val="auto"/>
              </w:rPr>
            </w:pPr>
            <w:r>
              <w:rPr>
                <w:rFonts w:hint="eastAsia"/>
                <w:color w:val="auto"/>
              </w:rPr>
              <w:t>④大气环境防护距离</w:t>
            </w:r>
          </w:p>
          <w:p>
            <w:pPr>
              <w:spacing w:line="360" w:lineRule="auto"/>
              <w:ind w:firstLine="480" w:firstLineChars="200"/>
              <w:rPr>
                <w:kern w:val="0"/>
                <w:sz w:val="24"/>
              </w:rPr>
            </w:pPr>
            <w:r>
              <w:rPr>
                <w:rFonts w:hint="eastAsia"/>
                <w:sz w:val="24"/>
                <w:szCs w:val="22"/>
              </w:rPr>
              <w:t>依据《环境影响评价技术导则 大气环境》(HJ2.2-2018)规定，</w:t>
            </w:r>
            <w:r>
              <w:rPr>
                <w:rFonts w:hint="eastAsia"/>
                <w:kern w:val="0"/>
                <w:sz w:val="24"/>
              </w:rPr>
              <w:t>项目无需设置大气防护距离。</w:t>
            </w:r>
          </w:p>
          <w:p>
            <w:pPr>
              <w:spacing w:line="360" w:lineRule="auto"/>
              <w:ind w:firstLine="480" w:firstLineChars="200"/>
              <w:rPr>
                <w:kern w:val="0"/>
                <w:sz w:val="24"/>
              </w:rPr>
            </w:pPr>
            <w:r>
              <w:rPr>
                <w:kern w:val="0"/>
                <w:sz w:val="24"/>
              </w:rPr>
              <w:t>（3）声环境影响分析：</w:t>
            </w:r>
          </w:p>
          <w:p>
            <w:pPr>
              <w:pStyle w:val="27"/>
              <w:widowControl/>
              <w:overflowPunct/>
              <w:autoSpaceDE/>
              <w:autoSpaceDN/>
              <w:adjustRightInd/>
              <w:ind w:firstLine="420"/>
              <w:jc w:val="left"/>
              <w:rPr>
                <w:sz w:val="24"/>
              </w:rPr>
            </w:pPr>
            <w:r>
              <w:rPr>
                <w:sz w:val="24"/>
              </w:rPr>
              <w:t>营运期主要噪声污染源为</w:t>
            </w:r>
            <w:r>
              <w:rPr>
                <w:rFonts w:hint="eastAsia"/>
                <w:sz w:val="24"/>
              </w:rPr>
              <w:t>破碎机、筛分机、洗砂机</w:t>
            </w:r>
            <w:r>
              <w:rPr>
                <w:sz w:val="24"/>
              </w:rPr>
              <w:t>产生的机械噪声。</w:t>
            </w:r>
            <w:r>
              <w:rPr>
                <w:rFonts w:hint="eastAsia" w:hAnsi="宋体"/>
                <w:sz w:val="24"/>
              </w:rPr>
              <w:t>在采取消声、减振措施后，项目东、南、西、北侧厂界达到了</w:t>
            </w:r>
            <w:r>
              <w:rPr>
                <w:rFonts w:hAnsi="宋体"/>
                <w:sz w:val="24"/>
              </w:rPr>
              <w:t>《工业企业厂界环境噪声排放标准》（</w:t>
            </w:r>
            <w:r>
              <w:rPr>
                <w:sz w:val="24"/>
              </w:rPr>
              <w:t>GB12348-2008</w:t>
            </w:r>
            <w:r>
              <w:rPr>
                <w:rFonts w:hAnsi="宋体"/>
                <w:sz w:val="24"/>
              </w:rPr>
              <w:t>）中</w:t>
            </w:r>
            <w:r>
              <w:rPr>
                <w:rFonts w:hint="eastAsia" w:hAnsi="宋体"/>
                <w:sz w:val="24"/>
              </w:rPr>
              <w:t>2</w:t>
            </w:r>
            <w:r>
              <w:rPr>
                <w:rFonts w:hAnsi="宋体"/>
                <w:sz w:val="24"/>
              </w:rPr>
              <w:t>类</w:t>
            </w:r>
            <w:r>
              <w:rPr>
                <w:rFonts w:hint="eastAsia" w:hAnsi="宋体"/>
                <w:sz w:val="24"/>
              </w:rPr>
              <w:t>标准要求，叠加现状值后环境保护目标达到了《声环境质量标准》（GB3096-2008）</w:t>
            </w:r>
            <w:r>
              <w:rPr>
                <w:rFonts w:hint="eastAsia"/>
                <w:sz w:val="24"/>
              </w:rPr>
              <w:t>中2类标准，</w:t>
            </w:r>
            <w:r>
              <w:rPr>
                <w:sz w:val="24"/>
              </w:rPr>
              <w:t>项目</w:t>
            </w:r>
            <w:r>
              <w:rPr>
                <w:rFonts w:hint="eastAsia"/>
                <w:sz w:val="24"/>
              </w:rPr>
              <w:t>产生噪声经有效处理后达标排放具有可靠性，同时</w:t>
            </w:r>
            <w:r>
              <w:rPr>
                <w:sz w:val="24"/>
              </w:rPr>
              <w:t>对周围声环境不会产生明显的影响。</w:t>
            </w:r>
          </w:p>
          <w:p>
            <w:pPr>
              <w:pStyle w:val="27"/>
              <w:widowControl/>
              <w:overflowPunct/>
              <w:autoSpaceDE/>
              <w:autoSpaceDN/>
              <w:adjustRightInd/>
              <w:ind w:firstLine="420"/>
              <w:jc w:val="left"/>
              <w:rPr>
                <w:sz w:val="24"/>
              </w:rPr>
            </w:pPr>
            <w:r>
              <w:rPr>
                <w:rFonts w:hint="eastAsia"/>
                <w:kern w:val="2"/>
                <w:sz w:val="24"/>
                <w:szCs w:val="28"/>
              </w:rPr>
              <w:t>项目建成后，加强了道路两侧绿化，在车流量及行车速度不变的情况下，机动车辆采取</w:t>
            </w:r>
            <w:r>
              <w:rPr>
                <w:sz w:val="24"/>
              </w:rPr>
              <w:t>装有消声器和符合规定的喇叭，并保持性能良好</w:t>
            </w:r>
            <w:r>
              <w:rPr>
                <w:rFonts w:hint="eastAsia"/>
                <w:kern w:val="2"/>
                <w:sz w:val="24"/>
                <w:szCs w:val="28"/>
              </w:rPr>
              <w:t>。通过加强道路的管理维护，声环境质量可达《</w:t>
            </w:r>
            <w:r>
              <w:rPr>
                <w:rFonts w:hAnsi="宋体"/>
                <w:sz w:val="24"/>
              </w:rPr>
              <w:t>声环境质量标准</w:t>
            </w:r>
            <w:r>
              <w:rPr>
                <w:rFonts w:hint="eastAsia"/>
                <w:sz w:val="24"/>
                <w:szCs w:val="28"/>
              </w:rPr>
              <w:t>》（</w:t>
            </w:r>
            <w:r>
              <w:rPr>
                <w:sz w:val="24"/>
                <w:szCs w:val="28"/>
              </w:rPr>
              <w:t>GB3096-</w:t>
            </w:r>
            <w:r>
              <w:rPr>
                <w:rFonts w:hint="eastAsia"/>
                <w:sz w:val="24"/>
                <w:szCs w:val="28"/>
              </w:rPr>
              <w:t>2008）</w:t>
            </w:r>
            <w:r>
              <w:rPr>
                <w:rFonts w:hint="eastAsia"/>
                <w:kern w:val="2"/>
                <w:sz w:val="24"/>
                <w:szCs w:val="28"/>
              </w:rPr>
              <w:t>中2类标准。因此</w:t>
            </w:r>
            <w:r>
              <w:rPr>
                <w:kern w:val="2"/>
                <w:sz w:val="24"/>
                <w:szCs w:val="28"/>
              </w:rPr>
              <w:t>，本项目运营期</w:t>
            </w:r>
            <w:r>
              <w:rPr>
                <w:rFonts w:hint="eastAsia"/>
                <w:kern w:val="2"/>
                <w:sz w:val="24"/>
                <w:szCs w:val="28"/>
              </w:rPr>
              <w:t>不会</w:t>
            </w:r>
            <w:r>
              <w:rPr>
                <w:kern w:val="2"/>
                <w:sz w:val="24"/>
                <w:szCs w:val="28"/>
              </w:rPr>
              <w:t>对沿线</w:t>
            </w:r>
            <w:r>
              <w:rPr>
                <w:rFonts w:hint="eastAsia"/>
                <w:kern w:val="2"/>
                <w:sz w:val="24"/>
                <w:szCs w:val="28"/>
              </w:rPr>
              <w:t>敏感点产生较</w:t>
            </w:r>
            <w:r>
              <w:rPr>
                <w:rFonts w:hint="eastAsia"/>
                <w:sz w:val="24"/>
                <w:szCs w:val="28"/>
              </w:rPr>
              <w:t>大影响。</w:t>
            </w:r>
          </w:p>
          <w:p>
            <w:pPr>
              <w:pStyle w:val="27"/>
              <w:numPr>
                <w:ilvl w:val="0"/>
                <w:numId w:val="4"/>
              </w:numPr>
              <w:adjustRightInd/>
              <w:spacing w:after="0"/>
              <w:ind w:firstLine="480" w:firstLineChars="200"/>
              <w:rPr>
                <w:sz w:val="24"/>
                <w:szCs w:val="20"/>
              </w:rPr>
            </w:pPr>
            <w:r>
              <w:rPr>
                <w:sz w:val="24"/>
                <w:szCs w:val="20"/>
              </w:rPr>
              <w:t>固废环境影响分析：</w:t>
            </w:r>
          </w:p>
          <w:p>
            <w:pPr>
              <w:spacing w:line="360" w:lineRule="auto"/>
              <w:ind w:firstLine="480" w:firstLineChars="200"/>
              <w:jc w:val="left"/>
              <w:rPr>
                <w:sz w:val="24"/>
              </w:rPr>
            </w:pPr>
            <w:r>
              <w:rPr>
                <w:rFonts w:hAnsi="宋体"/>
                <w:sz w:val="24"/>
              </w:rPr>
              <w:t>营运期的固体废物主要是</w:t>
            </w:r>
            <w:r>
              <w:rPr>
                <w:rFonts w:hint="eastAsia" w:hAnsi="宋体"/>
                <w:sz w:val="24"/>
              </w:rPr>
              <w:t>沉淀池污泥、</w:t>
            </w:r>
            <w:r>
              <w:rPr>
                <w:rFonts w:hAnsi="宋体"/>
                <w:sz w:val="24"/>
              </w:rPr>
              <w:t>生活垃圾</w:t>
            </w:r>
            <w:r>
              <w:rPr>
                <w:rFonts w:hint="eastAsia" w:hAnsi="宋体"/>
                <w:sz w:val="24"/>
              </w:rPr>
              <w:t>和废机油抹布</w:t>
            </w:r>
            <w:r>
              <w:rPr>
                <w:rFonts w:hAnsi="宋体"/>
                <w:sz w:val="24"/>
              </w:rPr>
              <w:t>。</w:t>
            </w:r>
            <w:r>
              <w:rPr>
                <w:rFonts w:hint="eastAsia" w:hAnsi="宋体"/>
                <w:sz w:val="24"/>
              </w:rPr>
              <w:t>沉淀池污泥主要成分为泥土，</w:t>
            </w:r>
            <w:r>
              <w:rPr>
                <w:rFonts w:hint="eastAsia"/>
                <w:bCs/>
                <w:sz w:val="24"/>
                <w:szCs w:val="22"/>
              </w:rPr>
              <w:t>定期清理，外运至建材企业综合利用</w:t>
            </w:r>
            <w:r>
              <w:rPr>
                <w:rFonts w:hAnsi="宋体"/>
                <w:sz w:val="24"/>
              </w:rPr>
              <w:t>；生活垃圾</w:t>
            </w:r>
            <w:r>
              <w:rPr>
                <w:rFonts w:hint="eastAsia" w:hAnsi="宋体"/>
                <w:sz w:val="24"/>
              </w:rPr>
              <w:t>及维修产生的废机油抹布（属于危废豁免范围）</w:t>
            </w:r>
            <w:r>
              <w:rPr>
                <w:rFonts w:hAnsi="宋体"/>
                <w:sz w:val="24"/>
              </w:rPr>
              <w:t>经收集后，定期运往生活垃圾填埋场卫生处置。采取以上措施后，</w:t>
            </w:r>
            <w:r>
              <w:rPr>
                <w:rFonts w:hint="eastAsia" w:hAnsi="宋体"/>
                <w:sz w:val="24"/>
              </w:rPr>
              <w:t>项目</w:t>
            </w:r>
            <w:r>
              <w:rPr>
                <w:rFonts w:hAnsi="宋体"/>
                <w:sz w:val="24"/>
              </w:rPr>
              <w:t>固体废物均可得到妥善处理，对周围环境不会造成影响。</w:t>
            </w:r>
          </w:p>
          <w:p>
            <w:pPr>
              <w:pStyle w:val="2"/>
              <w:ind w:firstLine="480" w:firstLineChars="200"/>
              <w:rPr>
                <w:rFonts w:hint="eastAsia" w:eastAsia="宋体"/>
                <w:lang w:eastAsia="zh-CN"/>
              </w:rPr>
            </w:pPr>
            <w:r>
              <w:rPr>
                <w:rFonts w:hint="eastAsia"/>
                <w:sz w:val="24"/>
                <w:lang w:eastAsia="zh-CN"/>
              </w:rPr>
              <w:t>（</w:t>
            </w:r>
            <w:r>
              <w:rPr>
                <w:rFonts w:hint="eastAsia"/>
                <w:sz w:val="24"/>
                <w:lang w:val="en-US" w:eastAsia="zh-CN"/>
              </w:rPr>
              <w:t>5</w:t>
            </w:r>
            <w:r>
              <w:rPr>
                <w:rFonts w:hint="eastAsia"/>
                <w:sz w:val="24"/>
                <w:lang w:eastAsia="zh-CN"/>
              </w:rPr>
              <w:t>）土壤环境影响评价结论</w:t>
            </w:r>
          </w:p>
          <w:p>
            <w:pPr>
              <w:spacing w:line="360" w:lineRule="auto"/>
              <w:ind w:firstLine="480" w:firstLineChars="200"/>
              <w:rPr>
                <w:rFonts w:hint="eastAsia"/>
                <w:b/>
                <w:sz w:val="24"/>
              </w:rPr>
            </w:pPr>
            <w:r>
              <w:rPr>
                <w:rFonts w:hint="eastAsia"/>
                <w:sz w:val="24"/>
              </w:rPr>
              <w:t>项目在污染防控措施及落实好厂区防渗工作的前提下，项目生产过程对厂区及周边土壤影响较小。</w:t>
            </w:r>
          </w:p>
          <w:p>
            <w:pPr>
              <w:widowControl/>
              <w:spacing w:line="360" w:lineRule="auto"/>
              <w:ind w:firstLine="480" w:firstLineChars="200"/>
              <w:jc w:val="left"/>
              <w:rPr>
                <w:sz w:val="24"/>
              </w:rPr>
            </w:pPr>
            <w:r>
              <w:rPr>
                <w:rFonts w:hint="eastAsia"/>
                <w:sz w:val="24"/>
              </w:rPr>
              <w:t>（</w:t>
            </w:r>
            <w:r>
              <w:rPr>
                <w:rFonts w:hint="eastAsia"/>
                <w:sz w:val="24"/>
                <w:lang w:val="en-US" w:eastAsia="zh-CN"/>
              </w:rPr>
              <w:t>6</w:t>
            </w:r>
            <w:r>
              <w:rPr>
                <w:rFonts w:hint="eastAsia"/>
                <w:sz w:val="24"/>
              </w:rPr>
              <w:t>）</w:t>
            </w:r>
            <w:r>
              <w:rPr>
                <w:sz w:val="24"/>
              </w:rPr>
              <w:t>项目的先进性与清洁生产</w:t>
            </w:r>
          </w:p>
          <w:p>
            <w:pPr>
              <w:pStyle w:val="27"/>
              <w:widowControl/>
              <w:spacing w:after="0"/>
              <w:ind w:firstLine="480" w:firstLineChars="200"/>
              <w:jc w:val="left"/>
              <w:rPr>
                <w:sz w:val="24"/>
                <w:szCs w:val="20"/>
              </w:rPr>
            </w:pPr>
            <w:r>
              <w:rPr>
                <w:sz w:val="24"/>
                <w:szCs w:val="20"/>
              </w:rPr>
              <w:t>本项目采用先进、可靠的工艺技术，所选择的设备属于技术上成熟、经济上合理、生产上实用的设备。提高了资源的利用率，其清洁生产技术指标达到清洁生产水平。</w:t>
            </w:r>
          </w:p>
          <w:p>
            <w:pPr>
              <w:spacing w:line="360" w:lineRule="auto"/>
              <w:ind w:firstLine="480" w:firstLineChars="200"/>
              <w:rPr>
                <w:sz w:val="24"/>
              </w:rPr>
            </w:pPr>
            <w:r>
              <w:rPr>
                <w:rFonts w:hint="eastAsia"/>
                <w:sz w:val="24"/>
              </w:rPr>
              <w:t>（</w:t>
            </w:r>
            <w:r>
              <w:rPr>
                <w:rFonts w:hint="eastAsia"/>
                <w:sz w:val="24"/>
                <w:lang w:val="en-US" w:eastAsia="zh-CN"/>
              </w:rPr>
              <w:t>7</w:t>
            </w:r>
            <w:r>
              <w:rPr>
                <w:rFonts w:hint="eastAsia"/>
                <w:sz w:val="24"/>
              </w:rPr>
              <w:t>）</w:t>
            </w:r>
            <w:r>
              <w:rPr>
                <w:sz w:val="24"/>
              </w:rPr>
              <w:t>项目选址的可行性分析</w:t>
            </w:r>
          </w:p>
          <w:p>
            <w:pPr>
              <w:spacing w:line="360" w:lineRule="auto"/>
              <w:ind w:firstLine="480" w:firstLineChars="200"/>
              <w:rPr>
                <w:sz w:val="24"/>
              </w:rPr>
            </w:pPr>
            <w:r>
              <w:rPr>
                <w:rFonts w:hint="eastAsia"/>
                <w:sz w:val="24"/>
              </w:rPr>
              <w:t>项目</w:t>
            </w:r>
            <w:r>
              <w:rPr>
                <w:sz w:val="24"/>
              </w:rPr>
              <w:t>符合</w:t>
            </w:r>
            <w:r>
              <w:rPr>
                <w:rFonts w:hint="eastAsia"/>
                <w:sz w:val="24"/>
              </w:rPr>
              <w:t>用地性质</w:t>
            </w:r>
            <w:r>
              <w:rPr>
                <w:sz w:val="24"/>
              </w:rPr>
              <w:t>要求；目前评价区域内空气、纳污水体环境质量、声环境质量</w:t>
            </w:r>
            <w:r>
              <w:rPr>
                <w:rFonts w:hint="eastAsia"/>
                <w:sz w:val="24"/>
              </w:rPr>
              <w:t>均本</w:t>
            </w:r>
            <w:r>
              <w:rPr>
                <w:sz w:val="24"/>
              </w:rPr>
              <w:t>能满足相应功能区要求；项目技术成熟，环保设备能达标并稳定运行</w:t>
            </w:r>
            <w:r>
              <w:rPr>
                <w:rFonts w:hint="eastAsia"/>
                <w:sz w:val="24"/>
              </w:rPr>
              <w:t>；</w:t>
            </w:r>
            <w:r>
              <w:rPr>
                <w:sz w:val="24"/>
              </w:rPr>
              <w:t>工程的建成投产，可以带动当地经济发展</w:t>
            </w:r>
            <w:r>
              <w:rPr>
                <w:rFonts w:hint="eastAsia"/>
                <w:sz w:val="24"/>
              </w:rPr>
              <w:t>。</w:t>
            </w:r>
            <w:r>
              <w:rPr>
                <w:sz w:val="24"/>
              </w:rPr>
              <w:t>项目选址可行。</w:t>
            </w:r>
          </w:p>
          <w:p>
            <w:pPr>
              <w:spacing w:line="360" w:lineRule="auto"/>
              <w:ind w:firstLine="480" w:firstLineChars="200"/>
              <w:rPr>
                <w:sz w:val="24"/>
              </w:rPr>
            </w:pPr>
            <w:r>
              <w:rPr>
                <w:rFonts w:hint="eastAsia"/>
                <w:sz w:val="24"/>
              </w:rPr>
              <w:t>（</w:t>
            </w:r>
            <w:r>
              <w:rPr>
                <w:rFonts w:hint="eastAsia"/>
                <w:sz w:val="24"/>
                <w:lang w:val="en-US" w:eastAsia="zh-CN"/>
              </w:rPr>
              <w:t>8</w:t>
            </w:r>
            <w:r>
              <w:rPr>
                <w:rFonts w:hint="eastAsia"/>
                <w:sz w:val="24"/>
              </w:rPr>
              <w:t>）平面</w:t>
            </w:r>
            <w:r>
              <w:rPr>
                <w:sz w:val="24"/>
              </w:rPr>
              <w:t>布置合理性与建议</w:t>
            </w:r>
          </w:p>
          <w:p>
            <w:pPr>
              <w:spacing w:line="360" w:lineRule="auto"/>
              <w:ind w:firstLine="480" w:firstLineChars="200"/>
              <w:rPr>
                <w:sz w:val="24"/>
                <w:szCs w:val="24"/>
              </w:rPr>
            </w:pPr>
            <w:r>
              <w:rPr>
                <w:rFonts w:hint="eastAsia"/>
                <w:sz w:val="24"/>
              </w:rPr>
              <w:t>厂区内布局以功能为要素划分，办公生活区和生产区分隔开，生产区中间紧邻进场道路作为原料堆场，生产加工车间位于原料堆场西侧，由南至北为破碎、筛分，筛分后的成品进入厂区北侧的成品堆场，成品堆场位于加工生产车间东侧（紧邻南侧进场道路，便于运输），整个工艺流程由东至西分布，保证了各种物料运输路线缩短快捷，减少或避免折返运输。厂区主出入口位于东南侧，与公路相临。项目因地制宜，合理布局，并在厂区周边布置绿化带，本工程的总平面布置将生产协作密切的车间组织在一起，力求做到建筑布置合理，功能分区明确，人车分离，物流畅通环形通畅的道路系统。因此，项目厂区平面布置基本合理。同时，本环评要求该项目道路及建筑厂区等设施的建设必须符合</w:t>
            </w:r>
            <w:r>
              <w:rPr>
                <w:rFonts w:hint="eastAsia"/>
                <w:sz w:val="24"/>
                <w:szCs w:val="24"/>
              </w:rPr>
              <w:t>住房和城乡建设部文件《机制砂石骨料工厂设计规范（GB51186-2016）》的要求。</w:t>
            </w:r>
          </w:p>
          <w:p>
            <w:pPr>
              <w:spacing w:line="360" w:lineRule="auto"/>
              <w:ind w:firstLine="482" w:firstLineChars="200"/>
              <w:rPr>
                <w:b/>
                <w:sz w:val="24"/>
              </w:rPr>
            </w:pPr>
            <w:r>
              <w:rPr>
                <w:rFonts w:hint="eastAsia"/>
                <w:b/>
                <w:sz w:val="24"/>
              </w:rPr>
              <w:t>4</w:t>
            </w:r>
            <w:r>
              <w:rPr>
                <w:b/>
                <w:sz w:val="24"/>
              </w:rPr>
              <w:t>、综合评价结论</w:t>
            </w:r>
          </w:p>
          <w:p>
            <w:pPr>
              <w:tabs>
                <w:tab w:val="left" w:pos="2100"/>
              </w:tabs>
              <w:spacing w:line="360" w:lineRule="auto"/>
              <w:ind w:firstLine="480" w:firstLineChars="200"/>
              <w:rPr>
                <w:rFonts w:ascii="宋体" w:hAnsi="宋体"/>
                <w:sz w:val="24"/>
              </w:rPr>
            </w:pPr>
            <w:r>
              <w:rPr>
                <w:rFonts w:hint="eastAsia"/>
                <w:sz w:val="24"/>
              </w:rPr>
              <w:t>综上所述，</w:t>
            </w:r>
            <w:r>
              <w:rPr>
                <w:rFonts w:hint="eastAsia" w:ascii="宋体" w:hAnsi="宋体"/>
                <w:bCs/>
                <w:sz w:val="24"/>
                <w:szCs w:val="28"/>
                <w:lang w:eastAsia="zh-CN"/>
              </w:rPr>
              <w:t>华容县万庾村砂石加工厂</w:t>
            </w:r>
            <w:r>
              <w:rPr>
                <w:rFonts w:hint="eastAsia"/>
                <w:sz w:val="24"/>
              </w:rPr>
              <w:t>60万吨/年机制砂建设项目</w:t>
            </w:r>
            <w:r>
              <w:rPr>
                <w:sz w:val="24"/>
              </w:rPr>
              <w:t>符合国家产业政策，所在区域环境质量</w:t>
            </w:r>
            <w:r>
              <w:rPr>
                <w:rFonts w:hint="eastAsia"/>
                <w:sz w:val="24"/>
              </w:rPr>
              <w:t>较</w:t>
            </w:r>
            <w:r>
              <w:rPr>
                <w:sz w:val="24"/>
              </w:rPr>
              <w:t>好，有一定的环境容量</w:t>
            </w:r>
            <w:r>
              <w:rPr>
                <w:rFonts w:hint="eastAsia"/>
                <w:sz w:val="24"/>
              </w:rPr>
              <w:t>。</w:t>
            </w:r>
            <w:r>
              <w:rPr>
                <w:sz w:val="24"/>
              </w:rPr>
              <w:t>项目</w:t>
            </w:r>
            <w:r>
              <w:rPr>
                <w:rFonts w:hint="eastAsia"/>
                <w:sz w:val="24"/>
              </w:rPr>
              <w:t>建设在应</w:t>
            </w:r>
            <w:r>
              <w:rPr>
                <w:sz w:val="24"/>
              </w:rPr>
              <w:t>严格执行环保</w:t>
            </w:r>
            <w:r>
              <w:rPr>
                <w:rFonts w:hint="eastAsia"/>
                <w:sz w:val="24"/>
              </w:rPr>
              <w:t>“</w:t>
            </w:r>
            <w:r>
              <w:rPr>
                <w:sz w:val="24"/>
              </w:rPr>
              <w:t>三同时</w:t>
            </w:r>
            <w:r>
              <w:rPr>
                <w:rFonts w:hint="eastAsia"/>
                <w:sz w:val="24"/>
              </w:rPr>
              <w:t>”</w:t>
            </w:r>
            <w:r>
              <w:rPr>
                <w:sz w:val="24"/>
              </w:rPr>
              <w:t>制度</w:t>
            </w:r>
            <w:r>
              <w:rPr>
                <w:rFonts w:hint="eastAsia"/>
                <w:sz w:val="24"/>
              </w:rPr>
              <w:t>基础上</w:t>
            </w:r>
            <w:r>
              <w:rPr>
                <w:sz w:val="24"/>
              </w:rPr>
              <w:t>，严格按照设计和环评建议</w:t>
            </w:r>
            <w:r>
              <w:rPr>
                <w:rFonts w:hint="eastAsia"/>
                <w:sz w:val="24"/>
              </w:rPr>
              <w:t>落实污染控制和</w:t>
            </w:r>
            <w:r>
              <w:rPr>
                <w:sz w:val="24"/>
              </w:rPr>
              <w:t>治理措施</w:t>
            </w:r>
            <w:r>
              <w:rPr>
                <w:rFonts w:hint="eastAsia"/>
                <w:sz w:val="24"/>
              </w:rPr>
              <w:t>，使其</w:t>
            </w:r>
            <w:r>
              <w:rPr>
                <w:sz w:val="24"/>
              </w:rPr>
              <w:t>对环境的不利影响减少到</w:t>
            </w:r>
            <w:r>
              <w:rPr>
                <w:rFonts w:hint="eastAsia"/>
                <w:sz w:val="24"/>
              </w:rPr>
              <w:t>最小</w:t>
            </w:r>
            <w:r>
              <w:rPr>
                <w:sz w:val="24"/>
              </w:rPr>
              <w:t>限度</w:t>
            </w:r>
            <w:r>
              <w:rPr>
                <w:rFonts w:hint="eastAsia"/>
                <w:sz w:val="24"/>
              </w:rPr>
              <w:t>。因此，建设单位在采取本评价所述措施对项目产生的污染物进行污染控制和治理，确保</w:t>
            </w:r>
            <w:r>
              <w:rPr>
                <w:rFonts w:hAnsi="宋体"/>
                <w:sz w:val="24"/>
              </w:rPr>
              <w:t>污染物达标排放</w:t>
            </w:r>
            <w:r>
              <w:rPr>
                <w:rFonts w:hint="eastAsia" w:hAnsi="宋体"/>
                <w:sz w:val="24"/>
              </w:rPr>
              <w:t>，</w:t>
            </w:r>
            <w:r>
              <w:rPr>
                <w:rFonts w:hint="eastAsia"/>
                <w:sz w:val="24"/>
              </w:rPr>
              <w:t>对周围环境影响满足相应标准要求的情况下，</w:t>
            </w:r>
            <w:r>
              <w:rPr>
                <w:rFonts w:hint="eastAsia" w:ascii="宋体" w:hAnsi="宋体"/>
                <w:sz w:val="24"/>
              </w:rPr>
              <w:t>从环保的角度来说，项目建设是可行的。</w:t>
            </w:r>
          </w:p>
          <w:p>
            <w:pPr>
              <w:numPr>
                <w:ilvl w:val="0"/>
                <w:numId w:val="5"/>
              </w:numPr>
              <w:spacing w:line="360" w:lineRule="auto"/>
              <w:rPr>
                <w:b/>
                <w:sz w:val="24"/>
              </w:rPr>
            </w:pPr>
            <w:r>
              <w:rPr>
                <w:b/>
                <w:sz w:val="24"/>
              </w:rPr>
              <w:t>要求与建议：</w:t>
            </w:r>
          </w:p>
          <w:p>
            <w:pPr>
              <w:spacing w:line="360" w:lineRule="auto"/>
              <w:ind w:firstLine="480" w:firstLineChars="200"/>
              <w:rPr>
                <w:sz w:val="24"/>
              </w:rPr>
            </w:pPr>
            <w:r>
              <w:rPr>
                <w:sz w:val="24"/>
              </w:rPr>
              <w:t>（1）严格执行</w:t>
            </w:r>
            <w:r>
              <w:rPr>
                <w:rFonts w:hint="eastAsia"/>
                <w:sz w:val="24"/>
              </w:rPr>
              <w:t>“</w:t>
            </w:r>
            <w:r>
              <w:rPr>
                <w:sz w:val="24"/>
              </w:rPr>
              <w:t>三同时</w:t>
            </w:r>
            <w:r>
              <w:rPr>
                <w:rFonts w:hint="eastAsia"/>
                <w:sz w:val="24"/>
              </w:rPr>
              <w:t>”</w:t>
            </w:r>
            <w:r>
              <w:rPr>
                <w:sz w:val="24"/>
              </w:rPr>
              <w:t>管理制度，所有环保措施及环保设施，应在工程建设过程中同时设计、同时施工、同时投产运行。</w:t>
            </w:r>
          </w:p>
          <w:p>
            <w:pPr>
              <w:spacing w:line="360" w:lineRule="auto"/>
              <w:ind w:firstLine="480" w:firstLineChars="200"/>
              <w:rPr>
                <w:sz w:val="24"/>
              </w:rPr>
            </w:pPr>
            <w:r>
              <w:rPr>
                <w:sz w:val="24"/>
              </w:rPr>
              <w:t>（2）按照环评单位的建议，加强项目</w:t>
            </w:r>
            <w:r>
              <w:rPr>
                <w:rFonts w:hint="eastAsia"/>
                <w:sz w:val="24"/>
              </w:rPr>
              <w:t>施工期</w:t>
            </w:r>
            <w:r>
              <w:rPr>
                <w:sz w:val="24"/>
              </w:rPr>
              <w:t>环保管理措施，减轻项目施工对周围环境的影响。</w:t>
            </w:r>
          </w:p>
          <w:p>
            <w:pPr>
              <w:spacing w:line="360" w:lineRule="auto"/>
              <w:ind w:firstLine="480" w:firstLineChars="200"/>
              <w:rPr>
                <w:sz w:val="24"/>
                <w:szCs w:val="22"/>
              </w:rPr>
            </w:pPr>
            <w:r>
              <w:rPr>
                <w:sz w:val="24"/>
              </w:rPr>
              <w:t>（</w:t>
            </w:r>
            <w:r>
              <w:rPr>
                <w:rFonts w:hint="eastAsia"/>
                <w:sz w:val="24"/>
              </w:rPr>
              <w:t>3</w:t>
            </w:r>
            <w:r>
              <w:rPr>
                <w:sz w:val="24"/>
              </w:rPr>
              <w:t>）加强职工环境意识教育，制定环保设施操作运行规程，建立健全各项环保岗位责任制，强</w:t>
            </w:r>
            <w:r>
              <w:rPr>
                <w:sz w:val="24"/>
                <w:szCs w:val="22"/>
              </w:rPr>
              <w:t>化环保管理，确保环保设施正常稳定运行，防止事故发生。</w:t>
            </w:r>
          </w:p>
          <w:p>
            <w:pPr>
              <w:spacing w:line="360" w:lineRule="auto"/>
              <w:ind w:firstLine="480" w:firstLineChars="200"/>
              <w:rPr>
                <w:sz w:val="24"/>
                <w:szCs w:val="22"/>
              </w:rPr>
            </w:pPr>
            <w:r>
              <w:rPr>
                <w:rFonts w:hint="eastAsia"/>
                <w:sz w:val="24"/>
                <w:szCs w:val="22"/>
              </w:rPr>
              <w:t>（4）</w:t>
            </w:r>
            <w:r>
              <w:rPr>
                <w:sz w:val="24"/>
                <w:szCs w:val="22"/>
              </w:rPr>
              <w:t>要及时收集、清理生产固废，减少堆积。</w:t>
            </w:r>
          </w:p>
          <w:p>
            <w:pPr>
              <w:spacing w:line="360" w:lineRule="auto"/>
              <w:ind w:firstLine="480" w:firstLineChars="200"/>
              <w:rPr>
                <w:sz w:val="24"/>
              </w:rPr>
            </w:pPr>
            <w:r>
              <w:rPr>
                <w:rFonts w:hint="eastAsia"/>
                <w:sz w:val="24"/>
                <w:szCs w:val="22"/>
              </w:rPr>
              <w:t>（5）项目禁止夜间生产</w:t>
            </w:r>
            <w:r>
              <w:rPr>
                <w:rStyle w:val="35"/>
                <w:rFonts w:hint="eastAsia"/>
              </w:rPr>
              <w:t>。</w:t>
            </w:r>
          </w:p>
          <w:p>
            <w:pPr>
              <w:spacing w:line="360" w:lineRule="auto"/>
              <w:ind w:firstLine="480" w:firstLineChars="200"/>
              <w:rPr>
                <w:rFonts w:hint="eastAsia"/>
                <w:sz w:val="24"/>
                <w:szCs w:val="22"/>
              </w:rPr>
            </w:pPr>
            <w:r>
              <w:rPr>
                <w:rFonts w:hint="eastAsia"/>
                <w:sz w:val="24"/>
              </w:rPr>
              <w:t>（6）该项目道路及建筑厂区等设施的建设必须符合</w:t>
            </w:r>
            <w:r>
              <w:rPr>
                <w:rFonts w:hint="eastAsia"/>
                <w:sz w:val="24"/>
                <w:szCs w:val="24"/>
              </w:rPr>
              <w:t>住房和城乡建设部文件《机制砂石骨料工厂</w:t>
            </w:r>
            <w:r>
              <w:rPr>
                <w:rFonts w:hint="eastAsia"/>
                <w:sz w:val="24"/>
                <w:szCs w:val="22"/>
              </w:rPr>
              <w:t>设计规范（GB51186-2016）》的要求。</w:t>
            </w:r>
          </w:p>
          <w:p>
            <w:pPr>
              <w:spacing w:line="360" w:lineRule="auto"/>
              <w:ind w:firstLine="480" w:firstLineChars="200"/>
              <w:rPr>
                <w:rFonts w:hint="eastAsia"/>
                <w:sz w:val="24"/>
                <w:szCs w:val="22"/>
                <w:lang w:eastAsia="zh-CN"/>
              </w:rPr>
            </w:pPr>
            <w:r>
              <w:rPr>
                <w:rFonts w:hint="eastAsia"/>
                <w:sz w:val="24"/>
                <w:szCs w:val="22"/>
                <w:lang w:eastAsia="zh-CN"/>
              </w:rPr>
              <w:t>（</w:t>
            </w:r>
            <w:r>
              <w:rPr>
                <w:rFonts w:hint="eastAsia"/>
                <w:sz w:val="24"/>
                <w:szCs w:val="22"/>
                <w:lang w:val="en-US" w:eastAsia="zh-CN"/>
              </w:rPr>
              <w:t>7</w:t>
            </w:r>
            <w:r>
              <w:rPr>
                <w:rFonts w:hint="eastAsia"/>
                <w:sz w:val="24"/>
                <w:szCs w:val="22"/>
                <w:lang w:eastAsia="zh-CN"/>
              </w:rPr>
              <w:t>）污泥暂存场所四周设导流水沟。</w:t>
            </w:r>
          </w:p>
          <w:p>
            <w:pPr>
              <w:spacing w:line="360" w:lineRule="auto"/>
              <w:ind w:firstLine="482" w:firstLineChars="200"/>
              <w:rPr>
                <w:rFonts w:hint="eastAsia" w:eastAsia="宋体"/>
                <w:b/>
                <w:color w:val="FF0000"/>
                <w:sz w:val="24"/>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rPr>
          <w:trHeight w:val="6090" w:hRule="atLeast"/>
          <w:jc w:val="center"/>
        </w:trPr>
        <w:tc>
          <w:tcPr>
            <w:tcW w:w="8522" w:type="dxa"/>
          </w:tcPr>
          <w:p>
            <w:pPr>
              <w:spacing w:before="240"/>
              <w:rPr>
                <w:sz w:val="24"/>
              </w:rPr>
            </w:pPr>
            <w:r>
              <w:rPr>
                <w:sz w:val="24"/>
              </w:rPr>
              <w:t>预审意见：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napToGrid w:val="0"/>
              <w:spacing w:line="360" w:lineRule="auto"/>
              <w:ind w:firstLine="600" w:firstLineChars="250"/>
              <w:rPr>
                <w:sz w:val="24"/>
              </w:rPr>
            </w:pPr>
            <w:r>
              <w:rPr>
                <w:sz w:val="24"/>
              </w:rPr>
              <w:t xml:space="preserve">                                                  公   章</w:t>
            </w:r>
          </w:p>
          <w:p>
            <w:pPr>
              <w:snapToGrid w:val="0"/>
              <w:spacing w:line="360" w:lineRule="auto"/>
              <w:rPr>
                <w:sz w:val="24"/>
              </w:rPr>
            </w:pPr>
            <w:r>
              <w:rPr>
                <w:sz w:val="24"/>
              </w:rPr>
              <w:t>经办人：                                            年    月    日</w:t>
            </w:r>
          </w:p>
          <w:p>
            <w:pPr>
              <w:snapToGrid w:val="0"/>
              <w:spacing w:line="360" w:lineRule="auto"/>
              <w:rPr>
                <w:rFonts w:eastAsia="黑体"/>
                <w:b/>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rPr>
          <w:trHeight w:val="7005" w:hRule="atLeast"/>
          <w:jc w:val="center"/>
        </w:trPr>
        <w:tc>
          <w:tcPr>
            <w:tcW w:w="8522" w:type="dxa"/>
          </w:tcPr>
          <w:p>
            <w:pPr>
              <w:spacing w:before="240"/>
              <w:rPr>
                <w:sz w:val="24"/>
              </w:rPr>
            </w:pPr>
            <w:bookmarkStart w:id="31" w:name="OLE_LINK69"/>
            <w:bookmarkStart w:id="32" w:name="OLE_LINK68" w:colFirst="0" w:colLast="0"/>
            <w:r>
              <w:rPr>
                <w:sz w:val="24"/>
              </w:rPr>
              <w:t>下一级环境保护行政主管部门审查意见：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 xml:space="preserve">                                                      公  章</w:t>
            </w:r>
          </w:p>
          <w:p>
            <w:pPr>
              <w:rPr>
                <w:sz w:val="24"/>
              </w:rPr>
            </w:pPr>
          </w:p>
          <w:p>
            <w:pPr>
              <w:rPr>
                <w:sz w:val="24"/>
              </w:rPr>
            </w:pPr>
            <w:r>
              <w:rPr>
                <w:sz w:val="24"/>
              </w:rPr>
              <w:t>经办人：                                          年    月    日</w:t>
            </w:r>
          </w:p>
          <w:p>
            <w:pPr>
              <w:spacing w:before="240"/>
              <w:rPr>
                <w:sz w:val="24"/>
              </w:rPr>
            </w:pPr>
            <w:r>
              <w:rPr>
                <w:sz w:val="24"/>
              </w:rPr>
              <w:t>审批意见：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 xml:space="preserve">                                                     公  章</w:t>
            </w:r>
          </w:p>
          <w:p>
            <w:pPr>
              <w:rPr>
                <w:sz w:val="24"/>
              </w:rPr>
            </w:pPr>
          </w:p>
          <w:p>
            <w:pPr>
              <w:rPr>
                <w:sz w:val="24"/>
              </w:rPr>
            </w:pPr>
            <w:r>
              <w:rPr>
                <w:sz w:val="24"/>
              </w:rPr>
              <w:t>经办人：                                         年    月    日</w:t>
            </w:r>
          </w:p>
          <w:bookmarkEnd w:id="31"/>
          <w:p>
            <w:pPr>
              <w:snapToGrid w:val="0"/>
              <w:spacing w:line="360" w:lineRule="auto"/>
              <w:rPr>
                <w:sz w:val="24"/>
              </w:rPr>
            </w:pPr>
          </w:p>
        </w:tc>
      </w:tr>
      <w:bookmarkEnd w:id="32"/>
    </w:tbl>
    <w:p>
      <w:pPr>
        <w:spacing w:line="300" w:lineRule="exact"/>
        <w:rPr>
          <w:b/>
          <w:color w:val="FF0000"/>
          <w:sz w:val="20"/>
        </w:rPr>
      </w:pPr>
      <w:r>
        <w:rPr>
          <w:b/>
          <w:color w:val="FF0000"/>
          <w:sz w:val="20"/>
        </w:rPr>
        <w:br w:type="page"/>
      </w:r>
    </w:p>
    <w:tbl>
      <w:tblPr>
        <w:tblStyle w:val="28"/>
        <w:tblW w:w="852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25" w:hRule="atLeast"/>
          <w:jc w:val="center"/>
        </w:trPr>
        <w:tc>
          <w:tcPr>
            <w:tcW w:w="8522" w:type="dxa"/>
          </w:tcPr>
          <w:p>
            <w:pPr>
              <w:adjustRightInd w:val="0"/>
              <w:snapToGrid w:val="0"/>
              <w:spacing w:line="360" w:lineRule="auto"/>
              <w:jc w:val="center"/>
              <w:rPr>
                <w:rFonts w:eastAsia="黑体"/>
                <w:sz w:val="32"/>
              </w:rPr>
            </w:pPr>
            <w:r>
              <w:rPr>
                <w:rFonts w:eastAsia="黑体"/>
                <w:sz w:val="32"/>
              </w:rPr>
              <w:t>注    释</w:t>
            </w:r>
          </w:p>
          <w:p>
            <w:pPr>
              <w:adjustRightInd w:val="0"/>
              <w:snapToGrid w:val="0"/>
              <w:spacing w:line="360" w:lineRule="auto"/>
              <w:jc w:val="left"/>
              <w:rPr>
                <w:sz w:val="24"/>
                <w:szCs w:val="24"/>
              </w:rPr>
            </w:pPr>
            <w:r>
              <w:rPr>
                <w:sz w:val="24"/>
                <w:szCs w:val="24"/>
              </w:rPr>
              <w:t xml:space="preserve">本报告表应附以下附件、附图：    </w:t>
            </w:r>
          </w:p>
          <w:p>
            <w:pPr>
              <w:adjustRightInd w:val="0"/>
              <w:snapToGrid w:val="0"/>
              <w:spacing w:line="360" w:lineRule="auto"/>
              <w:ind w:firstLine="570"/>
              <w:rPr>
                <w:rStyle w:val="35"/>
                <w:rFonts w:hint="eastAsia" w:eastAsia="宋体"/>
                <w:sz w:val="24"/>
                <w:szCs w:val="24"/>
                <w:lang w:val="en-US" w:eastAsia="zh-CN"/>
              </w:rPr>
            </w:pPr>
            <w:r>
              <w:rPr>
                <w:sz w:val="24"/>
                <w:szCs w:val="24"/>
              </w:rPr>
              <w:t xml:space="preserve">附件1  </w:t>
            </w:r>
            <w:r>
              <w:rPr>
                <w:rFonts w:hint="eastAsia"/>
                <w:sz w:val="24"/>
                <w:szCs w:val="24"/>
                <w:lang w:val="en-US" w:eastAsia="zh-CN"/>
              </w:rPr>
              <w:t xml:space="preserve"> </w:t>
            </w:r>
            <w:r>
              <w:rPr>
                <w:sz w:val="24"/>
                <w:szCs w:val="24"/>
              </w:rPr>
              <w:t>项目委托书</w:t>
            </w:r>
            <w:r>
              <w:rPr>
                <w:rFonts w:hint="eastAsia"/>
                <w:sz w:val="24"/>
                <w:szCs w:val="24"/>
                <w:lang w:eastAsia="zh-CN"/>
              </w:rPr>
              <w:t>、变更说明、个体工商户转让协议及营业执照</w:t>
            </w:r>
          </w:p>
          <w:p>
            <w:pPr>
              <w:adjustRightInd w:val="0"/>
              <w:snapToGrid w:val="0"/>
              <w:spacing w:line="360" w:lineRule="auto"/>
              <w:ind w:firstLine="570"/>
              <w:rPr>
                <w:rStyle w:val="35"/>
                <w:sz w:val="24"/>
                <w:szCs w:val="24"/>
              </w:rPr>
            </w:pPr>
            <w:r>
              <w:rPr>
                <w:rStyle w:val="35"/>
                <w:sz w:val="24"/>
                <w:szCs w:val="24"/>
              </w:rPr>
              <w:t xml:space="preserve">附件2  </w:t>
            </w:r>
            <w:r>
              <w:rPr>
                <w:rStyle w:val="35"/>
                <w:rFonts w:hint="eastAsia"/>
                <w:sz w:val="24"/>
                <w:szCs w:val="24"/>
                <w:lang w:val="en-US" w:eastAsia="zh-CN"/>
              </w:rPr>
              <w:t xml:space="preserve"> </w:t>
            </w:r>
            <w:r>
              <w:rPr>
                <w:rStyle w:val="35"/>
                <w:sz w:val="24"/>
                <w:szCs w:val="24"/>
              </w:rPr>
              <w:t>项目监测报告及质保单</w:t>
            </w:r>
          </w:p>
          <w:p>
            <w:pPr>
              <w:adjustRightInd w:val="0"/>
              <w:snapToGrid w:val="0"/>
              <w:spacing w:line="360" w:lineRule="auto"/>
              <w:ind w:firstLine="570"/>
              <w:rPr>
                <w:rStyle w:val="35"/>
                <w:sz w:val="24"/>
                <w:szCs w:val="24"/>
              </w:rPr>
            </w:pPr>
            <w:r>
              <w:rPr>
                <w:rStyle w:val="35"/>
                <w:sz w:val="24"/>
                <w:szCs w:val="24"/>
              </w:rPr>
              <w:t xml:space="preserve">附件3  </w:t>
            </w:r>
            <w:r>
              <w:rPr>
                <w:rStyle w:val="35"/>
                <w:rFonts w:hint="eastAsia"/>
                <w:sz w:val="24"/>
                <w:szCs w:val="24"/>
                <w:lang w:val="en-US" w:eastAsia="zh-CN"/>
              </w:rPr>
              <w:t xml:space="preserve"> </w:t>
            </w:r>
            <w:r>
              <w:rPr>
                <w:rStyle w:val="35"/>
                <w:rFonts w:hint="eastAsia"/>
                <w:sz w:val="24"/>
                <w:szCs w:val="24"/>
              </w:rPr>
              <w:t>项目供货协议及营业执照</w:t>
            </w:r>
          </w:p>
          <w:p>
            <w:pPr>
              <w:adjustRightInd w:val="0"/>
              <w:snapToGrid w:val="0"/>
              <w:spacing w:line="360" w:lineRule="auto"/>
              <w:ind w:firstLine="570"/>
              <w:rPr>
                <w:rStyle w:val="35"/>
                <w:rFonts w:hint="eastAsia"/>
                <w:color w:val="auto"/>
                <w:sz w:val="24"/>
                <w:szCs w:val="24"/>
              </w:rPr>
            </w:pPr>
            <w:r>
              <w:rPr>
                <w:rStyle w:val="35"/>
                <w:rFonts w:hint="eastAsia"/>
                <w:color w:val="auto"/>
                <w:sz w:val="24"/>
                <w:szCs w:val="24"/>
              </w:rPr>
              <w:t xml:space="preserve">附件4  </w:t>
            </w:r>
            <w:r>
              <w:rPr>
                <w:rStyle w:val="35"/>
                <w:rFonts w:hint="eastAsia"/>
                <w:color w:val="auto"/>
                <w:sz w:val="24"/>
                <w:szCs w:val="24"/>
                <w:lang w:val="en-US" w:eastAsia="zh-CN"/>
              </w:rPr>
              <w:t xml:space="preserve"> </w:t>
            </w:r>
            <w:r>
              <w:rPr>
                <w:rStyle w:val="35"/>
                <w:rFonts w:hint="eastAsia"/>
                <w:color w:val="auto"/>
                <w:sz w:val="24"/>
                <w:szCs w:val="24"/>
              </w:rPr>
              <w:t>项目与五码口码头协议</w:t>
            </w:r>
          </w:p>
          <w:p>
            <w:pPr>
              <w:adjustRightInd w:val="0"/>
              <w:snapToGrid w:val="0"/>
              <w:spacing w:line="360" w:lineRule="auto"/>
              <w:ind w:firstLine="570"/>
              <w:rPr>
                <w:rStyle w:val="35"/>
                <w:rFonts w:hint="eastAsia" w:eastAsia="宋体"/>
                <w:color w:val="000000" w:themeColor="text1"/>
                <w:sz w:val="24"/>
                <w:szCs w:val="24"/>
                <w:lang w:eastAsia="zh-CN"/>
              </w:rPr>
            </w:pPr>
            <w:r>
              <w:rPr>
                <w:rStyle w:val="35"/>
                <w:color w:val="000000" w:themeColor="text1"/>
                <w:sz w:val="24"/>
                <w:szCs w:val="24"/>
              </w:rPr>
              <w:t>附件</w:t>
            </w:r>
            <w:r>
              <w:rPr>
                <w:rStyle w:val="35"/>
                <w:rFonts w:hint="eastAsia"/>
                <w:color w:val="000000" w:themeColor="text1"/>
                <w:sz w:val="24"/>
                <w:szCs w:val="24"/>
                <w:lang w:val="en-US" w:eastAsia="zh-CN"/>
              </w:rPr>
              <w:t>5   华容县万庾镇人民政府意见</w:t>
            </w:r>
          </w:p>
          <w:p>
            <w:pPr>
              <w:adjustRightInd w:val="0"/>
              <w:snapToGrid w:val="0"/>
              <w:spacing w:line="360" w:lineRule="auto"/>
              <w:ind w:firstLine="570"/>
              <w:rPr>
                <w:rStyle w:val="35"/>
                <w:rFonts w:hint="eastAsia"/>
                <w:color w:val="000000" w:themeColor="text1"/>
                <w:sz w:val="24"/>
                <w:szCs w:val="24"/>
                <w:lang w:val="en-US" w:eastAsia="zh-CN"/>
              </w:rPr>
            </w:pPr>
            <w:r>
              <w:rPr>
                <w:rStyle w:val="35"/>
                <w:rFonts w:hint="eastAsia"/>
                <w:color w:val="000000" w:themeColor="text1"/>
                <w:sz w:val="24"/>
                <w:szCs w:val="24"/>
              </w:rPr>
              <w:t>附件</w:t>
            </w:r>
            <w:r>
              <w:rPr>
                <w:rStyle w:val="35"/>
                <w:rFonts w:hint="eastAsia"/>
                <w:color w:val="000000" w:themeColor="text1"/>
                <w:sz w:val="24"/>
                <w:szCs w:val="24"/>
                <w:lang w:val="en-US" w:eastAsia="zh-CN"/>
              </w:rPr>
              <w:t xml:space="preserve">6   </w:t>
            </w:r>
            <w:r>
              <w:rPr>
                <w:rStyle w:val="35"/>
                <w:color w:val="000000" w:themeColor="text1"/>
                <w:sz w:val="24"/>
                <w:szCs w:val="24"/>
              </w:rPr>
              <w:t>项目</w:t>
            </w:r>
            <w:r>
              <w:rPr>
                <w:rStyle w:val="35"/>
                <w:rFonts w:hint="eastAsia"/>
                <w:color w:val="000000" w:themeColor="text1"/>
                <w:sz w:val="24"/>
                <w:szCs w:val="24"/>
                <w:lang w:val="en-US" w:eastAsia="zh-CN"/>
              </w:rPr>
              <w:t>土地入股协议</w:t>
            </w:r>
          </w:p>
          <w:p>
            <w:pPr>
              <w:adjustRightInd w:val="0"/>
              <w:snapToGrid w:val="0"/>
              <w:spacing w:line="360" w:lineRule="auto"/>
              <w:ind w:firstLine="570"/>
              <w:rPr>
                <w:rStyle w:val="35"/>
                <w:rFonts w:hint="eastAsia"/>
                <w:color w:val="auto"/>
                <w:sz w:val="24"/>
                <w:szCs w:val="24"/>
                <w:lang w:val="en-US" w:eastAsia="zh-CN"/>
              </w:rPr>
            </w:pPr>
            <w:r>
              <w:rPr>
                <w:rStyle w:val="35"/>
                <w:rFonts w:hint="eastAsia"/>
                <w:color w:val="auto"/>
                <w:sz w:val="24"/>
                <w:szCs w:val="24"/>
                <w:lang w:val="en-US" w:eastAsia="zh-CN"/>
              </w:rPr>
              <w:t>附件7   华容县规划局乡镇规划意见</w:t>
            </w:r>
          </w:p>
          <w:p>
            <w:pPr>
              <w:adjustRightInd w:val="0"/>
              <w:snapToGrid w:val="0"/>
              <w:spacing w:line="360" w:lineRule="auto"/>
              <w:ind w:firstLine="570"/>
              <w:rPr>
                <w:rStyle w:val="35"/>
                <w:rFonts w:hint="eastAsia"/>
                <w:color w:val="auto"/>
                <w:sz w:val="24"/>
                <w:szCs w:val="24"/>
                <w:lang w:val="en-US" w:eastAsia="zh-CN"/>
              </w:rPr>
            </w:pPr>
            <w:r>
              <w:rPr>
                <w:rStyle w:val="35"/>
                <w:rFonts w:hint="eastAsia"/>
                <w:color w:val="auto"/>
                <w:sz w:val="24"/>
                <w:szCs w:val="24"/>
                <w:lang w:val="en-US" w:eastAsia="zh-CN"/>
              </w:rPr>
              <w:t>附件8   项目立项文件</w:t>
            </w:r>
          </w:p>
          <w:p>
            <w:pPr>
              <w:adjustRightInd w:val="0"/>
              <w:snapToGrid w:val="0"/>
              <w:spacing w:line="360" w:lineRule="auto"/>
              <w:ind w:firstLine="570"/>
              <w:rPr>
                <w:rStyle w:val="35"/>
                <w:rFonts w:hint="eastAsia"/>
                <w:color w:val="auto"/>
                <w:sz w:val="24"/>
                <w:szCs w:val="24"/>
                <w:lang w:val="en-US" w:eastAsia="zh-CN"/>
              </w:rPr>
            </w:pPr>
            <w:r>
              <w:rPr>
                <w:rStyle w:val="35"/>
                <w:rFonts w:hint="eastAsia"/>
                <w:color w:val="auto"/>
                <w:sz w:val="24"/>
                <w:szCs w:val="24"/>
                <w:lang w:val="en-US" w:eastAsia="zh-CN"/>
              </w:rPr>
              <w:t>附件9   华容县自然资源局意见</w:t>
            </w:r>
          </w:p>
          <w:p>
            <w:pPr>
              <w:adjustRightInd w:val="0"/>
              <w:snapToGrid w:val="0"/>
              <w:spacing w:line="360" w:lineRule="auto"/>
              <w:ind w:firstLine="570"/>
              <w:rPr>
                <w:rStyle w:val="35"/>
                <w:rFonts w:hint="eastAsia"/>
                <w:color w:val="auto"/>
                <w:sz w:val="24"/>
                <w:szCs w:val="24"/>
                <w:lang w:val="en-US" w:eastAsia="zh-CN"/>
              </w:rPr>
            </w:pPr>
            <w:r>
              <w:rPr>
                <w:rStyle w:val="35"/>
                <w:rFonts w:hint="eastAsia"/>
                <w:color w:val="auto"/>
                <w:sz w:val="24"/>
                <w:szCs w:val="24"/>
                <w:lang w:val="en-US" w:eastAsia="zh-CN"/>
              </w:rPr>
              <w:t>附件10  关于落实砂石骨料企业审批手续的函</w:t>
            </w:r>
          </w:p>
          <w:p>
            <w:pPr>
              <w:adjustRightInd w:val="0"/>
              <w:snapToGrid w:val="0"/>
              <w:spacing w:line="360" w:lineRule="auto"/>
              <w:ind w:firstLine="570"/>
              <w:rPr>
                <w:rStyle w:val="35"/>
                <w:rFonts w:hint="default"/>
                <w:color w:val="auto"/>
                <w:sz w:val="24"/>
                <w:szCs w:val="24"/>
                <w:lang w:val="en-US" w:eastAsia="zh-CN"/>
              </w:rPr>
            </w:pPr>
            <w:r>
              <w:rPr>
                <w:rStyle w:val="35"/>
                <w:rFonts w:hint="eastAsia"/>
                <w:color w:val="auto"/>
                <w:sz w:val="24"/>
                <w:szCs w:val="24"/>
                <w:lang w:val="en-US" w:eastAsia="zh-CN"/>
              </w:rPr>
              <w:t>附件11  项目专家意见及签到表</w:t>
            </w:r>
          </w:p>
          <w:p>
            <w:pPr>
              <w:adjustRightInd w:val="0"/>
              <w:snapToGrid w:val="0"/>
              <w:spacing w:line="360" w:lineRule="auto"/>
              <w:ind w:firstLine="570"/>
              <w:rPr>
                <w:rStyle w:val="35"/>
                <w:sz w:val="24"/>
                <w:szCs w:val="24"/>
              </w:rPr>
            </w:pPr>
          </w:p>
          <w:p>
            <w:pPr>
              <w:adjustRightInd w:val="0"/>
              <w:snapToGrid w:val="0"/>
              <w:spacing w:line="360" w:lineRule="auto"/>
              <w:ind w:firstLine="570"/>
              <w:rPr>
                <w:sz w:val="24"/>
                <w:szCs w:val="24"/>
              </w:rPr>
            </w:pPr>
          </w:p>
          <w:p>
            <w:pPr>
              <w:adjustRightInd w:val="0"/>
              <w:snapToGrid w:val="0"/>
              <w:spacing w:line="360" w:lineRule="auto"/>
              <w:ind w:firstLine="570"/>
              <w:rPr>
                <w:sz w:val="24"/>
                <w:szCs w:val="24"/>
              </w:rPr>
            </w:pPr>
            <w:r>
              <w:rPr>
                <w:sz w:val="24"/>
                <w:szCs w:val="24"/>
              </w:rPr>
              <w:t>附图1  项目地理位置示意图</w:t>
            </w:r>
          </w:p>
          <w:p>
            <w:pPr>
              <w:snapToGrid w:val="0"/>
              <w:spacing w:line="360" w:lineRule="auto"/>
              <w:ind w:firstLine="570"/>
              <w:rPr>
                <w:rFonts w:ascii="Times New Roman" w:hAnsi="Times New Roman" w:cs="Times New Roman"/>
                <w:sz w:val="24"/>
                <w:szCs w:val="24"/>
              </w:rPr>
            </w:pPr>
            <w:r>
              <w:rPr>
                <w:sz w:val="24"/>
                <w:szCs w:val="24"/>
              </w:rPr>
              <w:t>附</w:t>
            </w:r>
            <w:r>
              <w:rPr>
                <w:rFonts w:ascii="Times New Roman" w:hAnsi="Times New Roman" w:cs="Times New Roman"/>
                <w:sz w:val="24"/>
                <w:szCs w:val="24"/>
              </w:rPr>
              <w:t>图2  项目平面布置图</w:t>
            </w:r>
          </w:p>
          <w:p>
            <w:pPr>
              <w:snapToGrid w:val="0"/>
              <w:spacing w:line="360" w:lineRule="auto"/>
              <w:ind w:firstLine="57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附图3  华容县生态保护红线区划范围图</w:t>
            </w:r>
          </w:p>
          <w:p>
            <w:pPr>
              <w:snapToGrid w:val="0"/>
              <w:spacing w:line="360" w:lineRule="auto"/>
              <w:ind w:firstLine="57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附图4  项目厂区生产环境保护目标图</w:t>
            </w:r>
          </w:p>
          <w:p>
            <w:pPr>
              <w:snapToGrid w:val="0"/>
              <w:spacing w:line="360" w:lineRule="auto"/>
              <w:ind w:firstLine="57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附图5  项目运输路线环境保护目标图</w:t>
            </w:r>
          </w:p>
          <w:p>
            <w:pPr>
              <w:pStyle w:val="15"/>
              <w:rPr>
                <w:rFonts w:hint="default"/>
                <w:lang w:val="en-US" w:eastAsia="zh-CN"/>
              </w:rPr>
            </w:pPr>
          </w:p>
          <w:p>
            <w:pPr>
              <w:snapToGrid w:val="0"/>
              <w:spacing w:line="360" w:lineRule="auto"/>
              <w:ind w:firstLine="570"/>
              <w:rPr>
                <w:color w:val="FF0000"/>
                <w:sz w:val="28"/>
              </w:rPr>
            </w:pPr>
          </w:p>
          <w:p>
            <w:pPr>
              <w:adjustRightInd w:val="0"/>
              <w:snapToGrid w:val="0"/>
              <w:spacing w:line="360" w:lineRule="auto"/>
              <w:ind w:firstLine="570"/>
              <w:rPr>
                <w:sz w:val="24"/>
                <w:szCs w:val="24"/>
              </w:rPr>
            </w:pPr>
            <w:r>
              <w:rPr>
                <w:rFonts w:hint="eastAsia"/>
                <w:sz w:val="24"/>
                <w:szCs w:val="24"/>
              </w:rPr>
              <w:t>附表1 项目大气环境自查表</w:t>
            </w:r>
          </w:p>
          <w:p>
            <w:pPr>
              <w:adjustRightInd w:val="0"/>
              <w:snapToGrid w:val="0"/>
              <w:spacing w:line="360" w:lineRule="auto"/>
              <w:ind w:firstLine="570"/>
              <w:rPr>
                <w:rStyle w:val="35"/>
                <w:rFonts w:hint="eastAsia"/>
                <w:sz w:val="24"/>
                <w:szCs w:val="24"/>
              </w:rPr>
            </w:pPr>
            <w:r>
              <w:rPr>
                <w:rStyle w:val="35"/>
                <w:rFonts w:hint="eastAsia"/>
                <w:sz w:val="24"/>
                <w:szCs w:val="24"/>
              </w:rPr>
              <w:t>附表2 项目水环境自查表</w:t>
            </w:r>
          </w:p>
          <w:p>
            <w:pPr>
              <w:adjustRightInd w:val="0"/>
              <w:snapToGrid w:val="0"/>
              <w:spacing w:line="360" w:lineRule="auto"/>
              <w:ind w:firstLine="570"/>
              <w:rPr>
                <w:rStyle w:val="35"/>
                <w:rFonts w:hint="default"/>
                <w:color w:val="auto"/>
                <w:sz w:val="24"/>
                <w:szCs w:val="24"/>
                <w:lang w:val="en-US" w:eastAsia="zh-CN"/>
              </w:rPr>
            </w:pPr>
            <w:r>
              <w:rPr>
                <w:rStyle w:val="35"/>
                <w:rFonts w:hint="eastAsia"/>
                <w:color w:val="auto"/>
                <w:sz w:val="24"/>
                <w:szCs w:val="24"/>
                <w:lang w:eastAsia="zh-CN"/>
              </w:rPr>
              <w:t>附表</w:t>
            </w:r>
            <w:r>
              <w:rPr>
                <w:rStyle w:val="35"/>
                <w:rFonts w:hint="eastAsia"/>
                <w:color w:val="auto"/>
                <w:sz w:val="24"/>
                <w:szCs w:val="24"/>
                <w:lang w:val="en-US" w:eastAsia="zh-CN"/>
              </w:rPr>
              <w:t>3 土壤环境自查表</w:t>
            </w:r>
          </w:p>
          <w:p>
            <w:pPr>
              <w:adjustRightInd w:val="0"/>
              <w:snapToGrid w:val="0"/>
              <w:spacing w:line="360" w:lineRule="auto"/>
              <w:ind w:firstLine="570"/>
              <w:rPr>
                <w:rStyle w:val="35"/>
                <w:sz w:val="24"/>
                <w:szCs w:val="24"/>
              </w:rPr>
            </w:pPr>
            <w:r>
              <w:rPr>
                <w:rStyle w:val="35"/>
                <w:rFonts w:hint="eastAsia"/>
                <w:sz w:val="24"/>
                <w:szCs w:val="24"/>
              </w:rPr>
              <w:t>建设项目环评审批基础信息表</w:t>
            </w:r>
          </w:p>
          <w:p>
            <w:pPr>
              <w:snapToGrid w:val="0"/>
              <w:spacing w:line="360" w:lineRule="auto"/>
              <w:ind w:firstLine="570"/>
              <w:rPr>
                <w:color w:val="FF0000"/>
                <w:sz w:val="28"/>
              </w:rPr>
            </w:pPr>
          </w:p>
          <w:p>
            <w:pPr>
              <w:snapToGrid w:val="0"/>
              <w:spacing w:line="360" w:lineRule="auto"/>
              <w:ind w:firstLine="570"/>
              <w:rPr>
                <w:color w:val="FF0000"/>
                <w:sz w:val="28"/>
              </w:rPr>
            </w:pPr>
          </w:p>
          <w:p>
            <w:pPr>
              <w:snapToGrid w:val="0"/>
              <w:spacing w:line="360" w:lineRule="auto"/>
              <w:rPr>
                <w:color w:val="FF0000"/>
                <w:sz w:val="20"/>
              </w:rPr>
            </w:pPr>
          </w:p>
        </w:tc>
      </w:tr>
    </w:tbl>
    <w:p>
      <w:pPr>
        <w:rPr>
          <w:color w:val="FF0000"/>
        </w:rPr>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lotter">
    <w:altName w:val="Lucida Console"/>
    <w:panose1 w:val="00000000000000000000"/>
    <w:charset w:val="00"/>
    <w:family w:val="modern"/>
    <w:pitch w:val="default"/>
    <w:sig w:usb0="00000000" w:usb1="00000000" w:usb2="00000000" w:usb3="00000000" w:csb0="00000001" w:csb1="00000000"/>
  </w:font>
  <w:font w:name="新宋体-18030">
    <w:altName w:val="宋体"/>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Basemic Times">
    <w:altName w:val="Segoe Print"/>
    <w:panose1 w:val="00000000000000000000"/>
    <w:charset w:val="00"/>
    <w:family w:val="auto"/>
    <w:pitch w:val="default"/>
    <w:sig w:usb0="00000000" w:usb1="00000000" w:usb2="00000000" w:usb3="00000000" w:csb0="00000001" w:csb1="DFD74000"/>
  </w:font>
  <w:font w:name="仿宋">
    <w:panose1 w:val="02010609060101010101"/>
    <w:charset w:val="86"/>
    <w:family w:val="modern"/>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4008009F" w:csb1="DFD70000"/>
  </w:font>
  <w:font w:name="Segoe Print">
    <w:panose1 w:val="02000600000000000000"/>
    <w:charset w:val="00"/>
    <w:family w:val="auto"/>
    <w:pitch w:val="default"/>
    <w:sig w:usb0="0000028F" w:usb1="00000000" w:usb2="00000000" w:usb3="00000000" w:csb0="2000009F" w:csb1="47010000"/>
  </w:font>
  <w:font w:name="Lucida Console">
    <w:panose1 w:val="020B0609040504020204"/>
    <w:charset w:val="00"/>
    <w:family w:val="auto"/>
    <w:pitch w:val="default"/>
    <w:sig w:usb0="8000028F" w:usb1="00001800" w:usb2="00000000" w:usb3="00000000" w:csb0="0000001F" w:csb1="D7D7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19"/>
                  <w:jc w:val="center"/>
                </w:pPr>
                <w:r>
                  <w:t xml:space="preserve">第 </w:t>
                </w:r>
                <w:r>
                  <w:rPr>
                    <w:rFonts w:hint="eastAsia"/>
                  </w:rPr>
                  <w:t xml:space="preserve">- </w:t>
                </w:r>
                <w:r>
                  <w:rPr>
                    <w:szCs w:val="18"/>
                  </w:rPr>
                  <w:fldChar w:fldCharType="begin"/>
                </w:r>
                <w:r>
                  <w:rPr>
                    <w:rStyle w:val="31"/>
                    <w:szCs w:val="18"/>
                  </w:rPr>
                  <w:instrText xml:space="preserve"> PAGE </w:instrText>
                </w:r>
                <w:r>
                  <w:rPr>
                    <w:szCs w:val="18"/>
                  </w:rPr>
                  <w:fldChar w:fldCharType="separate"/>
                </w:r>
                <w:r>
                  <w:rPr>
                    <w:rStyle w:val="31"/>
                    <w:szCs w:val="18"/>
                  </w:rPr>
                  <w:t>61</w:t>
                </w:r>
                <w:r>
                  <w:rPr>
                    <w:szCs w:val="18"/>
                  </w:rPr>
                  <w:fldChar w:fldCharType="end"/>
                </w:r>
                <w:r>
                  <w:rPr>
                    <w:rStyle w:val="31"/>
                    <w:rFonts w:hint="eastAsia"/>
                  </w:rPr>
                  <w:t xml:space="preserve"> -</w:t>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i/>
      </w:rPr>
      <w:t>60万吨/年机制砂建设项目环境影响报告表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CCC405"/>
    <w:multiLevelType w:val="singleLevel"/>
    <w:tmpl w:val="CECCC405"/>
    <w:lvl w:ilvl="0" w:tentative="0">
      <w:start w:val="1"/>
      <w:numFmt w:val="decimal"/>
      <w:suff w:val="nothing"/>
      <w:lvlText w:val="（%1）"/>
      <w:lvlJc w:val="left"/>
    </w:lvl>
  </w:abstractNum>
  <w:abstractNum w:abstractNumId="1">
    <w:nsid w:val="557A65AF"/>
    <w:multiLevelType w:val="singleLevel"/>
    <w:tmpl w:val="557A65AF"/>
    <w:lvl w:ilvl="0" w:tentative="0">
      <w:start w:val="2"/>
      <w:numFmt w:val="decimal"/>
      <w:suff w:val="nothing"/>
      <w:lvlText w:val="（%1）"/>
      <w:lvlJc w:val="left"/>
    </w:lvl>
  </w:abstractNum>
  <w:abstractNum w:abstractNumId="2">
    <w:nsid w:val="55AEF199"/>
    <w:multiLevelType w:val="singleLevel"/>
    <w:tmpl w:val="55AEF199"/>
    <w:lvl w:ilvl="0" w:tentative="0">
      <w:start w:val="4"/>
      <w:numFmt w:val="decimal"/>
      <w:suff w:val="nothing"/>
      <w:lvlText w:val="（%1）"/>
      <w:lvlJc w:val="left"/>
    </w:lvl>
  </w:abstractNum>
  <w:abstractNum w:abstractNumId="3">
    <w:nsid w:val="55C870A1"/>
    <w:multiLevelType w:val="singleLevel"/>
    <w:tmpl w:val="55C870A1"/>
    <w:lvl w:ilvl="0" w:tentative="0">
      <w:start w:val="2"/>
      <w:numFmt w:val="chineseCounting"/>
      <w:suff w:val="nothing"/>
      <w:lvlText w:val="%1、"/>
      <w:lvlJc w:val="left"/>
    </w:lvl>
  </w:abstractNum>
  <w:abstractNum w:abstractNumId="4">
    <w:nsid w:val="5B0F759F"/>
    <w:multiLevelType w:val="singleLevel"/>
    <w:tmpl w:val="5B0F759F"/>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61F"/>
    <w:rsid w:val="00001247"/>
    <w:rsid w:val="00001BBB"/>
    <w:rsid w:val="00003097"/>
    <w:rsid w:val="000030D3"/>
    <w:rsid w:val="00003629"/>
    <w:rsid w:val="00004477"/>
    <w:rsid w:val="000053EE"/>
    <w:rsid w:val="000055C1"/>
    <w:rsid w:val="0000696B"/>
    <w:rsid w:val="000101C7"/>
    <w:rsid w:val="0001076A"/>
    <w:rsid w:val="00010E80"/>
    <w:rsid w:val="000114D6"/>
    <w:rsid w:val="00012684"/>
    <w:rsid w:val="000149A5"/>
    <w:rsid w:val="00016CD9"/>
    <w:rsid w:val="0002185C"/>
    <w:rsid w:val="00024260"/>
    <w:rsid w:val="00024622"/>
    <w:rsid w:val="0002499D"/>
    <w:rsid w:val="00026805"/>
    <w:rsid w:val="00027C65"/>
    <w:rsid w:val="000316EE"/>
    <w:rsid w:val="00032826"/>
    <w:rsid w:val="000338FE"/>
    <w:rsid w:val="00034370"/>
    <w:rsid w:val="00034633"/>
    <w:rsid w:val="00035128"/>
    <w:rsid w:val="000355AC"/>
    <w:rsid w:val="00035ED3"/>
    <w:rsid w:val="000366D5"/>
    <w:rsid w:val="00036BE4"/>
    <w:rsid w:val="00037244"/>
    <w:rsid w:val="00037953"/>
    <w:rsid w:val="00037B1A"/>
    <w:rsid w:val="00040F90"/>
    <w:rsid w:val="00040F9F"/>
    <w:rsid w:val="00042E09"/>
    <w:rsid w:val="0004379B"/>
    <w:rsid w:val="00043B09"/>
    <w:rsid w:val="00043C61"/>
    <w:rsid w:val="000445D4"/>
    <w:rsid w:val="00044D08"/>
    <w:rsid w:val="000450B4"/>
    <w:rsid w:val="000464AF"/>
    <w:rsid w:val="000469FB"/>
    <w:rsid w:val="00046F71"/>
    <w:rsid w:val="00051E91"/>
    <w:rsid w:val="000535BA"/>
    <w:rsid w:val="00053F69"/>
    <w:rsid w:val="000542E4"/>
    <w:rsid w:val="00054B29"/>
    <w:rsid w:val="0005574A"/>
    <w:rsid w:val="000562F9"/>
    <w:rsid w:val="00057223"/>
    <w:rsid w:val="0006194D"/>
    <w:rsid w:val="00062344"/>
    <w:rsid w:val="000627B0"/>
    <w:rsid w:val="00063656"/>
    <w:rsid w:val="0006374A"/>
    <w:rsid w:val="000647EE"/>
    <w:rsid w:val="00064BB6"/>
    <w:rsid w:val="000654F4"/>
    <w:rsid w:val="0006553C"/>
    <w:rsid w:val="000657BD"/>
    <w:rsid w:val="000658FB"/>
    <w:rsid w:val="00065B69"/>
    <w:rsid w:val="00066E12"/>
    <w:rsid w:val="0006729E"/>
    <w:rsid w:val="0006771A"/>
    <w:rsid w:val="000677F6"/>
    <w:rsid w:val="00071343"/>
    <w:rsid w:val="00071B41"/>
    <w:rsid w:val="00071BEE"/>
    <w:rsid w:val="0007204C"/>
    <w:rsid w:val="000726AD"/>
    <w:rsid w:val="000727F1"/>
    <w:rsid w:val="00072C67"/>
    <w:rsid w:val="00073D66"/>
    <w:rsid w:val="00074023"/>
    <w:rsid w:val="00074517"/>
    <w:rsid w:val="000768E8"/>
    <w:rsid w:val="00076B26"/>
    <w:rsid w:val="00076DBD"/>
    <w:rsid w:val="0008028F"/>
    <w:rsid w:val="00080EA8"/>
    <w:rsid w:val="000814FD"/>
    <w:rsid w:val="00081E91"/>
    <w:rsid w:val="00082359"/>
    <w:rsid w:val="0008482D"/>
    <w:rsid w:val="00086286"/>
    <w:rsid w:val="000864EE"/>
    <w:rsid w:val="000872C3"/>
    <w:rsid w:val="00090289"/>
    <w:rsid w:val="0009180D"/>
    <w:rsid w:val="000921AB"/>
    <w:rsid w:val="000926F0"/>
    <w:rsid w:val="00092B73"/>
    <w:rsid w:val="00093A81"/>
    <w:rsid w:val="00096327"/>
    <w:rsid w:val="00096AC6"/>
    <w:rsid w:val="00096E90"/>
    <w:rsid w:val="00097B5C"/>
    <w:rsid w:val="000A053C"/>
    <w:rsid w:val="000A07C7"/>
    <w:rsid w:val="000A07EA"/>
    <w:rsid w:val="000A0E59"/>
    <w:rsid w:val="000A1097"/>
    <w:rsid w:val="000A11C6"/>
    <w:rsid w:val="000A16D5"/>
    <w:rsid w:val="000A2D08"/>
    <w:rsid w:val="000A3C3F"/>
    <w:rsid w:val="000A46A1"/>
    <w:rsid w:val="000A46C0"/>
    <w:rsid w:val="000A4F75"/>
    <w:rsid w:val="000A524A"/>
    <w:rsid w:val="000A60F5"/>
    <w:rsid w:val="000A6836"/>
    <w:rsid w:val="000A7073"/>
    <w:rsid w:val="000A7759"/>
    <w:rsid w:val="000B0E8C"/>
    <w:rsid w:val="000B15AA"/>
    <w:rsid w:val="000B1E14"/>
    <w:rsid w:val="000B2291"/>
    <w:rsid w:val="000B2677"/>
    <w:rsid w:val="000B2B5D"/>
    <w:rsid w:val="000B41BE"/>
    <w:rsid w:val="000B455B"/>
    <w:rsid w:val="000B4F51"/>
    <w:rsid w:val="000B5836"/>
    <w:rsid w:val="000C3BFF"/>
    <w:rsid w:val="000C3E8B"/>
    <w:rsid w:val="000C478E"/>
    <w:rsid w:val="000C59B4"/>
    <w:rsid w:val="000C5D01"/>
    <w:rsid w:val="000C6C8F"/>
    <w:rsid w:val="000C6D46"/>
    <w:rsid w:val="000D2ED5"/>
    <w:rsid w:val="000D50E8"/>
    <w:rsid w:val="000D51DD"/>
    <w:rsid w:val="000D7ADE"/>
    <w:rsid w:val="000E0A78"/>
    <w:rsid w:val="000E0B28"/>
    <w:rsid w:val="000E0E5F"/>
    <w:rsid w:val="000E0F64"/>
    <w:rsid w:val="000E1BBB"/>
    <w:rsid w:val="000E1F2B"/>
    <w:rsid w:val="000E2768"/>
    <w:rsid w:val="000E3B9C"/>
    <w:rsid w:val="000E42FD"/>
    <w:rsid w:val="000E56B3"/>
    <w:rsid w:val="000E7CB0"/>
    <w:rsid w:val="000F065D"/>
    <w:rsid w:val="000F1C35"/>
    <w:rsid w:val="000F227C"/>
    <w:rsid w:val="000F2460"/>
    <w:rsid w:val="000F326D"/>
    <w:rsid w:val="000F4AD7"/>
    <w:rsid w:val="000F6216"/>
    <w:rsid w:val="000F67A6"/>
    <w:rsid w:val="000F71E1"/>
    <w:rsid w:val="000F7B69"/>
    <w:rsid w:val="000F7B80"/>
    <w:rsid w:val="0010095F"/>
    <w:rsid w:val="00101297"/>
    <w:rsid w:val="00101DCC"/>
    <w:rsid w:val="00101EDB"/>
    <w:rsid w:val="001029C1"/>
    <w:rsid w:val="00102DC6"/>
    <w:rsid w:val="00103C2C"/>
    <w:rsid w:val="00105ABB"/>
    <w:rsid w:val="00106A46"/>
    <w:rsid w:val="001119D3"/>
    <w:rsid w:val="00111FC0"/>
    <w:rsid w:val="001121DA"/>
    <w:rsid w:val="00112A99"/>
    <w:rsid w:val="00113101"/>
    <w:rsid w:val="00115478"/>
    <w:rsid w:val="00115D4B"/>
    <w:rsid w:val="001171E1"/>
    <w:rsid w:val="00117502"/>
    <w:rsid w:val="001202AA"/>
    <w:rsid w:val="00121074"/>
    <w:rsid w:val="00121284"/>
    <w:rsid w:val="001217BA"/>
    <w:rsid w:val="00122407"/>
    <w:rsid w:val="00122FE6"/>
    <w:rsid w:val="00124FAB"/>
    <w:rsid w:val="00126D81"/>
    <w:rsid w:val="00130FA2"/>
    <w:rsid w:val="00131181"/>
    <w:rsid w:val="00131624"/>
    <w:rsid w:val="00131922"/>
    <w:rsid w:val="00132044"/>
    <w:rsid w:val="001336B0"/>
    <w:rsid w:val="00134148"/>
    <w:rsid w:val="00135529"/>
    <w:rsid w:val="00135B7A"/>
    <w:rsid w:val="0013686C"/>
    <w:rsid w:val="00137FC8"/>
    <w:rsid w:val="00140BB2"/>
    <w:rsid w:val="00141B5F"/>
    <w:rsid w:val="0014248C"/>
    <w:rsid w:val="001438EF"/>
    <w:rsid w:val="00143EC7"/>
    <w:rsid w:val="00145052"/>
    <w:rsid w:val="00146508"/>
    <w:rsid w:val="00147573"/>
    <w:rsid w:val="0015014B"/>
    <w:rsid w:val="00151E99"/>
    <w:rsid w:val="00152073"/>
    <w:rsid w:val="001538CC"/>
    <w:rsid w:val="00154C68"/>
    <w:rsid w:val="00155A72"/>
    <w:rsid w:val="00156091"/>
    <w:rsid w:val="00156385"/>
    <w:rsid w:val="00157BD8"/>
    <w:rsid w:val="00160DD7"/>
    <w:rsid w:val="00160EFD"/>
    <w:rsid w:val="001625EA"/>
    <w:rsid w:val="001638C1"/>
    <w:rsid w:val="0016492A"/>
    <w:rsid w:val="00164EB7"/>
    <w:rsid w:val="0016641C"/>
    <w:rsid w:val="00166DF8"/>
    <w:rsid w:val="00167431"/>
    <w:rsid w:val="001674D6"/>
    <w:rsid w:val="001702F5"/>
    <w:rsid w:val="00170C1A"/>
    <w:rsid w:val="00172693"/>
    <w:rsid w:val="001727ED"/>
    <w:rsid w:val="00172A27"/>
    <w:rsid w:val="001731B3"/>
    <w:rsid w:val="0017426A"/>
    <w:rsid w:val="00176061"/>
    <w:rsid w:val="0017615E"/>
    <w:rsid w:val="0017630E"/>
    <w:rsid w:val="00176841"/>
    <w:rsid w:val="0017686D"/>
    <w:rsid w:val="0018030A"/>
    <w:rsid w:val="001813FA"/>
    <w:rsid w:val="00181B5F"/>
    <w:rsid w:val="00182872"/>
    <w:rsid w:val="00182F31"/>
    <w:rsid w:val="00182FA7"/>
    <w:rsid w:val="00183027"/>
    <w:rsid w:val="00183F40"/>
    <w:rsid w:val="00186472"/>
    <w:rsid w:val="00186854"/>
    <w:rsid w:val="001869C4"/>
    <w:rsid w:val="00186C41"/>
    <w:rsid w:val="0018712D"/>
    <w:rsid w:val="001873D3"/>
    <w:rsid w:val="0018797D"/>
    <w:rsid w:val="001914C8"/>
    <w:rsid w:val="0019187E"/>
    <w:rsid w:val="001922D5"/>
    <w:rsid w:val="00193553"/>
    <w:rsid w:val="00193F3D"/>
    <w:rsid w:val="001940A8"/>
    <w:rsid w:val="001948F7"/>
    <w:rsid w:val="001956D6"/>
    <w:rsid w:val="00195FCD"/>
    <w:rsid w:val="001963C1"/>
    <w:rsid w:val="001A0038"/>
    <w:rsid w:val="001A1876"/>
    <w:rsid w:val="001A18ED"/>
    <w:rsid w:val="001A2085"/>
    <w:rsid w:val="001A31EE"/>
    <w:rsid w:val="001A4148"/>
    <w:rsid w:val="001A43E4"/>
    <w:rsid w:val="001A7849"/>
    <w:rsid w:val="001A7E78"/>
    <w:rsid w:val="001B0E22"/>
    <w:rsid w:val="001B1DF7"/>
    <w:rsid w:val="001B1F8C"/>
    <w:rsid w:val="001B2619"/>
    <w:rsid w:val="001B31D7"/>
    <w:rsid w:val="001B4470"/>
    <w:rsid w:val="001B6302"/>
    <w:rsid w:val="001B6673"/>
    <w:rsid w:val="001B7B9C"/>
    <w:rsid w:val="001B7BDD"/>
    <w:rsid w:val="001C0A9E"/>
    <w:rsid w:val="001C1836"/>
    <w:rsid w:val="001C23A6"/>
    <w:rsid w:val="001C3709"/>
    <w:rsid w:val="001C4009"/>
    <w:rsid w:val="001C58B2"/>
    <w:rsid w:val="001C5C74"/>
    <w:rsid w:val="001C65D7"/>
    <w:rsid w:val="001C7DF5"/>
    <w:rsid w:val="001D0491"/>
    <w:rsid w:val="001D05AD"/>
    <w:rsid w:val="001D0747"/>
    <w:rsid w:val="001D1343"/>
    <w:rsid w:val="001D13DA"/>
    <w:rsid w:val="001D154C"/>
    <w:rsid w:val="001D1B3F"/>
    <w:rsid w:val="001D2D40"/>
    <w:rsid w:val="001D2DCB"/>
    <w:rsid w:val="001D4033"/>
    <w:rsid w:val="001D4FA3"/>
    <w:rsid w:val="001D5D2E"/>
    <w:rsid w:val="001D60FA"/>
    <w:rsid w:val="001D7083"/>
    <w:rsid w:val="001D74FB"/>
    <w:rsid w:val="001D7D84"/>
    <w:rsid w:val="001E1CB9"/>
    <w:rsid w:val="001E214C"/>
    <w:rsid w:val="001E4870"/>
    <w:rsid w:val="001E5D12"/>
    <w:rsid w:val="001E6DBB"/>
    <w:rsid w:val="001E6DFE"/>
    <w:rsid w:val="001E7C62"/>
    <w:rsid w:val="001F28B0"/>
    <w:rsid w:val="001F4D8A"/>
    <w:rsid w:val="001F5071"/>
    <w:rsid w:val="001F5547"/>
    <w:rsid w:val="001F628E"/>
    <w:rsid w:val="001F6794"/>
    <w:rsid w:val="001F689F"/>
    <w:rsid w:val="001F6ACF"/>
    <w:rsid w:val="00200D0E"/>
    <w:rsid w:val="00200EC4"/>
    <w:rsid w:val="00201167"/>
    <w:rsid w:val="002016BE"/>
    <w:rsid w:val="00203296"/>
    <w:rsid w:val="00203650"/>
    <w:rsid w:val="00203E84"/>
    <w:rsid w:val="0020433F"/>
    <w:rsid w:val="002043F9"/>
    <w:rsid w:val="002052A0"/>
    <w:rsid w:val="002052E7"/>
    <w:rsid w:val="00205752"/>
    <w:rsid w:val="002059F5"/>
    <w:rsid w:val="00207B17"/>
    <w:rsid w:val="002100DF"/>
    <w:rsid w:val="00211F90"/>
    <w:rsid w:val="002128DB"/>
    <w:rsid w:val="00213524"/>
    <w:rsid w:val="00213AEB"/>
    <w:rsid w:val="00214CA4"/>
    <w:rsid w:val="00214D47"/>
    <w:rsid w:val="0021520A"/>
    <w:rsid w:val="00216093"/>
    <w:rsid w:val="00217675"/>
    <w:rsid w:val="002178B9"/>
    <w:rsid w:val="00220879"/>
    <w:rsid w:val="00220EEC"/>
    <w:rsid w:val="00220EF8"/>
    <w:rsid w:val="00221440"/>
    <w:rsid w:val="00221ECC"/>
    <w:rsid w:val="002222E3"/>
    <w:rsid w:val="00223A65"/>
    <w:rsid w:val="0022416D"/>
    <w:rsid w:val="002242F3"/>
    <w:rsid w:val="00224B4C"/>
    <w:rsid w:val="002251F5"/>
    <w:rsid w:val="00225BC5"/>
    <w:rsid w:val="0023024B"/>
    <w:rsid w:val="002303B3"/>
    <w:rsid w:val="002305EB"/>
    <w:rsid w:val="002318A9"/>
    <w:rsid w:val="00233B82"/>
    <w:rsid w:val="002358CE"/>
    <w:rsid w:val="00236885"/>
    <w:rsid w:val="00236E1B"/>
    <w:rsid w:val="002370BD"/>
    <w:rsid w:val="00237E93"/>
    <w:rsid w:val="0024075B"/>
    <w:rsid w:val="002414ED"/>
    <w:rsid w:val="0024260D"/>
    <w:rsid w:val="00242AFD"/>
    <w:rsid w:val="00242B73"/>
    <w:rsid w:val="002438F9"/>
    <w:rsid w:val="00244424"/>
    <w:rsid w:val="00244D4A"/>
    <w:rsid w:val="002479A3"/>
    <w:rsid w:val="00251303"/>
    <w:rsid w:val="002550AB"/>
    <w:rsid w:val="002552AF"/>
    <w:rsid w:val="0025591C"/>
    <w:rsid w:val="002565DC"/>
    <w:rsid w:val="00257312"/>
    <w:rsid w:val="002575CB"/>
    <w:rsid w:val="0025768D"/>
    <w:rsid w:val="00261B89"/>
    <w:rsid w:val="002621EB"/>
    <w:rsid w:val="00262ADF"/>
    <w:rsid w:val="002670AA"/>
    <w:rsid w:val="002673A5"/>
    <w:rsid w:val="0026759C"/>
    <w:rsid w:val="00270116"/>
    <w:rsid w:val="00270197"/>
    <w:rsid w:val="00270CB0"/>
    <w:rsid w:val="002711E0"/>
    <w:rsid w:val="002712EC"/>
    <w:rsid w:val="00271EF3"/>
    <w:rsid w:val="00272B24"/>
    <w:rsid w:val="002735C2"/>
    <w:rsid w:val="002745D9"/>
    <w:rsid w:val="00275935"/>
    <w:rsid w:val="00275A48"/>
    <w:rsid w:val="002769B9"/>
    <w:rsid w:val="00277731"/>
    <w:rsid w:val="00277C37"/>
    <w:rsid w:val="00281322"/>
    <w:rsid w:val="00282307"/>
    <w:rsid w:val="00283674"/>
    <w:rsid w:val="00284940"/>
    <w:rsid w:val="00284B4E"/>
    <w:rsid w:val="00284B8A"/>
    <w:rsid w:val="0028556E"/>
    <w:rsid w:val="0028609F"/>
    <w:rsid w:val="002878C1"/>
    <w:rsid w:val="00287F25"/>
    <w:rsid w:val="00290229"/>
    <w:rsid w:val="002902C5"/>
    <w:rsid w:val="002906E6"/>
    <w:rsid w:val="00290794"/>
    <w:rsid w:val="00291AEE"/>
    <w:rsid w:val="00292019"/>
    <w:rsid w:val="0029237D"/>
    <w:rsid w:val="00292A25"/>
    <w:rsid w:val="002941B8"/>
    <w:rsid w:val="002949DB"/>
    <w:rsid w:val="00294F14"/>
    <w:rsid w:val="00296EE6"/>
    <w:rsid w:val="0029764B"/>
    <w:rsid w:val="00297DA0"/>
    <w:rsid w:val="002A07F6"/>
    <w:rsid w:val="002A17B7"/>
    <w:rsid w:val="002A3C07"/>
    <w:rsid w:val="002A44AF"/>
    <w:rsid w:val="002A48DB"/>
    <w:rsid w:val="002A68F5"/>
    <w:rsid w:val="002A691E"/>
    <w:rsid w:val="002A69E2"/>
    <w:rsid w:val="002A6AA1"/>
    <w:rsid w:val="002B2151"/>
    <w:rsid w:val="002B2DF9"/>
    <w:rsid w:val="002B3BC0"/>
    <w:rsid w:val="002B5D64"/>
    <w:rsid w:val="002B6C82"/>
    <w:rsid w:val="002B6DE4"/>
    <w:rsid w:val="002B6E94"/>
    <w:rsid w:val="002C02D0"/>
    <w:rsid w:val="002C1196"/>
    <w:rsid w:val="002C2011"/>
    <w:rsid w:val="002C22C8"/>
    <w:rsid w:val="002C2332"/>
    <w:rsid w:val="002C27AD"/>
    <w:rsid w:val="002C2B0D"/>
    <w:rsid w:val="002C3B65"/>
    <w:rsid w:val="002C4595"/>
    <w:rsid w:val="002C50B8"/>
    <w:rsid w:val="002C6507"/>
    <w:rsid w:val="002C651A"/>
    <w:rsid w:val="002C7B50"/>
    <w:rsid w:val="002D0031"/>
    <w:rsid w:val="002D08D0"/>
    <w:rsid w:val="002D1178"/>
    <w:rsid w:val="002D3428"/>
    <w:rsid w:val="002E0410"/>
    <w:rsid w:val="002E1904"/>
    <w:rsid w:val="002E2618"/>
    <w:rsid w:val="002E38CB"/>
    <w:rsid w:val="002E3B7D"/>
    <w:rsid w:val="002E3FA7"/>
    <w:rsid w:val="002E56EA"/>
    <w:rsid w:val="002E604D"/>
    <w:rsid w:val="002E73C5"/>
    <w:rsid w:val="002E7C39"/>
    <w:rsid w:val="002F0A9E"/>
    <w:rsid w:val="002F0ECE"/>
    <w:rsid w:val="002F1431"/>
    <w:rsid w:val="002F29D0"/>
    <w:rsid w:val="002F367B"/>
    <w:rsid w:val="002F4E2C"/>
    <w:rsid w:val="00300331"/>
    <w:rsid w:val="00300EC0"/>
    <w:rsid w:val="00301AC8"/>
    <w:rsid w:val="00301ED5"/>
    <w:rsid w:val="00305DE9"/>
    <w:rsid w:val="00305FC0"/>
    <w:rsid w:val="00305FCE"/>
    <w:rsid w:val="00305FFA"/>
    <w:rsid w:val="003064E3"/>
    <w:rsid w:val="003074BF"/>
    <w:rsid w:val="003103A4"/>
    <w:rsid w:val="003107C5"/>
    <w:rsid w:val="00310F72"/>
    <w:rsid w:val="00313271"/>
    <w:rsid w:val="003134B5"/>
    <w:rsid w:val="00313784"/>
    <w:rsid w:val="00313DF5"/>
    <w:rsid w:val="003141A4"/>
    <w:rsid w:val="00314226"/>
    <w:rsid w:val="003157D0"/>
    <w:rsid w:val="0031615A"/>
    <w:rsid w:val="0031686D"/>
    <w:rsid w:val="00316EDA"/>
    <w:rsid w:val="00317A89"/>
    <w:rsid w:val="00320AAD"/>
    <w:rsid w:val="00321362"/>
    <w:rsid w:val="003215FF"/>
    <w:rsid w:val="00321CDB"/>
    <w:rsid w:val="00321D35"/>
    <w:rsid w:val="00322A48"/>
    <w:rsid w:val="00323AA8"/>
    <w:rsid w:val="00323CB8"/>
    <w:rsid w:val="003243D0"/>
    <w:rsid w:val="00324A07"/>
    <w:rsid w:val="00324F22"/>
    <w:rsid w:val="0032653D"/>
    <w:rsid w:val="00326F41"/>
    <w:rsid w:val="003309CE"/>
    <w:rsid w:val="00330BC7"/>
    <w:rsid w:val="003311C4"/>
    <w:rsid w:val="00331699"/>
    <w:rsid w:val="00331FB5"/>
    <w:rsid w:val="00331FDC"/>
    <w:rsid w:val="003321E7"/>
    <w:rsid w:val="0033262D"/>
    <w:rsid w:val="00332C71"/>
    <w:rsid w:val="003335FB"/>
    <w:rsid w:val="00333866"/>
    <w:rsid w:val="00334498"/>
    <w:rsid w:val="0033459E"/>
    <w:rsid w:val="00334F37"/>
    <w:rsid w:val="00336551"/>
    <w:rsid w:val="00336733"/>
    <w:rsid w:val="00337BBD"/>
    <w:rsid w:val="00337D39"/>
    <w:rsid w:val="00341C08"/>
    <w:rsid w:val="003420EB"/>
    <w:rsid w:val="00342C2F"/>
    <w:rsid w:val="003437D9"/>
    <w:rsid w:val="003461B6"/>
    <w:rsid w:val="00350DE7"/>
    <w:rsid w:val="00351076"/>
    <w:rsid w:val="003520CE"/>
    <w:rsid w:val="00352155"/>
    <w:rsid w:val="00353218"/>
    <w:rsid w:val="00353ED8"/>
    <w:rsid w:val="00353FE0"/>
    <w:rsid w:val="00354D0D"/>
    <w:rsid w:val="00354F09"/>
    <w:rsid w:val="00355D00"/>
    <w:rsid w:val="0035672E"/>
    <w:rsid w:val="00356EE4"/>
    <w:rsid w:val="00357089"/>
    <w:rsid w:val="003571BF"/>
    <w:rsid w:val="003605A3"/>
    <w:rsid w:val="0036093E"/>
    <w:rsid w:val="00360994"/>
    <w:rsid w:val="00360F37"/>
    <w:rsid w:val="0036110C"/>
    <w:rsid w:val="00361872"/>
    <w:rsid w:val="00361D8F"/>
    <w:rsid w:val="00362EBA"/>
    <w:rsid w:val="003637DE"/>
    <w:rsid w:val="00364E93"/>
    <w:rsid w:val="00365316"/>
    <w:rsid w:val="00365FE2"/>
    <w:rsid w:val="0036603B"/>
    <w:rsid w:val="00366C10"/>
    <w:rsid w:val="003671B4"/>
    <w:rsid w:val="0036787F"/>
    <w:rsid w:val="00370066"/>
    <w:rsid w:val="00370196"/>
    <w:rsid w:val="00370C3A"/>
    <w:rsid w:val="00370F18"/>
    <w:rsid w:val="003715A1"/>
    <w:rsid w:val="00371DAB"/>
    <w:rsid w:val="00372C9C"/>
    <w:rsid w:val="00373D85"/>
    <w:rsid w:val="00374546"/>
    <w:rsid w:val="00375941"/>
    <w:rsid w:val="00376FE7"/>
    <w:rsid w:val="00377774"/>
    <w:rsid w:val="003800FE"/>
    <w:rsid w:val="00382713"/>
    <w:rsid w:val="003833B7"/>
    <w:rsid w:val="00383A43"/>
    <w:rsid w:val="00383E11"/>
    <w:rsid w:val="003854DF"/>
    <w:rsid w:val="00385C45"/>
    <w:rsid w:val="003909F5"/>
    <w:rsid w:val="00390C6F"/>
    <w:rsid w:val="00392B86"/>
    <w:rsid w:val="00394D42"/>
    <w:rsid w:val="00395559"/>
    <w:rsid w:val="003959BA"/>
    <w:rsid w:val="00396CAC"/>
    <w:rsid w:val="003A1C38"/>
    <w:rsid w:val="003A24B8"/>
    <w:rsid w:val="003A2C9D"/>
    <w:rsid w:val="003A314C"/>
    <w:rsid w:val="003A35FD"/>
    <w:rsid w:val="003A381B"/>
    <w:rsid w:val="003A451B"/>
    <w:rsid w:val="003A5021"/>
    <w:rsid w:val="003A622C"/>
    <w:rsid w:val="003A6434"/>
    <w:rsid w:val="003A70A9"/>
    <w:rsid w:val="003B401D"/>
    <w:rsid w:val="003B459C"/>
    <w:rsid w:val="003B46A1"/>
    <w:rsid w:val="003B4A9E"/>
    <w:rsid w:val="003B4F11"/>
    <w:rsid w:val="003B5969"/>
    <w:rsid w:val="003B62C1"/>
    <w:rsid w:val="003B752F"/>
    <w:rsid w:val="003C095C"/>
    <w:rsid w:val="003C0A3A"/>
    <w:rsid w:val="003C1593"/>
    <w:rsid w:val="003C2AA1"/>
    <w:rsid w:val="003C2C3E"/>
    <w:rsid w:val="003C31C9"/>
    <w:rsid w:val="003C3D94"/>
    <w:rsid w:val="003C47AA"/>
    <w:rsid w:val="003C4CEE"/>
    <w:rsid w:val="003C4E2F"/>
    <w:rsid w:val="003C5161"/>
    <w:rsid w:val="003C6592"/>
    <w:rsid w:val="003C6E01"/>
    <w:rsid w:val="003D0F36"/>
    <w:rsid w:val="003D2FA3"/>
    <w:rsid w:val="003D3429"/>
    <w:rsid w:val="003D3706"/>
    <w:rsid w:val="003D37E0"/>
    <w:rsid w:val="003E020C"/>
    <w:rsid w:val="003E071D"/>
    <w:rsid w:val="003E1B69"/>
    <w:rsid w:val="003E230C"/>
    <w:rsid w:val="003E2BFE"/>
    <w:rsid w:val="003E340B"/>
    <w:rsid w:val="003E3DB4"/>
    <w:rsid w:val="003E44A7"/>
    <w:rsid w:val="003E4ECC"/>
    <w:rsid w:val="003E6030"/>
    <w:rsid w:val="003E64AE"/>
    <w:rsid w:val="003F4499"/>
    <w:rsid w:val="003F4751"/>
    <w:rsid w:val="003F5A37"/>
    <w:rsid w:val="003F64B4"/>
    <w:rsid w:val="003F65C3"/>
    <w:rsid w:val="003F67CE"/>
    <w:rsid w:val="003F6A25"/>
    <w:rsid w:val="003F7788"/>
    <w:rsid w:val="003F7844"/>
    <w:rsid w:val="00400134"/>
    <w:rsid w:val="00400760"/>
    <w:rsid w:val="00400E84"/>
    <w:rsid w:val="00401B66"/>
    <w:rsid w:val="00404F18"/>
    <w:rsid w:val="0040524A"/>
    <w:rsid w:val="0040583A"/>
    <w:rsid w:val="004065D5"/>
    <w:rsid w:val="0040662A"/>
    <w:rsid w:val="0040665E"/>
    <w:rsid w:val="004110FF"/>
    <w:rsid w:val="00411BF0"/>
    <w:rsid w:val="004132B2"/>
    <w:rsid w:val="00414390"/>
    <w:rsid w:val="00414C4F"/>
    <w:rsid w:val="004153C6"/>
    <w:rsid w:val="004173FE"/>
    <w:rsid w:val="00417430"/>
    <w:rsid w:val="0042063A"/>
    <w:rsid w:val="004210ED"/>
    <w:rsid w:val="0042286F"/>
    <w:rsid w:val="004235EC"/>
    <w:rsid w:val="0042385F"/>
    <w:rsid w:val="00423CB5"/>
    <w:rsid w:val="00425882"/>
    <w:rsid w:val="00425B01"/>
    <w:rsid w:val="00425B63"/>
    <w:rsid w:val="004261A8"/>
    <w:rsid w:val="00426997"/>
    <w:rsid w:val="004276C7"/>
    <w:rsid w:val="00427928"/>
    <w:rsid w:val="00430367"/>
    <w:rsid w:val="00433B6F"/>
    <w:rsid w:val="00435CB4"/>
    <w:rsid w:val="00436CF6"/>
    <w:rsid w:val="00437AB8"/>
    <w:rsid w:val="00440848"/>
    <w:rsid w:val="00440DF5"/>
    <w:rsid w:val="004415F1"/>
    <w:rsid w:val="00441A7E"/>
    <w:rsid w:val="00442D67"/>
    <w:rsid w:val="00443108"/>
    <w:rsid w:val="00443DCA"/>
    <w:rsid w:val="00444646"/>
    <w:rsid w:val="004447C4"/>
    <w:rsid w:val="00444C53"/>
    <w:rsid w:val="00445794"/>
    <w:rsid w:val="00447E99"/>
    <w:rsid w:val="004508EB"/>
    <w:rsid w:val="00450999"/>
    <w:rsid w:val="00450DBA"/>
    <w:rsid w:val="00451B9F"/>
    <w:rsid w:val="004546AB"/>
    <w:rsid w:val="00455AF3"/>
    <w:rsid w:val="00456151"/>
    <w:rsid w:val="00456A60"/>
    <w:rsid w:val="004576DF"/>
    <w:rsid w:val="00457B48"/>
    <w:rsid w:val="00460761"/>
    <w:rsid w:val="00460A47"/>
    <w:rsid w:val="00460C16"/>
    <w:rsid w:val="00461229"/>
    <w:rsid w:val="004643C2"/>
    <w:rsid w:val="00465C1F"/>
    <w:rsid w:val="00465F16"/>
    <w:rsid w:val="00466051"/>
    <w:rsid w:val="004662E0"/>
    <w:rsid w:val="00470C4B"/>
    <w:rsid w:val="00471A25"/>
    <w:rsid w:val="004731E8"/>
    <w:rsid w:val="0047339E"/>
    <w:rsid w:val="004733A7"/>
    <w:rsid w:val="00474188"/>
    <w:rsid w:val="00474D6F"/>
    <w:rsid w:val="00475879"/>
    <w:rsid w:val="00480BD2"/>
    <w:rsid w:val="00480E46"/>
    <w:rsid w:val="004815F2"/>
    <w:rsid w:val="004824FA"/>
    <w:rsid w:val="0048305A"/>
    <w:rsid w:val="00483A7C"/>
    <w:rsid w:val="00484E66"/>
    <w:rsid w:val="00486634"/>
    <w:rsid w:val="00486C82"/>
    <w:rsid w:val="00486D4A"/>
    <w:rsid w:val="00487A8F"/>
    <w:rsid w:val="00487B65"/>
    <w:rsid w:val="0049011B"/>
    <w:rsid w:val="004907AF"/>
    <w:rsid w:val="00492963"/>
    <w:rsid w:val="00492D86"/>
    <w:rsid w:val="0049381C"/>
    <w:rsid w:val="00494471"/>
    <w:rsid w:val="0049591F"/>
    <w:rsid w:val="0049592A"/>
    <w:rsid w:val="00495FE2"/>
    <w:rsid w:val="004977BA"/>
    <w:rsid w:val="004978DB"/>
    <w:rsid w:val="00497AAA"/>
    <w:rsid w:val="00497BDC"/>
    <w:rsid w:val="00497ECA"/>
    <w:rsid w:val="004A026E"/>
    <w:rsid w:val="004A04A3"/>
    <w:rsid w:val="004A0B29"/>
    <w:rsid w:val="004A0C18"/>
    <w:rsid w:val="004A0F88"/>
    <w:rsid w:val="004A1074"/>
    <w:rsid w:val="004A2882"/>
    <w:rsid w:val="004A38FE"/>
    <w:rsid w:val="004A4BD4"/>
    <w:rsid w:val="004A52C5"/>
    <w:rsid w:val="004A581F"/>
    <w:rsid w:val="004A76A3"/>
    <w:rsid w:val="004A7E85"/>
    <w:rsid w:val="004B1847"/>
    <w:rsid w:val="004B1CC6"/>
    <w:rsid w:val="004B2660"/>
    <w:rsid w:val="004B2821"/>
    <w:rsid w:val="004B2B75"/>
    <w:rsid w:val="004B315A"/>
    <w:rsid w:val="004B3874"/>
    <w:rsid w:val="004B3AAD"/>
    <w:rsid w:val="004B446D"/>
    <w:rsid w:val="004B4EC0"/>
    <w:rsid w:val="004B55FC"/>
    <w:rsid w:val="004B729E"/>
    <w:rsid w:val="004B743A"/>
    <w:rsid w:val="004C0463"/>
    <w:rsid w:val="004C22AA"/>
    <w:rsid w:val="004C232A"/>
    <w:rsid w:val="004C2ECF"/>
    <w:rsid w:val="004C403B"/>
    <w:rsid w:val="004C4267"/>
    <w:rsid w:val="004C43BB"/>
    <w:rsid w:val="004C5D58"/>
    <w:rsid w:val="004C6240"/>
    <w:rsid w:val="004C67CD"/>
    <w:rsid w:val="004C6E6C"/>
    <w:rsid w:val="004C72AB"/>
    <w:rsid w:val="004D2496"/>
    <w:rsid w:val="004D30C0"/>
    <w:rsid w:val="004D3B25"/>
    <w:rsid w:val="004D3FA3"/>
    <w:rsid w:val="004D47D7"/>
    <w:rsid w:val="004D5257"/>
    <w:rsid w:val="004D5387"/>
    <w:rsid w:val="004D5A0D"/>
    <w:rsid w:val="004D5F5C"/>
    <w:rsid w:val="004D6201"/>
    <w:rsid w:val="004D6A64"/>
    <w:rsid w:val="004D6D79"/>
    <w:rsid w:val="004E0171"/>
    <w:rsid w:val="004E1726"/>
    <w:rsid w:val="004E185F"/>
    <w:rsid w:val="004E1986"/>
    <w:rsid w:val="004E2AF2"/>
    <w:rsid w:val="004E2E5B"/>
    <w:rsid w:val="004E397D"/>
    <w:rsid w:val="004E3A8D"/>
    <w:rsid w:val="004E6263"/>
    <w:rsid w:val="004E7960"/>
    <w:rsid w:val="004F0CFA"/>
    <w:rsid w:val="004F0EE0"/>
    <w:rsid w:val="004F114B"/>
    <w:rsid w:val="004F201B"/>
    <w:rsid w:val="004F29F8"/>
    <w:rsid w:val="004F3372"/>
    <w:rsid w:val="004F33C6"/>
    <w:rsid w:val="004F432B"/>
    <w:rsid w:val="004F458D"/>
    <w:rsid w:val="004F45B8"/>
    <w:rsid w:val="004F5F05"/>
    <w:rsid w:val="004F6B3B"/>
    <w:rsid w:val="004F73D2"/>
    <w:rsid w:val="0050056F"/>
    <w:rsid w:val="005007E1"/>
    <w:rsid w:val="0050136A"/>
    <w:rsid w:val="005015DC"/>
    <w:rsid w:val="005017C1"/>
    <w:rsid w:val="00501AA4"/>
    <w:rsid w:val="00502161"/>
    <w:rsid w:val="00504866"/>
    <w:rsid w:val="00504868"/>
    <w:rsid w:val="00505391"/>
    <w:rsid w:val="0050668A"/>
    <w:rsid w:val="00507EFC"/>
    <w:rsid w:val="00510B80"/>
    <w:rsid w:val="00510D09"/>
    <w:rsid w:val="005111CF"/>
    <w:rsid w:val="0051247B"/>
    <w:rsid w:val="0051480E"/>
    <w:rsid w:val="00514FBF"/>
    <w:rsid w:val="00515054"/>
    <w:rsid w:val="00515A16"/>
    <w:rsid w:val="00515A80"/>
    <w:rsid w:val="00515B27"/>
    <w:rsid w:val="00521821"/>
    <w:rsid w:val="00521D5A"/>
    <w:rsid w:val="00522B45"/>
    <w:rsid w:val="00523271"/>
    <w:rsid w:val="00524EC2"/>
    <w:rsid w:val="00524F87"/>
    <w:rsid w:val="0052542D"/>
    <w:rsid w:val="005270AE"/>
    <w:rsid w:val="00530016"/>
    <w:rsid w:val="005302F8"/>
    <w:rsid w:val="00530706"/>
    <w:rsid w:val="00530A60"/>
    <w:rsid w:val="00533355"/>
    <w:rsid w:val="00534597"/>
    <w:rsid w:val="00535DC9"/>
    <w:rsid w:val="00536021"/>
    <w:rsid w:val="0053775C"/>
    <w:rsid w:val="00540E61"/>
    <w:rsid w:val="00541826"/>
    <w:rsid w:val="00541948"/>
    <w:rsid w:val="0054208D"/>
    <w:rsid w:val="00543092"/>
    <w:rsid w:val="005432BA"/>
    <w:rsid w:val="0054385D"/>
    <w:rsid w:val="0054407C"/>
    <w:rsid w:val="00545D6A"/>
    <w:rsid w:val="00547E6E"/>
    <w:rsid w:val="00550AD5"/>
    <w:rsid w:val="00550B6C"/>
    <w:rsid w:val="005510AD"/>
    <w:rsid w:val="0055381B"/>
    <w:rsid w:val="00553A54"/>
    <w:rsid w:val="005541A7"/>
    <w:rsid w:val="0055522C"/>
    <w:rsid w:val="00555F44"/>
    <w:rsid w:val="0056142C"/>
    <w:rsid w:val="00563452"/>
    <w:rsid w:val="00563AED"/>
    <w:rsid w:val="005644C7"/>
    <w:rsid w:val="005644EB"/>
    <w:rsid w:val="005647E1"/>
    <w:rsid w:val="005657BD"/>
    <w:rsid w:val="00565846"/>
    <w:rsid w:val="00566319"/>
    <w:rsid w:val="005665D5"/>
    <w:rsid w:val="00566917"/>
    <w:rsid w:val="00567B5E"/>
    <w:rsid w:val="0057107A"/>
    <w:rsid w:val="005714A5"/>
    <w:rsid w:val="00573AA7"/>
    <w:rsid w:val="00573AE2"/>
    <w:rsid w:val="005750D6"/>
    <w:rsid w:val="00575BDA"/>
    <w:rsid w:val="00575F0A"/>
    <w:rsid w:val="00580D2C"/>
    <w:rsid w:val="0058101A"/>
    <w:rsid w:val="00581E93"/>
    <w:rsid w:val="00582174"/>
    <w:rsid w:val="00582210"/>
    <w:rsid w:val="00582ADC"/>
    <w:rsid w:val="005830C8"/>
    <w:rsid w:val="00583688"/>
    <w:rsid w:val="00584CC8"/>
    <w:rsid w:val="0058542E"/>
    <w:rsid w:val="005879FB"/>
    <w:rsid w:val="005902BC"/>
    <w:rsid w:val="005906C9"/>
    <w:rsid w:val="00590DD2"/>
    <w:rsid w:val="0059184A"/>
    <w:rsid w:val="005921D6"/>
    <w:rsid w:val="00592A51"/>
    <w:rsid w:val="00593E5F"/>
    <w:rsid w:val="0059446B"/>
    <w:rsid w:val="005947E4"/>
    <w:rsid w:val="005973ED"/>
    <w:rsid w:val="005A0087"/>
    <w:rsid w:val="005A0BEC"/>
    <w:rsid w:val="005A18D4"/>
    <w:rsid w:val="005A219E"/>
    <w:rsid w:val="005A329D"/>
    <w:rsid w:val="005A3607"/>
    <w:rsid w:val="005A4566"/>
    <w:rsid w:val="005A5B9C"/>
    <w:rsid w:val="005A6820"/>
    <w:rsid w:val="005B0D3B"/>
    <w:rsid w:val="005B31A6"/>
    <w:rsid w:val="005B33C0"/>
    <w:rsid w:val="005B3CD5"/>
    <w:rsid w:val="005B4A13"/>
    <w:rsid w:val="005B4A84"/>
    <w:rsid w:val="005B5AA9"/>
    <w:rsid w:val="005B66FD"/>
    <w:rsid w:val="005B67FF"/>
    <w:rsid w:val="005B71E5"/>
    <w:rsid w:val="005B7652"/>
    <w:rsid w:val="005C0302"/>
    <w:rsid w:val="005C07EB"/>
    <w:rsid w:val="005C0A5C"/>
    <w:rsid w:val="005C1894"/>
    <w:rsid w:val="005C2580"/>
    <w:rsid w:val="005C3F41"/>
    <w:rsid w:val="005C7C7C"/>
    <w:rsid w:val="005C7D12"/>
    <w:rsid w:val="005C7ECC"/>
    <w:rsid w:val="005D01CA"/>
    <w:rsid w:val="005D47B5"/>
    <w:rsid w:val="005D4813"/>
    <w:rsid w:val="005D79C3"/>
    <w:rsid w:val="005D7BD3"/>
    <w:rsid w:val="005E03F7"/>
    <w:rsid w:val="005E346B"/>
    <w:rsid w:val="005E411C"/>
    <w:rsid w:val="005E5247"/>
    <w:rsid w:val="005E7EC9"/>
    <w:rsid w:val="005E7F8B"/>
    <w:rsid w:val="005F0336"/>
    <w:rsid w:val="005F067B"/>
    <w:rsid w:val="005F12DE"/>
    <w:rsid w:val="005F13D3"/>
    <w:rsid w:val="005F39D8"/>
    <w:rsid w:val="005F4456"/>
    <w:rsid w:val="005F455A"/>
    <w:rsid w:val="005F4A62"/>
    <w:rsid w:val="005F58D2"/>
    <w:rsid w:val="005F6B5C"/>
    <w:rsid w:val="005F7548"/>
    <w:rsid w:val="005F7B8F"/>
    <w:rsid w:val="005F7FBA"/>
    <w:rsid w:val="0060031E"/>
    <w:rsid w:val="006003FD"/>
    <w:rsid w:val="0060047C"/>
    <w:rsid w:val="00600C55"/>
    <w:rsid w:val="00601455"/>
    <w:rsid w:val="00601EB8"/>
    <w:rsid w:val="00603104"/>
    <w:rsid w:val="00603836"/>
    <w:rsid w:val="006056C4"/>
    <w:rsid w:val="00605F11"/>
    <w:rsid w:val="00606C6F"/>
    <w:rsid w:val="00607B2A"/>
    <w:rsid w:val="00607CAC"/>
    <w:rsid w:val="00607D31"/>
    <w:rsid w:val="00611D5F"/>
    <w:rsid w:val="006125FB"/>
    <w:rsid w:val="00612DD0"/>
    <w:rsid w:val="00613AC0"/>
    <w:rsid w:val="00613F7A"/>
    <w:rsid w:val="0061417D"/>
    <w:rsid w:val="006169D7"/>
    <w:rsid w:val="006225C6"/>
    <w:rsid w:val="00623391"/>
    <w:rsid w:val="00623425"/>
    <w:rsid w:val="0062464D"/>
    <w:rsid w:val="006250B6"/>
    <w:rsid w:val="00626534"/>
    <w:rsid w:val="00627D87"/>
    <w:rsid w:val="0063093C"/>
    <w:rsid w:val="00631172"/>
    <w:rsid w:val="006315EA"/>
    <w:rsid w:val="00632203"/>
    <w:rsid w:val="00632B12"/>
    <w:rsid w:val="006338E5"/>
    <w:rsid w:val="00635AA7"/>
    <w:rsid w:val="00637168"/>
    <w:rsid w:val="00637172"/>
    <w:rsid w:val="0063752E"/>
    <w:rsid w:val="00640006"/>
    <w:rsid w:val="00640B2B"/>
    <w:rsid w:val="006414FB"/>
    <w:rsid w:val="0064187E"/>
    <w:rsid w:val="00641A63"/>
    <w:rsid w:val="00642DE4"/>
    <w:rsid w:val="006438E0"/>
    <w:rsid w:val="00643AEC"/>
    <w:rsid w:val="00644005"/>
    <w:rsid w:val="006448C9"/>
    <w:rsid w:val="00644B8A"/>
    <w:rsid w:val="00647765"/>
    <w:rsid w:val="00647B92"/>
    <w:rsid w:val="0065111A"/>
    <w:rsid w:val="0065183C"/>
    <w:rsid w:val="0065280F"/>
    <w:rsid w:val="0065320D"/>
    <w:rsid w:val="00654308"/>
    <w:rsid w:val="0065496D"/>
    <w:rsid w:val="00654C2C"/>
    <w:rsid w:val="00655EC0"/>
    <w:rsid w:val="00656BED"/>
    <w:rsid w:val="006603A3"/>
    <w:rsid w:val="00660F1C"/>
    <w:rsid w:val="00661F96"/>
    <w:rsid w:val="0066369E"/>
    <w:rsid w:val="0066415F"/>
    <w:rsid w:val="00665C1A"/>
    <w:rsid w:val="00666171"/>
    <w:rsid w:val="0066792B"/>
    <w:rsid w:val="00670254"/>
    <w:rsid w:val="0067083A"/>
    <w:rsid w:val="00671D8E"/>
    <w:rsid w:val="00672C08"/>
    <w:rsid w:val="00673DCD"/>
    <w:rsid w:val="006757CE"/>
    <w:rsid w:val="006760DC"/>
    <w:rsid w:val="0067623B"/>
    <w:rsid w:val="00676578"/>
    <w:rsid w:val="00676F2B"/>
    <w:rsid w:val="00677BE0"/>
    <w:rsid w:val="00677BFD"/>
    <w:rsid w:val="00677CFC"/>
    <w:rsid w:val="0068033B"/>
    <w:rsid w:val="00680CE7"/>
    <w:rsid w:val="00681005"/>
    <w:rsid w:val="00681888"/>
    <w:rsid w:val="0068226D"/>
    <w:rsid w:val="00682530"/>
    <w:rsid w:val="00684B01"/>
    <w:rsid w:val="00684BD8"/>
    <w:rsid w:val="00684E4B"/>
    <w:rsid w:val="006855AF"/>
    <w:rsid w:val="00685648"/>
    <w:rsid w:val="0068615C"/>
    <w:rsid w:val="006863D1"/>
    <w:rsid w:val="006865C1"/>
    <w:rsid w:val="006878DC"/>
    <w:rsid w:val="00690A80"/>
    <w:rsid w:val="00691496"/>
    <w:rsid w:val="0069196C"/>
    <w:rsid w:val="00692A23"/>
    <w:rsid w:val="00692EEC"/>
    <w:rsid w:val="00692F68"/>
    <w:rsid w:val="00693434"/>
    <w:rsid w:val="006959F8"/>
    <w:rsid w:val="006962E3"/>
    <w:rsid w:val="006968F5"/>
    <w:rsid w:val="00696E41"/>
    <w:rsid w:val="00697B27"/>
    <w:rsid w:val="006A072E"/>
    <w:rsid w:val="006A0BA8"/>
    <w:rsid w:val="006A0FDA"/>
    <w:rsid w:val="006A1468"/>
    <w:rsid w:val="006A231E"/>
    <w:rsid w:val="006A2901"/>
    <w:rsid w:val="006A3277"/>
    <w:rsid w:val="006A6ED1"/>
    <w:rsid w:val="006A7061"/>
    <w:rsid w:val="006A7A72"/>
    <w:rsid w:val="006B02B4"/>
    <w:rsid w:val="006B27A1"/>
    <w:rsid w:val="006B36A9"/>
    <w:rsid w:val="006B3840"/>
    <w:rsid w:val="006B40D8"/>
    <w:rsid w:val="006B4FAA"/>
    <w:rsid w:val="006B6FAE"/>
    <w:rsid w:val="006C15A6"/>
    <w:rsid w:val="006C229E"/>
    <w:rsid w:val="006C2AB7"/>
    <w:rsid w:val="006C2B49"/>
    <w:rsid w:val="006C3936"/>
    <w:rsid w:val="006C3E38"/>
    <w:rsid w:val="006C62F3"/>
    <w:rsid w:val="006D19AF"/>
    <w:rsid w:val="006D2659"/>
    <w:rsid w:val="006D2E4B"/>
    <w:rsid w:val="006D2F04"/>
    <w:rsid w:val="006D3926"/>
    <w:rsid w:val="006D4B45"/>
    <w:rsid w:val="006D4C9C"/>
    <w:rsid w:val="006D5087"/>
    <w:rsid w:val="006D5C08"/>
    <w:rsid w:val="006D62B1"/>
    <w:rsid w:val="006D66B6"/>
    <w:rsid w:val="006D709E"/>
    <w:rsid w:val="006D71D5"/>
    <w:rsid w:val="006D7301"/>
    <w:rsid w:val="006D745C"/>
    <w:rsid w:val="006D7E7E"/>
    <w:rsid w:val="006E04C5"/>
    <w:rsid w:val="006E0DA2"/>
    <w:rsid w:val="006E1F67"/>
    <w:rsid w:val="006E36A3"/>
    <w:rsid w:val="006E4A47"/>
    <w:rsid w:val="006E4D0F"/>
    <w:rsid w:val="006F0386"/>
    <w:rsid w:val="006F125B"/>
    <w:rsid w:val="006F149C"/>
    <w:rsid w:val="006F14E2"/>
    <w:rsid w:val="006F2456"/>
    <w:rsid w:val="006F2CB8"/>
    <w:rsid w:val="006F3C5B"/>
    <w:rsid w:val="006F3F6A"/>
    <w:rsid w:val="006F53E2"/>
    <w:rsid w:val="006F540B"/>
    <w:rsid w:val="006F5E38"/>
    <w:rsid w:val="006F631C"/>
    <w:rsid w:val="006F63A9"/>
    <w:rsid w:val="006F6972"/>
    <w:rsid w:val="006F6D6A"/>
    <w:rsid w:val="0070011F"/>
    <w:rsid w:val="00701891"/>
    <w:rsid w:val="0070213E"/>
    <w:rsid w:val="00702CEA"/>
    <w:rsid w:val="00703A84"/>
    <w:rsid w:val="00703AA7"/>
    <w:rsid w:val="00704E54"/>
    <w:rsid w:val="00706428"/>
    <w:rsid w:val="007072BD"/>
    <w:rsid w:val="007074F9"/>
    <w:rsid w:val="007106C3"/>
    <w:rsid w:val="007107F3"/>
    <w:rsid w:val="00710F95"/>
    <w:rsid w:val="0071181F"/>
    <w:rsid w:val="007129B5"/>
    <w:rsid w:val="00714C1C"/>
    <w:rsid w:val="00716E04"/>
    <w:rsid w:val="007173FE"/>
    <w:rsid w:val="0072110E"/>
    <w:rsid w:val="007213D2"/>
    <w:rsid w:val="00723085"/>
    <w:rsid w:val="0072401F"/>
    <w:rsid w:val="007254E4"/>
    <w:rsid w:val="00725AC4"/>
    <w:rsid w:val="00726C37"/>
    <w:rsid w:val="007270FF"/>
    <w:rsid w:val="007304D2"/>
    <w:rsid w:val="007311BD"/>
    <w:rsid w:val="0073271E"/>
    <w:rsid w:val="007328C4"/>
    <w:rsid w:val="00732B7F"/>
    <w:rsid w:val="00733165"/>
    <w:rsid w:val="007338D8"/>
    <w:rsid w:val="007340BC"/>
    <w:rsid w:val="007342C7"/>
    <w:rsid w:val="00736983"/>
    <w:rsid w:val="00737D0E"/>
    <w:rsid w:val="00740042"/>
    <w:rsid w:val="007411F9"/>
    <w:rsid w:val="00742579"/>
    <w:rsid w:val="00742749"/>
    <w:rsid w:val="00743036"/>
    <w:rsid w:val="00743708"/>
    <w:rsid w:val="007438B7"/>
    <w:rsid w:val="00743A28"/>
    <w:rsid w:val="00743CA7"/>
    <w:rsid w:val="007440F7"/>
    <w:rsid w:val="00744BAD"/>
    <w:rsid w:val="00744ED0"/>
    <w:rsid w:val="00746561"/>
    <w:rsid w:val="0075030D"/>
    <w:rsid w:val="007516EA"/>
    <w:rsid w:val="007525F9"/>
    <w:rsid w:val="007545C5"/>
    <w:rsid w:val="007551F7"/>
    <w:rsid w:val="007562F1"/>
    <w:rsid w:val="00756C84"/>
    <w:rsid w:val="00756E0B"/>
    <w:rsid w:val="00757508"/>
    <w:rsid w:val="00757682"/>
    <w:rsid w:val="00757DCD"/>
    <w:rsid w:val="0076047C"/>
    <w:rsid w:val="007620A6"/>
    <w:rsid w:val="007629C4"/>
    <w:rsid w:val="00762BBD"/>
    <w:rsid w:val="00762C78"/>
    <w:rsid w:val="007634A8"/>
    <w:rsid w:val="00763504"/>
    <w:rsid w:val="00764A4E"/>
    <w:rsid w:val="00764FF8"/>
    <w:rsid w:val="007673DD"/>
    <w:rsid w:val="00771222"/>
    <w:rsid w:val="00772102"/>
    <w:rsid w:val="0077214D"/>
    <w:rsid w:val="00772F5C"/>
    <w:rsid w:val="00773C0D"/>
    <w:rsid w:val="00774539"/>
    <w:rsid w:val="007750A9"/>
    <w:rsid w:val="00777360"/>
    <w:rsid w:val="00777987"/>
    <w:rsid w:val="00780E3F"/>
    <w:rsid w:val="00781410"/>
    <w:rsid w:val="00781517"/>
    <w:rsid w:val="0078180B"/>
    <w:rsid w:val="00781DC7"/>
    <w:rsid w:val="00782AED"/>
    <w:rsid w:val="00783048"/>
    <w:rsid w:val="00785C48"/>
    <w:rsid w:val="00785E2A"/>
    <w:rsid w:val="0078735A"/>
    <w:rsid w:val="007873EE"/>
    <w:rsid w:val="0079086D"/>
    <w:rsid w:val="00790D1A"/>
    <w:rsid w:val="007916E8"/>
    <w:rsid w:val="00791D24"/>
    <w:rsid w:val="00793740"/>
    <w:rsid w:val="00793BE3"/>
    <w:rsid w:val="0079455A"/>
    <w:rsid w:val="00796970"/>
    <w:rsid w:val="00796C2A"/>
    <w:rsid w:val="00797A60"/>
    <w:rsid w:val="007A0DDB"/>
    <w:rsid w:val="007A103E"/>
    <w:rsid w:val="007A3876"/>
    <w:rsid w:val="007A38A2"/>
    <w:rsid w:val="007A4C10"/>
    <w:rsid w:val="007A5170"/>
    <w:rsid w:val="007A5D87"/>
    <w:rsid w:val="007A65CA"/>
    <w:rsid w:val="007A7BCA"/>
    <w:rsid w:val="007A7EBC"/>
    <w:rsid w:val="007B075E"/>
    <w:rsid w:val="007B185A"/>
    <w:rsid w:val="007B24A2"/>
    <w:rsid w:val="007B36E5"/>
    <w:rsid w:val="007B39F2"/>
    <w:rsid w:val="007B4929"/>
    <w:rsid w:val="007B7993"/>
    <w:rsid w:val="007C105C"/>
    <w:rsid w:val="007C1558"/>
    <w:rsid w:val="007C2474"/>
    <w:rsid w:val="007C353C"/>
    <w:rsid w:val="007C3C23"/>
    <w:rsid w:val="007C4CD3"/>
    <w:rsid w:val="007C4E73"/>
    <w:rsid w:val="007C57D9"/>
    <w:rsid w:val="007D0D46"/>
    <w:rsid w:val="007D0EBA"/>
    <w:rsid w:val="007D2C0D"/>
    <w:rsid w:val="007D3718"/>
    <w:rsid w:val="007D5FBA"/>
    <w:rsid w:val="007D6B9A"/>
    <w:rsid w:val="007E0167"/>
    <w:rsid w:val="007E08AB"/>
    <w:rsid w:val="007E0FB0"/>
    <w:rsid w:val="007E3594"/>
    <w:rsid w:val="007E376F"/>
    <w:rsid w:val="007E51B5"/>
    <w:rsid w:val="007E5952"/>
    <w:rsid w:val="007E5BD3"/>
    <w:rsid w:val="007E5BFB"/>
    <w:rsid w:val="007E6B00"/>
    <w:rsid w:val="007E7AEE"/>
    <w:rsid w:val="007E7F29"/>
    <w:rsid w:val="007E7FE7"/>
    <w:rsid w:val="007F2219"/>
    <w:rsid w:val="007F233C"/>
    <w:rsid w:val="007F3442"/>
    <w:rsid w:val="007F3F72"/>
    <w:rsid w:val="007F4486"/>
    <w:rsid w:val="007F4F9C"/>
    <w:rsid w:val="007F5A46"/>
    <w:rsid w:val="007F60E2"/>
    <w:rsid w:val="007F6103"/>
    <w:rsid w:val="007F6D9D"/>
    <w:rsid w:val="007F6E36"/>
    <w:rsid w:val="007F71F5"/>
    <w:rsid w:val="007F7CFB"/>
    <w:rsid w:val="007F7EC5"/>
    <w:rsid w:val="00801389"/>
    <w:rsid w:val="00801447"/>
    <w:rsid w:val="00801C01"/>
    <w:rsid w:val="0080291A"/>
    <w:rsid w:val="00802D34"/>
    <w:rsid w:val="00804B13"/>
    <w:rsid w:val="00805202"/>
    <w:rsid w:val="0080598E"/>
    <w:rsid w:val="008059B2"/>
    <w:rsid w:val="00810CDE"/>
    <w:rsid w:val="00811369"/>
    <w:rsid w:val="008119DA"/>
    <w:rsid w:val="00813993"/>
    <w:rsid w:val="008149F2"/>
    <w:rsid w:val="008157EA"/>
    <w:rsid w:val="00815D84"/>
    <w:rsid w:val="0081606D"/>
    <w:rsid w:val="00816120"/>
    <w:rsid w:val="00816D3B"/>
    <w:rsid w:val="00816E3C"/>
    <w:rsid w:val="00817F2D"/>
    <w:rsid w:val="008204A4"/>
    <w:rsid w:val="0082103A"/>
    <w:rsid w:val="008219EF"/>
    <w:rsid w:val="00821A1F"/>
    <w:rsid w:val="00823541"/>
    <w:rsid w:val="00823B4F"/>
    <w:rsid w:val="008252F1"/>
    <w:rsid w:val="00825A1D"/>
    <w:rsid w:val="0082672D"/>
    <w:rsid w:val="00827BA9"/>
    <w:rsid w:val="0083036B"/>
    <w:rsid w:val="00830555"/>
    <w:rsid w:val="00831566"/>
    <w:rsid w:val="008317C6"/>
    <w:rsid w:val="00833AC3"/>
    <w:rsid w:val="00834BB5"/>
    <w:rsid w:val="0083597D"/>
    <w:rsid w:val="00836AF7"/>
    <w:rsid w:val="008371CE"/>
    <w:rsid w:val="00837A24"/>
    <w:rsid w:val="00837D40"/>
    <w:rsid w:val="0084062B"/>
    <w:rsid w:val="00840756"/>
    <w:rsid w:val="00840812"/>
    <w:rsid w:val="008409E3"/>
    <w:rsid w:val="008421F1"/>
    <w:rsid w:val="00842FCD"/>
    <w:rsid w:val="00844879"/>
    <w:rsid w:val="0084517D"/>
    <w:rsid w:val="0084648B"/>
    <w:rsid w:val="00846AD3"/>
    <w:rsid w:val="00851845"/>
    <w:rsid w:val="00851CC6"/>
    <w:rsid w:val="00852555"/>
    <w:rsid w:val="00852C8D"/>
    <w:rsid w:val="00852E80"/>
    <w:rsid w:val="00853500"/>
    <w:rsid w:val="00853A66"/>
    <w:rsid w:val="0085403A"/>
    <w:rsid w:val="00855D41"/>
    <w:rsid w:val="00856AF6"/>
    <w:rsid w:val="00856ED5"/>
    <w:rsid w:val="00857CA2"/>
    <w:rsid w:val="00861412"/>
    <w:rsid w:val="00862807"/>
    <w:rsid w:val="00862AF0"/>
    <w:rsid w:val="00862B48"/>
    <w:rsid w:val="0086357D"/>
    <w:rsid w:val="00864245"/>
    <w:rsid w:val="00864D94"/>
    <w:rsid w:val="008703BE"/>
    <w:rsid w:val="008709A0"/>
    <w:rsid w:val="008709CB"/>
    <w:rsid w:val="008713C4"/>
    <w:rsid w:val="008727E5"/>
    <w:rsid w:val="0087305A"/>
    <w:rsid w:val="00873A46"/>
    <w:rsid w:val="00875B15"/>
    <w:rsid w:val="008800F5"/>
    <w:rsid w:val="00881A00"/>
    <w:rsid w:val="00881B16"/>
    <w:rsid w:val="00881B44"/>
    <w:rsid w:val="00882780"/>
    <w:rsid w:val="00883080"/>
    <w:rsid w:val="0088412E"/>
    <w:rsid w:val="008849B5"/>
    <w:rsid w:val="0088779A"/>
    <w:rsid w:val="00890394"/>
    <w:rsid w:val="00893154"/>
    <w:rsid w:val="00893A51"/>
    <w:rsid w:val="00893D4C"/>
    <w:rsid w:val="00894B5E"/>
    <w:rsid w:val="00894BB5"/>
    <w:rsid w:val="00895CDC"/>
    <w:rsid w:val="0089686C"/>
    <w:rsid w:val="0089765C"/>
    <w:rsid w:val="008978D5"/>
    <w:rsid w:val="00897EBB"/>
    <w:rsid w:val="008A0B9A"/>
    <w:rsid w:val="008A1EF3"/>
    <w:rsid w:val="008A2565"/>
    <w:rsid w:val="008A25DA"/>
    <w:rsid w:val="008A263E"/>
    <w:rsid w:val="008A2B95"/>
    <w:rsid w:val="008A2C43"/>
    <w:rsid w:val="008A34E8"/>
    <w:rsid w:val="008A3E2B"/>
    <w:rsid w:val="008A3EAE"/>
    <w:rsid w:val="008A3ECE"/>
    <w:rsid w:val="008A3F73"/>
    <w:rsid w:val="008A4C19"/>
    <w:rsid w:val="008A561D"/>
    <w:rsid w:val="008B0DC0"/>
    <w:rsid w:val="008B30F7"/>
    <w:rsid w:val="008B3E3D"/>
    <w:rsid w:val="008B4124"/>
    <w:rsid w:val="008B5C33"/>
    <w:rsid w:val="008B777B"/>
    <w:rsid w:val="008B7914"/>
    <w:rsid w:val="008C0663"/>
    <w:rsid w:val="008C0AA2"/>
    <w:rsid w:val="008C15DA"/>
    <w:rsid w:val="008C1D87"/>
    <w:rsid w:val="008C2098"/>
    <w:rsid w:val="008C3011"/>
    <w:rsid w:val="008C462F"/>
    <w:rsid w:val="008C484E"/>
    <w:rsid w:val="008C4CFC"/>
    <w:rsid w:val="008C7F47"/>
    <w:rsid w:val="008D1609"/>
    <w:rsid w:val="008D1A4F"/>
    <w:rsid w:val="008D2421"/>
    <w:rsid w:val="008D38FC"/>
    <w:rsid w:val="008D3A83"/>
    <w:rsid w:val="008D47FE"/>
    <w:rsid w:val="008D5D8A"/>
    <w:rsid w:val="008D5DE8"/>
    <w:rsid w:val="008D5F0D"/>
    <w:rsid w:val="008D6DC1"/>
    <w:rsid w:val="008E09E4"/>
    <w:rsid w:val="008E0DEB"/>
    <w:rsid w:val="008E0E7C"/>
    <w:rsid w:val="008E1691"/>
    <w:rsid w:val="008E19A4"/>
    <w:rsid w:val="008E3DF2"/>
    <w:rsid w:val="008E3E3F"/>
    <w:rsid w:val="008E4D95"/>
    <w:rsid w:val="008E52B2"/>
    <w:rsid w:val="008E5DF4"/>
    <w:rsid w:val="008E69A5"/>
    <w:rsid w:val="008E7396"/>
    <w:rsid w:val="008E76AE"/>
    <w:rsid w:val="008E7736"/>
    <w:rsid w:val="008E7DA3"/>
    <w:rsid w:val="008F0ADD"/>
    <w:rsid w:val="008F10B9"/>
    <w:rsid w:val="008F199B"/>
    <w:rsid w:val="008F22B5"/>
    <w:rsid w:val="008F3C6D"/>
    <w:rsid w:val="008F56AD"/>
    <w:rsid w:val="008F6394"/>
    <w:rsid w:val="008F6DAE"/>
    <w:rsid w:val="008F70A9"/>
    <w:rsid w:val="008F79B0"/>
    <w:rsid w:val="0090144E"/>
    <w:rsid w:val="009024A3"/>
    <w:rsid w:val="009038BF"/>
    <w:rsid w:val="00903CDA"/>
    <w:rsid w:val="00905DA4"/>
    <w:rsid w:val="009073EB"/>
    <w:rsid w:val="00907EA4"/>
    <w:rsid w:val="00911585"/>
    <w:rsid w:val="009116DF"/>
    <w:rsid w:val="00912E61"/>
    <w:rsid w:val="0091444E"/>
    <w:rsid w:val="00916784"/>
    <w:rsid w:val="00916818"/>
    <w:rsid w:val="00916F95"/>
    <w:rsid w:val="009171F8"/>
    <w:rsid w:val="00921422"/>
    <w:rsid w:val="009218FE"/>
    <w:rsid w:val="00924552"/>
    <w:rsid w:val="009246B1"/>
    <w:rsid w:val="00924C1F"/>
    <w:rsid w:val="009259D9"/>
    <w:rsid w:val="00927D19"/>
    <w:rsid w:val="00930989"/>
    <w:rsid w:val="009331EC"/>
    <w:rsid w:val="00933D27"/>
    <w:rsid w:val="0093422F"/>
    <w:rsid w:val="00934718"/>
    <w:rsid w:val="00934EB3"/>
    <w:rsid w:val="00936F4C"/>
    <w:rsid w:val="009408AE"/>
    <w:rsid w:val="00944587"/>
    <w:rsid w:val="00946837"/>
    <w:rsid w:val="00946889"/>
    <w:rsid w:val="00950508"/>
    <w:rsid w:val="00950B02"/>
    <w:rsid w:val="00952F9E"/>
    <w:rsid w:val="009539EA"/>
    <w:rsid w:val="00953D4C"/>
    <w:rsid w:val="00954406"/>
    <w:rsid w:val="00955A30"/>
    <w:rsid w:val="009572BD"/>
    <w:rsid w:val="0096092F"/>
    <w:rsid w:val="00960CA6"/>
    <w:rsid w:val="0096168F"/>
    <w:rsid w:val="00961BE2"/>
    <w:rsid w:val="00961CA3"/>
    <w:rsid w:val="00962B89"/>
    <w:rsid w:val="009630C0"/>
    <w:rsid w:val="009638AA"/>
    <w:rsid w:val="00963DDE"/>
    <w:rsid w:val="00965304"/>
    <w:rsid w:val="0096597D"/>
    <w:rsid w:val="00966C08"/>
    <w:rsid w:val="00967B54"/>
    <w:rsid w:val="00967C6A"/>
    <w:rsid w:val="009706A8"/>
    <w:rsid w:val="0097079F"/>
    <w:rsid w:val="009715EB"/>
    <w:rsid w:val="00971A33"/>
    <w:rsid w:val="009723BB"/>
    <w:rsid w:val="00973A65"/>
    <w:rsid w:val="0097423D"/>
    <w:rsid w:val="009743C9"/>
    <w:rsid w:val="00974B89"/>
    <w:rsid w:val="009759C3"/>
    <w:rsid w:val="00976129"/>
    <w:rsid w:val="00980E50"/>
    <w:rsid w:val="0098168D"/>
    <w:rsid w:val="00981CA9"/>
    <w:rsid w:val="009820C0"/>
    <w:rsid w:val="00983557"/>
    <w:rsid w:val="00983567"/>
    <w:rsid w:val="00983DE4"/>
    <w:rsid w:val="00984AED"/>
    <w:rsid w:val="00984E43"/>
    <w:rsid w:val="009858A1"/>
    <w:rsid w:val="009865EE"/>
    <w:rsid w:val="009866AC"/>
    <w:rsid w:val="0099033D"/>
    <w:rsid w:val="00990A30"/>
    <w:rsid w:val="00991391"/>
    <w:rsid w:val="00992433"/>
    <w:rsid w:val="00992783"/>
    <w:rsid w:val="00993486"/>
    <w:rsid w:val="0099420A"/>
    <w:rsid w:val="009944F4"/>
    <w:rsid w:val="009951B8"/>
    <w:rsid w:val="009960E0"/>
    <w:rsid w:val="0099753B"/>
    <w:rsid w:val="009A02F9"/>
    <w:rsid w:val="009A04E2"/>
    <w:rsid w:val="009A0AD8"/>
    <w:rsid w:val="009A0EBC"/>
    <w:rsid w:val="009A21B4"/>
    <w:rsid w:val="009A220B"/>
    <w:rsid w:val="009A227D"/>
    <w:rsid w:val="009A25A4"/>
    <w:rsid w:val="009A2827"/>
    <w:rsid w:val="009A2C22"/>
    <w:rsid w:val="009A3E9F"/>
    <w:rsid w:val="009A3EE4"/>
    <w:rsid w:val="009A3EF7"/>
    <w:rsid w:val="009A4917"/>
    <w:rsid w:val="009A5F6A"/>
    <w:rsid w:val="009A677D"/>
    <w:rsid w:val="009A6AEA"/>
    <w:rsid w:val="009B2E95"/>
    <w:rsid w:val="009B34F8"/>
    <w:rsid w:val="009B3B14"/>
    <w:rsid w:val="009B4479"/>
    <w:rsid w:val="009B4F13"/>
    <w:rsid w:val="009B6181"/>
    <w:rsid w:val="009B61AA"/>
    <w:rsid w:val="009B6EC7"/>
    <w:rsid w:val="009B7BA4"/>
    <w:rsid w:val="009C0128"/>
    <w:rsid w:val="009C0208"/>
    <w:rsid w:val="009C0CED"/>
    <w:rsid w:val="009C121A"/>
    <w:rsid w:val="009C2ACE"/>
    <w:rsid w:val="009C4146"/>
    <w:rsid w:val="009C5E54"/>
    <w:rsid w:val="009C5F6E"/>
    <w:rsid w:val="009C6377"/>
    <w:rsid w:val="009C681C"/>
    <w:rsid w:val="009C7122"/>
    <w:rsid w:val="009C7A03"/>
    <w:rsid w:val="009D1B70"/>
    <w:rsid w:val="009D2192"/>
    <w:rsid w:val="009D28EE"/>
    <w:rsid w:val="009D3AD4"/>
    <w:rsid w:val="009D3CEB"/>
    <w:rsid w:val="009D3CFE"/>
    <w:rsid w:val="009D404D"/>
    <w:rsid w:val="009D4333"/>
    <w:rsid w:val="009D51BE"/>
    <w:rsid w:val="009D5E48"/>
    <w:rsid w:val="009D623D"/>
    <w:rsid w:val="009D679B"/>
    <w:rsid w:val="009D6CA1"/>
    <w:rsid w:val="009D7A2B"/>
    <w:rsid w:val="009E0089"/>
    <w:rsid w:val="009E0162"/>
    <w:rsid w:val="009E1900"/>
    <w:rsid w:val="009E20CD"/>
    <w:rsid w:val="009E2C4E"/>
    <w:rsid w:val="009E6673"/>
    <w:rsid w:val="009E7093"/>
    <w:rsid w:val="009E7B14"/>
    <w:rsid w:val="009F040F"/>
    <w:rsid w:val="009F046C"/>
    <w:rsid w:val="009F1918"/>
    <w:rsid w:val="009F350A"/>
    <w:rsid w:val="009F47E6"/>
    <w:rsid w:val="009F69B4"/>
    <w:rsid w:val="00A00813"/>
    <w:rsid w:val="00A009E6"/>
    <w:rsid w:val="00A015E8"/>
    <w:rsid w:val="00A01AFC"/>
    <w:rsid w:val="00A029B4"/>
    <w:rsid w:val="00A02FEA"/>
    <w:rsid w:val="00A033F2"/>
    <w:rsid w:val="00A0348D"/>
    <w:rsid w:val="00A039A5"/>
    <w:rsid w:val="00A03DA3"/>
    <w:rsid w:val="00A04334"/>
    <w:rsid w:val="00A04409"/>
    <w:rsid w:val="00A058E0"/>
    <w:rsid w:val="00A0638A"/>
    <w:rsid w:val="00A06F94"/>
    <w:rsid w:val="00A073AC"/>
    <w:rsid w:val="00A07935"/>
    <w:rsid w:val="00A111B8"/>
    <w:rsid w:val="00A118B4"/>
    <w:rsid w:val="00A12FFF"/>
    <w:rsid w:val="00A13F58"/>
    <w:rsid w:val="00A13F71"/>
    <w:rsid w:val="00A15992"/>
    <w:rsid w:val="00A15BA4"/>
    <w:rsid w:val="00A17AAB"/>
    <w:rsid w:val="00A17F61"/>
    <w:rsid w:val="00A21937"/>
    <w:rsid w:val="00A22511"/>
    <w:rsid w:val="00A24BCE"/>
    <w:rsid w:val="00A251E9"/>
    <w:rsid w:val="00A25443"/>
    <w:rsid w:val="00A259F1"/>
    <w:rsid w:val="00A25FD2"/>
    <w:rsid w:val="00A2638F"/>
    <w:rsid w:val="00A27E30"/>
    <w:rsid w:val="00A30D24"/>
    <w:rsid w:val="00A313BF"/>
    <w:rsid w:val="00A329D6"/>
    <w:rsid w:val="00A33E4E"/>
    <w:rsid w:val="00A344F0"/>
    <w:rsid w:val="00A34F07"/>
    <w:rsid w:val="00A35517"/>
    <w:rsid w:val="00A3662E"/>
    <w:rsid w:val="00A3758D"/>
    <w:rsid w:val="00A3769F"/>
    <w:rsid w:val="00A37FCB"/>
    <w:rsid w:val="00A4084C"/>
    <w:rsid w:val="00A414D9"/>
    <w:rsid w:val="00A42976"/>
    <w:rsid w:val="00A43E70"/>
    <w:rsid w:val="00A4401B"/>
    <w:rsid w:val="00A446E2"/>
    <w:rsid w:val="00A44833"/>
    <w:rsid w:val="00A44C77"/>
    <w:rsid w:val="00A4755E"/>
    <w:rsid w:val="00A47F78"/>
    <w:rsid w:val="00A519F0"/>
    <w:rsid w:val="00A51AA1"/>
    <w:rsid w:val="00A53A7B"/>
    <w:rsid w:val="00A54948"/>
    <w:rsid w:val="00A552FE"/>
    <w:rsid w:val="00A552FF"/>
    <w:rsid w:val="00A56126"/>
    <w:rsid w:val="00A56C5F"/>
    <w:rsid w:val="00A57252"/>
    <w:rsid w:val="00A57D50"/>
    <w:rsid w:val="00A61C53"/>
    <w:rsid w:val="00A634EC"/>
    <w:rsid w:val="00A6495D"/>
    <w:rsid w:val="00A652A8"/>
    <w:rsid w:val="00A6709B"/>
    <w:rsid w:val="00A67727"/>
    <w:rsid w:val="00A67FE5"/>
    <w:rsid w:val="00A70D3A"/>
    <w:rsid w:val="00A719BD"/>
    <w:rsid w:val="00A7219B"/>
    <w:rsid w:val="00A741B2"/>
    <w:rsid w:val="00A76A9B"/>
    <w:rsid w:val="00A7718E"/>
    <w:rsid w:val="00A77621"/>
    <w:rsid w:val="00A77D43"/>
    <w:rsid w:val="00A80675"/>
    <w:rsid w:val="00A80CCE"/>
    <w:rsid w:val="00A81556"/>
    <w:rsid w:val="00A82234"/>
    <w:rsid w:val="00A825C3"/>
    <w:rsid w:val="00A82D89"/>
    <w:rsid w:val="00A831AD"/>
    <w:rsid w:val="00A864E4"/>
    <w:rsid w:val="00A87A69"/>
    <w:rsid w:val="00A9198E"/>
    <w:rsid w:val="00A91F7A"/>
    <w:rsid w:val="00A930CD"/>
    <w:rsid w:val="00A9429B"/>
    <w:rsid w:val="00A943F2"/>
    <w:rsid w:val="00A94C73"/>
    <w:rsid w:val="00A9577A"/>
    <w:rsid w:val="00A97065"/>
    <w:rsid w:val="00AA11F8"/>
    <w:rsid w:val="00AA161A"/>
    <w:rsid w:val="00AA1BB5"/>
    <w:rsid w:val="00AA2463"/>
    <w:rsid w:val="00AA25A2"/>
    <w:rsid w:val="00AA4441"/>
    <w:rsid w:val="00AA533C"/>
    <w:rsid w:val="00AA5889"/>
    <w:rsid w:val="00AA78AB"/>
    <w:rsid w:val="00AA7F7E"/>
    <w:rsid w:val="00AA7FD9"/>
    <w:rsid w:val="00AB0461"/>
    <w:rsid w:val="00AB0D04"/>
    <w:rsid w:val="00AB1489"/>
    <w:rsid w:val="00AB2AA8"/>
    <w:rsid w:val="00AB2E03"/>
    <w:rsid w:val="00AB312C"/>
    <w:rsid w:val="00AB31C5"/>
    <w:rsid w:val="00AB3D58"/>
    <w:rsid w:val="00AB4723"/>
    <w:rsid w:val="00AB4E4F"/>
    <w:rsid w:val="00AB54BA"/>
    <w:rsid w:val="00AB5A73"/>
    <w:rsid w:val="00AB5C8C"/>
    <w:rsid w:val="00AB6B8C"/>
    <w:rsid w:val="00AB7143"/>
    <w:rsid w:val="00AB756A"/>
    <w:rsid w:val="00AC0574"/>
    <w:rsid w:val="00AC15CC"/>
    <w:rsid w:val="00AC1E57"/>
    <w:rsid w:val="00AC22AF"/>
    <w:rsid w:val="00AC24F9"/>
    <w:rsid w:val="00AC2867"/>
    <w:rsid w:val="00AC2E5C"/>
    <w:rsid w:val="00AC2F80"/>
    <w:rsid w:val="00AC3569"/>
    <w:rsid w:val="00AC512C"/>
    <w:rsid w:val="00AC5D81"/>
    <w:rsid w:val="00AC600D"/>
    <w:rsid w:val="00AC641B"/>
    <w:rsid w:val="00AC6670"/>
    <w:rsid w:val="00AC6A08"/>
    <w:rsid w:val="00AC7063"/>
    <w:rsid w:val="00AC78EA"/>
    <w:rsid w:val="00AC7988"/>
    <w:rsid w:val="00AC7ABF"/>
    <w:rsid w:val="00AC7D66"/>
    <w:rsid w:val="00AD0068"/>
    <w:rsid w:val="00AD118C"/>
    <w:rsid w:val="00AD1985"/>
    <w:rsid w:val="00AD3865"/>
    <w:rsid w:val="00AD4140"/>
    <w:rsid w:val="00AD5FD6"/>
    <w:rsid w:val="00AD6780"/>
    <w:rsid w:val="00AD6D74"/>
    <w:rsid w:val="00AD760E"/>
    <w:rsid w:val="00AE07D5"/>
    <w:rsid w:val="00AE1CAC"/>
    <w:rsid w:val="00AE48BD"/>
    <w:rsid w:val="00AE5C47"/>
    <w:rsid w:val="00AE5E77"/>
    <w:rsid w:val="00AE752F"/>
    <w:rsid w:val="00AF0C17"/>
    <w:rsid w:val="00AF0F46"/>
    <w:rsid w:val="00AF17AE"/>
    <w:rsid w:val="00AF2468"/>
    <w:rsid w:val="00AF24B5"/>
    <w:rsid w:val="00AF2882"/>
    <w:rsid w:val="00AF372A"/>
    <w:rsid w:val="00AF4C31"/>
    <w:rsid w:val="00AF4D44"/>
    <w:rsid w:val="00AF5192"/>
    <w:rsid w:val="00AF5519"/>
    <w:rsid w:val="00AF57AA"/>
    <w:rsid w:val="00AF5B8C"/>
    <w:rsid w:val="00AF7986"/>
    <w:rsid w:val="00AF79CD"/>
    <w:rsid w:val="00B0032F"/>
    <w:rsid w:val="00B011B5"/>
    <w:rsid w:val="00B0146B"/>
    <w:rsid w:val="00B01499"/>
    <w:rsid w:val="00B02669"/>
    <w:rsid w:val="00B02E71"/>
    <w:rsid w:val="00B03203"/>
    <w:rsid w:val="00B03F56"/>
    <w:rsid w:val="00B044C0"/>
    <w:rsid w:val="00B04D76"/>
    <w:rsid w:val="00B05F96"/>
    <w:rsid w:val="00B06B85"/>
    <w:rsid w:val="00B06E10"/>
    <w:rsid w:val="00B10502"/>
    <w:rsid w:val="00B1710A"/>
    <w:rsid w:val="00B17C66"/>
    <w:rsid w:val="00B22FA6"/>
    <w:rsid w:val="00B2496B"/>
    <w:rsid w:val="00B30970"/>
    <w:rsid w:val="00B310AC"/>
    <w:rsid w:val="00B3131E"/>
    <w:rsid w:val="00B318DB"/>
    <w:rsid w:val="00B31AD6"/>
    <w:rsid w:val="00B31F84"/>
    <w:rsid w:val="00B3283F"/>
    <w:rsid w:val="00B329B9"/>
    <w:rsid w:val="00B34E38"/>
    <w:rsid w:val="00B34FEC"/>
    <w:rsid w:val="00B350D8"/>
    <w:rsid w:val="00B35D48"/>
    <w:rsid w:val="00B35DE1"/>
    <w:rsid w:val="00B36EAA"/>
    <w:rsid w:val="00B37B79"/>
    <w:rsid w:val="00B42335"/>
    <w:rsid w:val="00B424DB"/>
    <w:rsid w:val="00B42620"/>
    <w:rsid w:val="00B432F6"/>
    <w:rsid w:val="00B448CC"/>
    <w:rsid w:val="00B4722A"/>
    <w:rsid w:val="00B4740E"/>
    <w:rsid w:val="00B52361"/>
    <w:rsid w:val="00B523AE"/>
    <w:rsid w:val="00B53225"/>
    <w:rsid w:val="00B54029"/>
    <w:rsid w:val="00B549E6"/>
    <w:rsid w:val="00B54DFE"/>
    <w:rsid w:val="00B56435"/>
    <w:rsid w:val="00B5793D"/>
    <w:rsid w:val="00B601BF"/>
    <w:rsid w:val="00B60E27"/>
    <w:rsid w:val="00B610DD"/>
    <w:rsid w:val="00B621CE"/>
    <w:rsid w:val="00B6372F"/>
    <w:rsid w:val="00B647DB"/>
    <w:rsid w:val="00B65170"/>
    <w:rsid w:val="00B65F3A"/>
    <w:rsid w:val="00B672ED"/>
    <w:rsid w:val="00B679DA"/>
    <w:rsid w:val="00B70A06"/>
    <w:rsid w:val="00B711B2"/>
    <w:rsid w:val="00B7178A"/>
    <w:rsid w:val="00B72C92"/>
    <w:rsid w:val="00B7494A"/>
    <w:rsid w:val="00B75254"/>
    <w:rsid w:val="00B75C57"/>
    <w:rsid w:val="00B76758"/>
    <w:rsid w:val="00B76C77"/>
    <w:rsid w:val="00B80F41"/>
    <w:rsid w:val="00B81149"/>
    <w:rsid w:val="00B812B4"/>
    <w:rsid w:val="00B81A38"/>
    <w:rsid w:val="00B81A83"/>
    <w:rsid w:val="00B81D57"/>
    <w:rsid w:val="00B824E5"/>
    <w:rsid w:val="00B828F1"/>
    <w:rsid w:val="00B8359F"/>
    <w:rsid w:val="00B845A4"/>
    <w:rsid w:val="00B84EED"/>
    <w:rsid w:val="00B85183"/>
    <w:rsid w:val="00B85EC1"/>
    <w:rsid w:val="00B8705B"/>
    <w:rsid w:val="00B9012D"/>
    <w:rsid w:val="00B92062"/>
    <w:rsid w:val="00B9235F"/>
    <w:rsid w:val="00B935C9"/>
    <w:rsid w:val="00B94B69"/>
    <w:rsid w:val="00B959E4"/>
    <w:rsid w:val="00B95F07"/>
    <w:rsid w:val="00BA12F9"/>
    <w:rsid w:val="00BA1E00"/>
    <w:rsid w:val="00BA1F44"/>
    <w:rsid w:val="00BA208D"/>
    <w:rsid w:val="00BA2461"/>
    <w:rsid w:val="00BA384E"/>
    <w:rsid w:val="00BA3990"/>
    <w:rsid w:val="00BA5AFE"/>
    <w:rsid w:val="00BA6911"/>
    <w:rsid w:val="00BA6CCC"/>
    <w:rsid w:val="00BA728C"/>
    <w:rsid w:val="00BB021F"/>
    <w:rsid w:val="00BB030A"/>
    <w:rsid w:val="00BB0673"/>
    <w:rsid w:val="00BB1BBA"/>
    <w:rsid w:val="00BB24FD"/>
    <w:rsid w:val="00BB3C3D"/>
    <w:rsid w:val="00BB45D1"/>
    <w:rsid w:val="00BB512D"/>
    <w:rsid w:val="00BB5322"/>
    <w:rsid w:val="00BB7DB9"/>
    <w:rsid w:val="00BC1254"/>
    <w:rsid w:val="00BC1A9F"/>
    <w:rsid w:val="00BC1C80"/>
    <w:rsid w:val="00BC268C"/>
    <w:rsid w:val="00BC28D3"/>
    <w:rsid w:val="00BC4E51"/>
    <w:rsid w:val="00BC519A"/>
    <w:rsid w:val="00BC7E3D"/>
    <w:rsid w:val="00BD0794"/>
    <w:rsid w:val="00BD0EFC"/>
    <w:rsid w:val="00BD2396"/>
    <w:rsid w:val="00BD2C21"/>
    <w:rsid w:val="00BD2CFB"/>
    <w:rsid w:val="00BD35AC"/>
    <w:rsid w:val="00BD39F3"/>
    <w:rsid w:val="00BD4DE4"/>
    <w:rsid w:val="00BD5B63"/>
    <w:rsid w:val="00BD6723"/>
    <w:rsid w:val="00BD6729"/>
    <w:rsid w:val="00BD7536"/>
    <w:rsid w:val="00BD7FDB"/>
    <w:rsid w:val="00BE04E4"/>
    <w:rsid w:val="00BE1BE9"/>
    <w:rsid w:val="00BE2FEE"/>
    <w:rsid w:val="00BE300B"/>
    <w:rsid w:val="00BE44CB"/>
    <w:rsid w:val="00BE4A4B"/>
    <w:rsid w:val="00BE67FD"/>
    <w:rsid w:val="00BE6949"/>
    <w:rsid w:val="00BE6976"/>
    <w:rsid w:val="00BE720E"/>
    <w:rsid w:val="00BE75DD"/>
    <w:rsid w:val="00BF000F"/>
    <w:rsid w:val="00BF1336"/>
    <w:rsid w:val="00BF13FC"/>
    <w:rsid w:val="00BF1863"/>
    <w:rsid w:val="00BF1A6B"/>
    <w:rsid w:val="00BF1CBD"/>
    <w:rsid w:val="00BF1CD6"/>
    <w:rsid w:val="00BF235C"/>
    <w:rsid w:val="00BF2573"/>
    <w:rsid w:val="00BF27BF"/>
    <w:rsid w:val="00BF2C9C"/>
    <w:rsid w:val="00BF2ED5"/>
    <w:rsid w:val="00BF3C8C"/>
    <w:rsid w:val="00BF4399"/>
    <w:rsid w:val="00BF655D"/>
    <w:rsid w:val="00BF684F"/>
    <w:rsid w:val="00C00F91"/>
    <w:rsid w:val="00C01311"/>
    <w:rsid w:val="00C0147C"/>
    <w:rsid w:val="00C01812"/>
    <w:rsid w:val="00C01BA3"/>
    <w:rsid w:val="00C01EAA"/>
    <w:rsid w:val="00C02310"/>
    <w:rsid w:val="00C026E2"/>
    <w:rsid w:val="00C028D5"/>
    <w:rsid w:val="00C06553"/>
    <w:rsid w:val="00C06E51"/>
    <w:rsid w:val="00C1019F"/>
    <w:rsid w:val="00C12E2D"/>
    <w:rsid w:val="00C139D0"/>
    <w:rsid w:val="00C14B12"/>
    <w:rsid w:val="00C15851"/>
    <w:rsid w:val="00C15962"/>
    <w:rsid w:val="00C160B7"/>
    <w:rsid w:val="00C16995"/>
    <w:rsid w:val="00C16E2B"/>
    <w:rsid w:val="00C17A76"/>
    <w:rsid w:val="00C20653"/>
    <w:rsid w:val="00C21BC5"/>
    <w:rsid w:val="00C23415"/>
    <w:rsid w:val="00C243DD"/>
    <w:rsid w:val="00C24C01"/>
    <w:rsid w:val="00C26E31"/>
    <w:rsid w:val="00C27BB7"/>
    <w:rsid w:val="00C306DD"/>
    <w:rsid w:val="00C30BB0"/>
    <w:rsid w:val="00C3235E"/>
    <w:rsid w:val="00C32365"/>
    <w:rsid w:val="00C33541"/>
    <w:rsid w:val="00C35B72"/>
    <w:rsid w:val="00C35F79"/>
    <w:rsid w:val="00C361EB"/>
    <w:rsid w:val="00C3624D"/>
    <w:rsid w:val="00C36F59"/>
    <w:rsid w:val="00C40EB5"/>
    <w:rsid w:val="00C415F5"/>
    <w:rsid w:val="00C41E21"/>
    <w:rsid w:val="00C424F5"/>
    <w:rsid w:val="00C430F0"/>
    <w:rsid w:val="00C432F2"/>
    <w:rsid w:val="00C439CB"/>
    <w:rsid w:val="00C439CF"/>
    <w:rsid w:val="00C44383"/>
    <w:rsid w:val="00C44B60"/>
    <w:rsid w:val="00C45C81"/>
    <w:rsid w:val="00C4649E"/>
    <w:rsid w:val="00C46F72"/>
    <w:rsid w:val="00C501D8"/>
    <w:rsid w:val="00C50DF5"/>
    <w:rsid w:val="00C50E4C"/>
    <w:rsid w:val="00C51A53"/>
    <w:rsid w:val="00C55388"/>
    <w:rsid w:val="00C55A34"/>
    <w:rsid w:val="00C563C4"/>
    <w:rsid w:val="00C567D1"/>
    <w:rsid w:val="00C56A80"/>
    <w:rsid w:val="00C6190F"/>
    <w:rsid w:val="00C626B4"/>
    <w:rsid w:val="00C63277"/>
    <w:rsid w:val="00C63329"/>
    <w:rsid w:val="00C633C3"/>
    <w:rsid w:val="00C63A6F"/>
    <w:rsid w:val="00C66BC9"/>
    <w:rsid w:val="00C67EC1"/>
    <w:rsid w:val="00C700B6"/>
    <w:rsid w:val="00C70ADA"/>
    <w:rsid w:val="00C71928"/>
    <w:rsid w:val="00C729A0"/>
    <w:rsid w:val="00C72F05"/>
    <w:rsid w:val="00C733B8"/>
    <w:rsid w:val="00C737F6"/>
    <w:rsid w:val="00C7577D"/>
    <w:rsid w:val="00C757FA"/>
    <w:rsid w:val="00C76F1A"/>
    <w:rsid w:val="00C77096"/>
    <w:rsid w:val="00C806C9"/>
    <w:rsid w:val="00C81BDE"/>
    <w:rsid w:val="00C8215B"/>
    <w:rsid w:val="00C821AB"/>
    <w:rsid w:val="00C82461"/>
    <w:rsid w:val="00C834E7"/>
    <w:rsid w:val="00C84B60"/>
    <w:rsid w:val="00C84BC8"/>
    <w:rsid w:val="00C84F4E"/>
    <w:rsid w:val="00C85476"/>
    <w:rsid w:val="00C86CAA"/>
    <w:rsid w:val="00C87A4D"/>
    <w:rsid w:val="00C90902"/>
    <w:rsid w:val="00C90A00"/>
    <w:rsid w:val="00C90B44"/>
    <w:rsid w:val="00C90E65"/>
    <w:rsid w:val="00C91264"/>
    <w:rsid w:val="00C91CDD"/>
    <w:rsid w:val="00C92318"/>
    <w:rsid w:val="00C92D17"/>
    <w:rsid w:val="00C93CE2"/>
    <w:rsid w:val="00C94510"/>
    <w:rsid w:val="00C95878"/>
    <w:rsid w:val="00CA0545"/>
    <w:rsid w:val="00CA200E"/>
    <w:rsid w:val="00CA6F31"/>
    <w:rsid w:val="00CA79C4"/>
    <w:rsid w:val="00CB193C"/>
    <w:rsid w:val="00CB1D4F"/>
    <w:rsid w:val="00CB2D4E"/>
    <w:rsid w:val="00CB3861"/>
    <w:rsid w:val="00CB3A2F"/>
    <w:rsid w:val="00CB3CEF"/>
    <w:rsid w:val="00CB4BCC"/>
    <w:rsid w:val="00CB57E7"/>
    <w:rsid w:val="00CB6A86"/>
    <w:rsid w:val="00CB79F4"/>
    <w:rsid w:val="00CB7F41"/>
    <w:rsid w:val="00CC2CA6"/>
    <w:rsid w:val="00CC3382"/>
    <w:rsid w:val="00CC3B4C"/>
    <w:rsid w:val="00CC3E74"/>
    <w:rsid w:val="00CC4AA5"/>
    <w:rsid w:val="00CC6F49"/>
    <w:rsid w:val="00CC73ED"/>
    <w:rsid w:val="00CC7779"/>
    <w:rsid w:val="00CC7835"/>
    <w:rsid w:val="00CC7CAE"/>
    <w:rsid w:val="00CD0336"/>
    <w:rsid w:val="00CD173D"/>
    <w:rsid w:val="00CD1988"/>
    <w:rsid w:val="00CD1AD7"/>
    <w:rsid w:val="00CD4DD0"/>
    <w:rsid w:val="00CD5292"/>
    <w:rsid w:val="00CD55A4"/>
    <w:rsid w:val="00CD5C01"/>
    <w:rsid w:val="00CD6925"/>
    <w:rsid w:val="00CD6F21"/>
    <w:rsid w:val="00CD71F1"/>
    <w:rsid w:val="00CD7396"/>
    <w:rsid w:val="00CE08A4"/>
    <w:rsid w:val="00CE08C9"/>
    <w:rsid w:val="00CE0969"/>
    <w:rsid w:val="00CE0BA9"/>
    <w:rsid w:val="00CE262B"/>
    <w:rsid w:val="00CE2A3B"/>
    <w:rsid w:val="00CE339A"/>
    <w:rsid w:val="00CE3460"/>
    <w:rsid w:val="00CE3481"/>
    <w:rsid w:val="00CE39E4"/>
    <w:rsid w:val="00CE4A95"/>
    <w:rsid w:val="00CE5FD4"/>
    <w:rsid w:val="00CE621E"/>
    <w:rsid w:val="00CE6D8A"/>
    <w:rsid w:val="00CE796F"/>
    <w:rsid w:val="00CF0989"/>
    <w:rsid w:val="00CF0BBF"/>
    <w:rsid w:val="00CF16FD"/>
    <w:rsid w:val="00CF1A13"/>
    <w:rsid w:val="00CF1DAC"/>
    <w:rsid w:val="00CF2D30"/>
    <w:rsid w:val="00CF38BD"/>
    <w:rsid w:val="00CF39DC"/>
    <w:rsid w:val="00CF4491"/>
    <w:rsid w:val="00CF55CF"/>
    <w:rsid w:val="00CF5C12"/>
    <w:rsid w:val="00D002BC"/>
    <w:rsid w:val="00D006C6"/>
    <w:rsid w:val="00D006E5"/>
    <w:rsid w:val="00D00953"/>
    <w:rsid w:val="00D01D8E"/>
    <w:rsid w:val="00D04F03"/>
    <w:rsid w:val="00D05961"/>
    <w:rsid w:val="00D0729B"/>
    <w:rsid w:val="00D078E5"/>
    <w:rsid w:val="00D10088"/>
    <w:rsid w:val="00D10764"/>
    <w:rsid w:val="00D10D19"/>
    <w:rsid w:val="00D113B5"/>
    <w:rsid w:val="00D11D49"/>
    <w:rsid w:val="00D1402D"/>
    <w:rsid w:val="00D1794E"/>
    <w:rsid w:val="00D17A14"/>
    <w:rsid w:val="00D21872"/>
    <w:rsid w:val="00D21AD7"/>
    <w:rsid w:val="00D22F14"/>
    <w:rsid w:val="00D236D2"/>
    <w:rsid w:val="00D236F6"/>
    <w:rsid w:val="00D25653"/>
    <w:rsid w:val="00D25B76"/>
    <w:rsid w:val="00D25CD1"/>
    <w:rsid w:val="00D260C2"/>
    <w:rsid w:val="00D274E0"/>
    <w:rsid w:val="00D30406"/>
    <w:rsid w:val="00D31023"/>
    <w:rsid w:val="00D32D22"/>
    <w:rsid w:val="00D32F63"/>
    <w:rsid w:val="00D33004"/>
    <w:rsid w:val="00D33AF5"/>
    <w:rsid w:val="00D33C4C"/>
    <w:rsid w:val="00D33CE8"/>
    <w:rsid w:val="00D35351"/>
    <w:rsid w:val="00D402FE"/>
    <w:rsid w:val="00D4186A"/>
    <w:rsid w:val="00D42120"/>
    <w:rsid w:val="00D43023"/>
    <w:rsid w:val="00D430F3"/>
    <w:rsid w:val="00D43105"/>
    <w:rsid w:val="00D4346A"/>
    <w:rsid w:val="00D45110"/>
    <w:rsid w:val="00D4550E"/>
    <w:rsid w:val="00D465C1"/>
    <w:rsid w:val="00D50702"/>
    <w:rsid w:val="00D50819"/>
    <w:rsid w:val="00D50A64"/>
    <w:rsid w:val="00D51B80"/>
    <w:rsid w:val="00D52D72"/>
    <w:rsid w:val="00D52E02"/>
    <w:rsid w:val="00D538E4"/>
    <w:rsid w:val="00D54CCD"/>
    <w:rsid w:val="00D54F0A"/>
    <w:rsid w:val="00D55224"/>
    <w:rsid w:val="00D55BDE"/>
    <w:rsid w:val="00D56394"/>
    <w:rsid w:val="00D56B98"/>
    <w:rsid w:val="00D578B7"/>
    <w:rsid w:val="00D57DFA"/>
    <w:rsid w:val="00D57E8E"/>
    <w:rsid w:val="00D608F5"/>
    <w:rsid w:val="00D617C2"/>
    <w:rsid w:val="00D6229B"/>
    <w:rsid w:val="00D623A2"/>
    <w:rsid w:val="00D627CB"/>
    <w:rsid w:val="00D653FC"/>
    <w:rsid w:val="00D659F9"/>
    <w:rsid w:val="00D660F9"/>
    <w:rsid w:val="00D66A03"/>
    <w:rsid w:val="00D67C4F"/>
    <w:rsid w:val="00D71300"/>
    <w:rsid w:val="00D71A4F"/>
    <w:rsid w:val="00D73644"/>
    <w:rsid w:val="00D73CA8"/>
    <w:rsid w:val="00D74CF0"/>
    <w:rsid w:val="00D74E15"/>
    <w:rsid w:val="00D76D90"/>
    <w:rsid w:val="00D76DBB"/>
    <w:rsid w:val="00D80380"/>
    <w:rsid w:val="00D807BF"/>
    <w:rsid w:val="00D821F7"/>
    <w:rsid w:val="00D8220B"/>
    <w:rsid w:val="00D826E1"/>
    <w:rsid w:val="00D83D5D"/>
    <w:rsid w:val="00D84358"/>
    <w:rsid w:val="00D843AD"/>
    <w:rsid w:val="00D856F3"/>
    <w:rsid w:val="00D868CF"/>
    <w:rsid w:val="00D86FBB"/>
    <w:rsid w:val="00D8754F"/>
    <w:rsid w:val="00D87C59"/>
    <w:rsid w:val="00D90248"/>
    <w:rsid w:val="00D905AB"/>
    <w:rsid w:val="00D90E75"/>
    <w:rsid w:val="00D9215E"/>
    <w:rsid w:val="00D92224"/>
    <w:rsid w:val="00D9245E"/>
    <w:rsid w:val="00D9545D"/>
    <w:rsid w:val="00D96982"/>
    <w:rsid w:val="00D97476"/>
    <w:rsid w:val="00D9752E"/>
    <w:rsid w:val="00DA124A"/>
    <w:rsid w:val="00DA183A"/>
    <w:rsid w:val="00DA1FC1"/>
    <w:rsid w:val="00DA2992"/>
    <w:rsid w:val="00DA2BBB"/>
    <w:rsid w:val="00DA3B14"/>
    <w:rsid w:val="00DA3DE2"/>
    <w:rsid w:val="00DA587F"/>
    <w:rsid w:val="00DA5A75"/>
    <w:rsid w:val="00DA66D4"/>
    <w:rsid w:val="00DA7C39"/>
    <w:rsid w:val="00DA7EFB"/>
    <w:rsid w:val="00DB0221"/>
    <w:rsid w:val="00DB06EA"/>
    <w:rsid w:val="00DB136B"/>
    <w:rsid w:val="00DB143E"/>
    <w:rsid w:val="00DB1D64"/>
    <w:rsid w:val="00DB1FE8"/>
    <w:rsid w:val="00DB3FAB"/>
    <w:rsid w:val="00DB41EB"/>
    <w:rsid w:val="00DB45DE"/>
    <w:rsid w:val="00DB4680"/>
    <w:rsid w:val="00DB47C8"/>
    <w:rsid w:val="00DB6555"/>
    <w:rsid w:val="00DC081D"/>
    <w:rsid w:val="00DC1A30"/>
    <w:rsid w:val="00DC1A9E"/>
    <w:rsid w:val="00DC23B9"/>
    <w:rsid w:val="00DC3C73"/>
    <w:rsid w:val="00DC3D49"/>
    <w:rsid w:val="00DC3FAF"/>
    <w:rsid w:val="00DC40A2"/>
    <w:rsid w:val="00DC4294"/>
    <w:rsid w:val="00DC50D3"/>
    <w:rsid w:val="00DC5FF5"/>
    <w:rsid w:val="00DC6C8D"/>
    <w:rsid w:val="00DD0AA1"/>
    <w:rsid w:val="00DD1B9C"/>
    <w:rsid w:val="00DD2040"/>
    <w:rsid w:val="00DD2508"/>
    <w:rsid w:val="00DD335D"/>
    <w:rsid w:val="00DD3566"/>
    <w:rsid w:val="00DD39FD"/>
    <w:rsid w:val="00DD4F4D"/>
    <w:rsid w:val="00DD51C0"/>
    <w:rsid w:val="00DD5931"/>
    <w:rsid w:val="00DD641F"/>
    <w:rsid w:val="00DE04D9"/>
    <w:rsid w:val="00DE07AC"/>
    <w:rsid w:val="00DE1876"/>
    <w:rsid w:val="00DE24A3"/>
    <w:rsid w:val="00DE29C0"/>
    <w:rsid w:val="00DE2D55"/>
    <w:rsid w:val="00DE3952"/>
    <w:rsid w:val="00DE3F49"/>
    <w:rsid w:val="00DE44EF"/>
    <w:rsid w:val="00DE52DF"/>
    <w:rsid w:val="00DE532F"/>
    <w:rsid w:val="00DE5B63"/>
    <w:rsid w:val="00DE7E71"/>
    <w:rsid w:val="00DF02A8"/>
    <w:rsid w:val="00DF088B"/>
    <w:rsid w:val="00DF24C6"/>
    <w:rsid w:val="00DF2A00"/>
    <w:rsid w:val="00DF2CA4"/>
    <w:rsid w:val="00DF30D8"/>
    <w:rsid w:val="00DF5562"/>
    <w:rsid w:val="00DF5AB9"/>
    <w:rsid w:val="00DF5C46"/>
    <w:rsid w:val="00DF7108"/>
    <w:rsid w:val="00DF7A11"/>
    <w:rsid w:val="00DF7F90"/>
    <w:rsid w:val="00E010D9"/>
    <w:rsid w:val="00E047C2"/>
    <w:rsid w:val="00E05A0D"/>
    <w:rsid w:val="00E05D0E"/>
    <w:rsid w:val="00E05F75"/>
    <w:rsid w:val="00E1070F"/>
    <w:rsid w:val="00E1340C"/>
    <w:rsid w:val="00E14248"/>
    <w:rsid w:val="00E145B8"/>
    <w:rsid w:val="00E14D14"/>
    <w:rsid w:val="00E155BD"/>
    <w:rsid w:val="00E164F4"/>
    <w:rsid w:val="00E17E88"/>
    <w:rsid w:val="00E20457"/>
    <w:rsid w:val="00E20882"/>
    <w:rsid w:val="00E2103A"/>
    <w:rsid w:val="00E2113F"/>
    <w:rsid w:val="00E2226A"/>
    <w:rsid w:val="00E23238"/>
    <w:rsid w:val="00E2374E"/>
    <w:rsid w:val="00E245E6"/>
    <w:rsid w:val="00E24D81"/>
    <w:rsid w:val="00E24E8F"/>
    <w:rsid w:val="00E25393"/>
    <w:rsid w:val="00E257C4"/>
    <w:rsid w:val="00E25AD9"/>
    <w:rsid w:val="00E25EB4"/>
    <w:rsid w:val="00E26F39"/>
    <w:rsid w:val="00E2704E"/>
    <w:rsid w:val="00E31B70"/>
    <w:rsid w:val="00E31EFA"/>
    <w:rsid w:val="00E32584"/>
    <w:rsid w:val="00E33A47"/>
    <w:rsid w:val="00E3492E"/>
    <w:rsid w:val="00E35BE9"/>
    <w:rsid w:val="00E35E09"/>
    <w:rsid w:val="00E36D5B"/>
    <w:rsid w:val="00E379FA"/>
    <w:rsid w:val="00E4237A"/>
    <w:rsid w:val="00E434CD"/>
    <w:rsid w:val="00E43F09"/>
    <w:rsid w:val="00E441D1"/>
    <w:rsid w:val="00E44AD6"/>
    <w:rsid w:val="00E45653"/>
    <w:rsid w:val="00E45818"/>
    <w:rsid w:val="00E47576"/>
    <w:rsid w:val="00E50565"/>
    <w:rsid w:val="00E51396"/>
    <w:rsid w:val="00E52A35"/>
    <w:rsid w:val="00E530EB"/>
    <w:rsid w:val="00E53942"/>
    <w:rsid w:val="00E53C54"/>
    <w:rsid w:val="00E53C5A"/>
    <w:rsid w:val="00E53FED"/>
    <w:rsid w:val="00E54A94"/>
    <w:rsid w:val="00E54F58"/>
    <w:rsid w:val="00E568B1"/>
    <w:rsid w:val="00E639C6"/>
    <w:rsid w:val="00E63CB2"/>
    <w:rsid w:val="00E645DA"/>
    <w:rsid w:val="00E64EE3"/>
    <w:rsid w:val="00E66A60"/>
    <w:rsid w:val="00E70694"/>
    <w:rsid w:val="00E70742"/>
    <w:rsid w:val="00E707F4"/>
    <w:rsid w:val="00E7145F"/>
    <w:rsid w:val="00E72005"/>
    <w:rsid w:val="00E73D8B"/>
    <w:rsid w:val="00E7452D"/>
    <w:rsid w:val="00E751A1"/>
    <w:rsid w:val="00E76AB3"/>
    <w:rsid w:val="00E77D5E"/>
    <w:rsid w:val="00E77DEC"/>
    <w:rsid w:val="00E8001E"/>
    <w:rsid w:val="00E8001F"/>
    <w:rsid w:val="00E8150E"/>
    <w:rsid w:val="00E81629"/>
    <w:rsid w:val="00E81756"/>
    <w:rsid w:val="00E81CBB"/>
    <w:rsid w:val="00E835D8"/>
    <w:rsid w:val="00E84E8D"/>
    <w:rsid w:val="00E85731"/>
    <w:rsid w:val="00E858B0"/>
    <w:rsid w:val="00E85DE2"/>
    <w:rsid w:val="00E863A7"/>
    <w:rsid w:val="00E868D8"/>
    <w:rsid w:val="00E873E3"/>
    <w:rsid w:val="00E909A3"/>
    <w:rsid w:val="00E91717"/>
    <w:rsid w:val="00E92141"/>
    <w:rsid w:val="00E923C1"/>
    <w:rsid w:val="00E933FB"/>
    <w:rsid w:val="00E935E6"/>
    <w:rsid w:val="00E939B6"/>
    <w:rsid w:val="00E96779"/>
    <w:rsid w:val="00E96CC0"/>
    <w:rsid w:val="00E97323"/>
    <w:rsid w:val="00EA0811"/>
    <w:rsid w:val="00EA1302"/>
    <w:rsid w:val="00EA1891"/>
    <w:rsid w:val="00EA2C3E"/>
    <w:rsid w:val="00EA39EF"/>
    <w:rsid w:val="00EA454B"/>
    <w:rsid w:val="00EA4668"/>
    <w:rsid w:val="00EA5515"/>
    <w:rsid w:val="00EA5EC9"/>
    <w:rsid w:val="00EA677D"/>
    <w:rsid w:val="00EA6D82"/>
    <w:rsid w:val="00EA720B"/>
    <w:rsid w:val="00EB1D73"/>
    <w:rsid w:val="00EB2968"/>
    <w:rsid w:val="00EB373A"/>
    <w:rsid w:val="00EB3A65"/>
    <w:rsid w:val="00EB3E59"/>
    <w:rsid w:val="00EB4084"/>
    <w:rsid w:val="00EB5748"/>
    <w:rsid w:val="00EB609A"/>
    <w:rsid w:val="00EC1A88"/>
    <w:rsid w:val="00EC1DA9"/>
    <w:rsid w:val="00EC2599"/>
    <w:rsid w:val="00EC2663"/>
    <w:rsid w:val="00EC2891"/>
    <w:rsid w:val="00EC3BA3"/>
    <w:rsid w:val="00EC54CF"/>
    <w:rsid w:val="00EC5EB0"/>
    <w:rsid w:val="00EC7DB6"/>
    <w:rsid w:val="00ED0179"/>
    <w:rsid w:val="00ED12BE"/>
    <w:rsid w:val="00ED176D"/>
    <w:rsid w:val="00ED2390"/>
    <w:rsid w:val="00ED25F6"/>
    <w:rsid w:val="00ED3634"/>
    <w:rsid w:val="00ED3E40"/>
    <w:rsid w:val="00ED44CC"/>
    <w:rsid w:val="00ED5D61"/>
    <w:rsid w:val="00ED6E4A"/>
    <w:rsid w:val="00ED7754"/>
    <w:rsid w:val="00EE0787"/>
    <w:rsid w:val="00EE0B84"/>
    <w:rsid w:val="00EE1307"/>
    <w:rsid w:val="00EE1540"/>
    <w:rsid w:val="00EE188E"/>
    <w:rsid w:val="00EE1ABA"/>
    <w:rsid w:val="00EE26C2"/>
    <w:rsid w:val="00EE2D48"/>
    <w:rsid w:val="00EE481A"/>
    <w:rsid w:val="00EE5394"/>
    <w:rsid w:val="00EE65C8"/>
    <w:rsid w:val="00EE685D"/>
    <w:rsid w:val="00EE706B"/>
    <w:rsid w:val="00EF03FD"/>
    <w:rsid w:val="00EF1759"/>
    <w:rsid w:val="00EF21BD"/>
    <w:rsid w:val="00EF37C1"/>
    <w:rsid w:val="00EF41EB"/>
    <w:rsid w:val="00EF4283"/>
    <w:rsid w:val="00EF45FD"/>
    <w:rsid w:val="00EF4B03"/>
    <w:rsid w:val="00EF4D0F"/>
    <w:rsid w:val="00EF5230"/>
    <w:rsid w:val="00EF6BD1"/>
    <w:rsid w:val="00EF6DF3"/>
    <w:rsid w:val="00EF6FA9"/>
    <w:rsid w:val="00EF7533"/>
    <w:rsid w:val="00EF76AA"/>
    <w:rsid w:val="00F0027C"/>
    <w:rsid w:val="00F01058"/>
    <w:rsid w:val="00F01C8C"/>
    <w:rsid w:val="00F02989"/>
    <w:rsid w:val="00F032C7"/>
    <w:rsid w:val="00F03310"/>
    <w:rsid w:val="00F0346B"/>
    <w:rsid w:val="00F0393C"/>
    <w:rsid w:val="00F0455B"/>
    <w:rsid w:val="00F06B57"/>
    <w:rsid w:val="00F06F23"/>
    <w:rsid w:val="00F07409"/>
    <w:rsid w:val="00F07F02"/>
    <w:rsid w:val="00F1137E"/>
    <w:rsid w:val="00F118F2"/>
    <w:rsid w:val="00F11E22"/>
    <w:rsid w:val="00F11EC8"/>
    <w:rsid w:val="00F121B9"/>
    <w:rsid w:val="00F12E80"/>
    <w:rsid w:val="00F14583"/>
    <w:rsid w:val="00F158CB"/>
    <w:rsid w:val="00F177A7"/>
    <w:rsid w:val="00F17987"/>
    <w:rsid w:val="00F22243"/>
    <w:rsid w:val="00F224D4"/>
    <w:rsid w:val="00F2267E"/>
    <w:rsid w:val="00F258BD"/>
    <w:rsid w:val="00F258C7"/>
    <w:rsid w:val="00F25A91"/>
    <w:rsid w:val="00F2645E"/>
    <w:rsid w:val="00F26921"/>
    <w:rsid w:val="00F273FD"/>
    <w:rsid w:val="00F2743A"/>
    <w:rsid w:val="00F2752A"/>
    <w:rsid w:val="00F278AE"/>
    <w:rsid w:val="00F309ED"/>
    <w:rsid w:val="00F30CDC"/>
    <w:rsid w:val="00F3349F"/>
    <w:rsid w:val="00F334AF"/>
    <w:rsid w:val="00F336EC"/>
    <w:rsid w:val="00F33D99"/>
    <w:rsid w:val="00F33F24"/>
    <w:rsid w:val="00F3408A"/>
    <w:rsid w:val="00F3411B"/>
    <w:rsid w:val="00F3449D"/>
    <w:rsid w:val="00F348E0"/>
    <w:rsid w:val="00F35F4D"/>
    <w:rsid w:val="00F36ABA"/>
    <w:rsid w:val="00F36E7B"/>
    <w:rsid w:val="00F43C47"/>
    <w:rsid w:val="00F452B0"/>
    <w:rsid w:val="00F4587D"/>
    <w:rsid w:val="00F45F3E"/>
    <w:rsid w:val="00F46543"/>
    <w:rsid w:val="00F472CA"/>
    <w:rsid w:val="00F5042F"/>
    <w:rsid w:val="00F50718"/>
    <w:rsid w:val="00F514DB"/>
    <w:rsid w:val="00F51B1F"/>
    <w:rsid w:val="00F51D08"/>
    <w:rsid w:val="00F51D85"/>
    <w:rsid w:val="00F52451"/>
    <w:rsid w:val="00F53C73"/>
    <w:rsid w:val="00F54604"/>
    <w:rsid w:val="00F55066"/>
    <w:rsid w:val="00F5506B"/>
    <w:rsid w:val="00F5543D"/>
    <w:rsid w:val="00F556EF"/>
    <w:rsid w:val="00F55DDE"/>
    <w:rsid w:val="00F56AA9"/>
    <w:rsid w:val="00F56E39"/>
    <w:rsid w:val="00F56EB2"/>
    <w:rsid w:val="00F56EF6"/>
    <w:rsid w:val="00F6173C"/>
    <w:rsid w:val="00F61F26"/>
    <w:rsid w:val="00F637C3"/>
    <w:rsid w:val="00F6409A"/>
    <w:rsid w:val="00F646C6"/>
    <w:rsid w:val="00F64A93"/>
    <w:rsid w:val="00F66538"/>
    <w:rsid w:val="00F66BE3"/>
    <w:rsid w:val="00F66E79"/>
    <w:rsid w:val="00F674BD"/>
    <w:rsid w:val="00F70053"/>
    <w:rsid w:val="00F703D9"/>
    <w:rsid w:val="00F70F45"/>
    <w:rsid w:val="00F71FF3"/>
    <w:rsid w:val="00F7346D"/>
    <w:rsid w:val="00F74B33"/>
    <w:rsid w:val="00F753D5"/>
    <w:rsid w:val="00F75A8F"/>
    <w:rsid w:val="00F7727C"/>
    <w:rsid w:val="00F8015C"/>
    <w:rsid w:val="00F814D0"/>
    <w:rsid w:val="00F81BED"/>
    <w:rsid w:val="00F81EED"/>
    <w:rsid w:val="00F82066"/>
    <w:rsid w:val="00F82226"/>
    <w:rsid w:val="00F832A2"/>
    <w:rsid w:val="00F83B0A"/>
    <w:rsid w:val="00F83DE7"/>
    <w:rsid w:val="00F84369"/>
    <w:rsid w:val="00F84E70"/>
    <w:rsid w:val="00F85648"/>
    <w:rsid w:val="00F8578B"/>
    <w:rsid w:val="00F8585C"/>
    <w:rsid w:val="00F85905"/>
    <w:rsid w:val="00F8722E"/>
    <w:rsid w:val="00F902DB"/>
    <w:rsid w:val="00F90612"/>
    <w:rsid w:val="00F91854"/>
    <w:rsid w:val="00F92DB7"/>
    <w:rsid w:val="00F94CE3"/>
    <w:rsid w:val="00F9531A"/>
    <w:rsid w:val="00F95AAA"/>
    <w:rsid w:val="00F96FB4"/>
    <w:rsid w:val="00F97793"/>
    <w:rsid w:val="00F97E2D"/>
    <w:rsid w:val="00FA0845"/>
    <w:rsid w:val="00FA0C3E"/>
    <w:rsid w:val="00FA397C"/>
    <w:rsid w:val="00FA3985"/>
    <w:rsid w:val="00FA448C"/>
    <w:rsid w:val="00FA47C2"/>
    <w:rsid w:val="00FA4A7B"/>
    <w:rsid w:val="00FA585E"/>
    <w:rsid w:val="00FA60F0"/>
    <w:rsid w:val="00FA62E7"/>
    <w:rsid w:val="00FA639C"/>
    <w:rsid w:val="00FA7310"/>
    <w:rsid w:val="00FB069B"/>
    <w:rsid w:val="00FB0A95"/>
    <w:rsid w:val="00FB11AD"/>
    <w:rsid w:val="00FB15B5"/>
    <w:rsid w:val="00FB1C5D"/>
    <w:rsid w:val="00FB2B4F"/>
    <w:rsid w:val="00FB4171"/>
    <w:rsid w:val="00FB41E5"/>
    <w:rsid w:val="00FB45AD"/>
    <w:rsid w:val="00FB5645"/>
    <w:rsid w:val="00FB7004"/>
    <w:rsid w:val="00FB7A34"/>
    <w:rsid w:val="00FB7D57"/>
    <w:rsid w:val="00FC22E7"/>
    <w:rsid w:val="00FC38D0"/>
    <w:rsid w:val="00FC4716"/>
    <w:rsid w:val="00FC5A56"/>
    <w:rsid w:val="00FC5D0D"/>
    <w:rsid w:val="00FC6281"/>
    <w:rsid w:val="00FD01A8"/>
    <w:rsid w:val="00FD078F"/>
    <w:rsid w:val="00FD0C93"/>
    <w:rsid w:val="00FD1F3E"/>
    <w:rsid w:val="00FD3118"/>
    <w:rsid w:val="00FD31EF"/>
    <w:rsid w:val="00FD54D0"/>
    <w:rsid w:val="00FD5C3A"/>
    <w:rsid w:val="00FD5F83"/>
    <w:rsid w:val="00FD6080"/>
    <w:rsid w:val="00FD735E"/>
    <w:rsid w:val="00FE10ED"/>
    <w:rsid w:val="00FE14A5"/>
    <w:rsid w:val="00FE1718"/>
    <w:rsid w:val="00FE2947"/>
    <w:rsid w:val="00FE2BA8"/>
    <w:rsid w:val="00FE2D27"/>
    <w:rsid w:val="00FE3175"/>
    <w:rsid w:val="00FE319F"/>
    <w:rsid w:val="00FE4E4F"/>
    <w:rsid w:val="00FE5B4A"/>
    <w:rsid w:val="00FE6471"/>
    <w:rsid w:val="00FE7AB5"/>
    <w:rsid w:val="00FF10F8"/>
    <w:rsid w:val="00FF1C66"/>
    <w:rsid w:val="00FF20A4"/>
    <w:rsid w:val="00FF211C"/>
    <w:rsid w:val="00FF25F5"/>
    <w:rsid w:val="00FF2C9C"/>
    <w:rsid w:val="00FF3431"/>
    <w:rsid w:val="00FF42C9"/>
    <w:rsid w:val="00FF5186"/>
    <w:rsid w:val="00FF51B1"/>
    <w:rsid w:val="00FF5A82"/>
    <w:rsid w:val="00FF717B"/>
    <w:rsid w:val="00FF75A2"/>
    <w:rsid w:val="01001BD3"/>
    <w:rsid w:val="01005B3A"/>
    <w:rsid w:val="01006169"/>
    <w:rsid w:val="01012707"/>
    <w:rsid w:val="010D50DD"/>
    <w:rsid w:val="010E1D7E"/>
    <w:rsid w:val="01134792"/>
    <w:rsid w:val="011406FF"/>
    <w:rsid w:val="01160B6D"/>
    <w:rsid w:val="01170F9F"/>
    <w:rsid w:val="01181E5C"/>
    <w:rsid w:val="0119548C"/>
    <w:rsid w:val="011D09D9"/>
    <w:rsid w:val="011D70AA"/>
    <w:rsid w:val="011E01C7"/>
    <w:rsid w:val="011F5363"/>
    <w:rsid w:val="012013E7"/>
    <w:rsid w:val="01201AB1"/>
    <w:rsid w:val="01213B0C"/>
    <w:rsid w:val="01233376"/>
    <w:rsid w:val="01270C29"/>
    <w:rsid w:val="0127513F"/>
    <w:rsid w:val="01281DB3"/>
    <w:rsid w:val="012E7F6B"/>
    <w:rsid w:val="01311D22"/>
    <w:rsid w:val="01315EC1"/>
    <w:rsid w:val="01393EB5"/>
    <w:rsid w:val="0139540B"/>
    <w:rsid w:val="013C65AD"/>
    <w:rsid w:val="01454793"/>
    <w:rsid w:val="014908D4"/>
    <w:rsid w:val="014E0FDC"/>
    <w:rsid w:val="014E3F93"/>
    <w:rsid w:val="014E534B"/>
    <w:rsid w:val="014F3925"/>
    <w:rsid w:val="01513F9D"/>
    <w:rsid w:val="01525558"/>
    <w:rsid w:val="015C7DA9"/>
    <w:rsid w:val="016251C4"/>
    <w:rsid w:val="01665C75"/>
    <w:rsid w:val="016841FD"/>
    <w:rsid w:val="016A4755"/>
    <w:rsid w:val="016E2B28"/>
    <w:rsid w:val="0170165C"/>
    <w:rsid w:val="01751B7C"/>
    <w:rsid w:val="018122B4"/>
    <w:rsid w:val="01834F7D"/>
    <w:rsid w:val="0187136C"/>
    <w:rsid w:val="0187585E"/>
    <w:rsid w:val="018A6866"/>
    <w:rsid w:val="018C6962"/>
    <w:rsid w:val="018D2701"/>
    <w:rsid w:val="019431C0"/>
    <w:rsid w:val="019A286D"/>
    <w:rsid w:val="019D0C94"/>
    <w:rsid w:val="01A149FB"/>
    <w:rsid w:val="01A17715"/>
    <w:rsid w:val="01A567B4"/>
    <w:rsid w:val="01A74E21"/>
    <w:rsid w:val="01A76CBB"/>
    <w:rsid w:val="01AA5E5A"/>
    <w:rsid w:val="01AB6EE5"/>
    <w:rsid w:val="01AD3AAA"/>
    <w:rsid w:val="01B10029"/>
    <w:rsid w:val="01B23AA4"/>
    <w:rsid w:val="01B54BD8"/>
    <w:rsid w:val="01B5574C"/>
    <w:rsid w:val="01B87689"/>
    <w:rsid w:val="01BA4A3F"/>
    <w:rsid w:val="01BC620D"/>
    <w:rsid w:val="01BF0C7C"/>
    <w:rsid w:val="01BF2682"/>
    <w:rsid w:val="01BF5A5A"/>
    <w:rsid w:val="01C73DDA"/>
    <w:rsid w:val="01D032D2"/>
    <w:rsid w:val="01D514A2"/>
    <w:rsid w:val="01DD00C6"/>
    <w:rsid w:val="01DF452A"/>
    <w:rsid w:val="01DF4FB6"/>
    <w:rsid w:val="01E15A89"/>
    <w:rsid w:val="01E359C8"/>
    <w:rsid w:val="01E401B5"/>
    <w:rsid w:val="01E966BB"/>
    <w:rsid w:val="01F662B5"/>
    <w:rsid w:val="01FD0A01"/>
    <w:rsid w:val="01FD5DD9"/>
    <w:rsid w:val="02031774"/>
    <w:rsid w:val="020425DB"/>
    <w:rsid w:val="020A7A19"/>
    <w:rsid w:val="020B4488"/>
    <w:rsid w:val="020B7B09"/>
    <w:rsid w:val="02101333"/>
    <w:rsid w:val="02114601"/>
    <w:rsid w:val="02154549"/>
    <w:rsid w:val="02156AA8"/>
    <w:rsid w:val="02160FEA"/>
    <w:rsid w:val="021619B9"/>
    <w:rsid w:val="02193E88"/>
    <w:rsid w:val="02197DDD"/>
    <w:rsid w:val="021A0FFF"/>
    <w:rsid w:val="021C0399"/>
    <w:rsid w:val="021C22BE"/>
    <w:rsid w:val="021D7E2C"/>
    <w:rsid w:val="02226CC1"/>
    <w:rsid w:val="0225476B"/>
    <w:rsid w:val="0226263F"/>
    <w:rsid w:val="02266271"/>
    <w:rsid w:val="02280D0B"/>
    <w:rsid w:val="022F30A6"/>
    <w:rsid w:val="02312FB1"/>
    <w:rsid w:val="0232479F"/>
    <w:rsid w:val="023465A6"/>
    <w:rsid w:val="02355669"/>
    <w:rsid w:val="02386A60"/>
    <w:rsid w:val="023E4ABD"/>
    <w:rsid w:val="02405D1E"/>
    <w:rsid w:val="02414697"/>
    <w:rsid w:val="024421DB"/>
    <w:rsid w:val="02443F34"/>
    <w:rsid w:val="0246317B"/>
    <w:rsid w:val="02473790"/>
    <w:rsid w:val="02474DA1"/>
    <w:rsid w:val="024B1351"/>
    <w:rsid w:val="024B146F"/>
    <w:rsid w:val="024C5D43"/>
    <w:rsid w:val="02522BD0"/>
    <w:rsid w:val="02522CB7"/>
    <w:rsid w:val="025230CF"/>
    <w:rsid w:val="0257321E"/>
    <w:rsid w:val="0258658B"/>
    <w:rsid w:val="025869D2"/>
    <w:rsid w:val="02586FD0"/>
    <w:rsid w:val="025879B0"/>
    <w:rsid w:val="025B7952"/>
    <w:rsid w:val="025D0E53"/>
    <w:rsid w:val="025E4EBB"/>
    <w:rsid w:val="026200A4"/>
    <w:rsid w:val="02635FFC"/>
    <w:rsid w:val="026728AF"/>
    <w:rsid w:val="026A146A"/>
    <w:rsid w:val="026A174E"/>
    <w:rsid w:val="026F1018"/>
    <w:rsid w:val="027137B6"/>
    <w:rsid w:val="027549C2"/>
    <w:rsid w:val="02757E6A"/>
    <w:rsid w:val="028052DA"/>
    <w:rsid w:val="02805701"/>
    <w:rsid w:val="0280681B"/>
    <w:rsid w:val="02857E1B"/>
    <w:rsid w:val="02862F9E"/>
    <w:rsid w:val="02871053"/>
    <w:rsid w:val="029D3F1F"/>
    <w:rsid w:val="029E0C9D"/>
    <w:rsid w:val="029F19DB"/>
    <w:rsid w:val="02A67119"/>
    <w:rsid w:val="02A85CF1"/>
    <w:rsid w:val="02AB6B53"/>
    <w:rsid w:val="02AC5531"/>
    <w:rsid w:val="02AD5569"/>
    <w:rsid w:val="02AE6023"/>
    <w:rsid w:val="02B0765D"/>
    <w:rsid w:val="02B162DC"/>
    <w:rsid w:val="02B33B67"/>
    <w:rsid w:val="02B549B4"/>
    <w:rsid w:val="02B613BE"/>
    <w:rsid w:val="02BA0115"/>
    <w:rsid w:val="02BA10A5"/>
    <w:rsid w:val="02BA2261"/>
    <w:rsid w:val="02C07103"/>
    <w:rsid w:val="02C24B56"/>
    <w:rsid w:val="02C55C43"/>
    <w:rsid w:val="02C6417B"/>
    <w:rsid w:val="02CA0C35"/>
    <w:rsid w:val="02CD7CF3"/>
    <w:rsid w:val="02CF606E"/>
    <w:rsid w:val="02CF7643"/>
    <w:rsid w:val="02D0410C"/>
    <w:rsid w:val="02D419C5"/>
    <w:rsid w:val="02D52ABD"/>
    <w:rsid w:val="02DA1DFC"/>
    <w:rsid w:val="02DE4401"/>
    <w:rsid w:val="02DF2A44"/>
    <w:rsid w:val="02DF660A"/>
    <w:rsid w:val="02E33F1D"/>
    <w:rsid w:val="02E46F7B"/>
    <w:rsid w:val="02E6156D"/>
    <w:rsid w:val="02EA5DA3"/>
    <w:rsid w:val="02EA7493"/>
    <w:rsid w:val="02F446A5"/>
    <w:rsid w:val="02F72020"/>
    <w:rsid w:val="02F979F0"/>
    <w:rsid w:val="02FC2CD7"/>
    <w:rsid w:val="02FD1C37"/>
    <w:rsid w:val="030021C7"/>
    <w:rsid w:val="030650A1"/>
    <w:rsid w:val="03081987"/>
    <w:rsid w:val="0308231F"/>
    <w:rsid w:val="03091AF0"/>
    <w:rsid w:val="030A04B5"/>
    <w:rsid w:val="030F6768"/>
    <w:rsid w:val="03132B6F"/>
    <w:rsid w:val="03177FE7"/>
    <w:rsid w:val="03180778"/>
    <w:rsid w:val="031A70B9"/>
    <w:rsid w:val="031C6600"/>
    <w:rsid w:val="031E0D7E"/>
    <w:rsid w:val="031F563F"/>
    <w:rsid w:val="032027A1"/>
    <w:rsid w:val="03207D2D"/>
    <w:rsid w:val="032153D0"/>
    <w:rsid w:val="03250875"/>
    <w:rsid w:val="0327786C"/>
    <w:rsid w:val="0329510A"/>
    <w:rsid w:val="032B6DE1"/>
    <w:rsid w:val="032B7094"/>
    <w:rsid w:val="032C4BD7"/>
    <w:rsid w:val="032F7216"/>
    <w:rsid w:val="03305A5C"/>
    <w:rsid w:val="033532A4"/>
    <w:rsid w:val="03366AFE"/>
    <w:rsid w:val="0339752D"/>
    <w:rsid w:val="033B05AE"/>
    <w:rsid w:val="033B3700"/>
    <w:rsid w:val="03401BF5"/>
    <w:rsid w:val="034404AD"/>
    <w:rsid w:val="03475F22"/>
    <w:rsid w:val="034936B3"/>
    <w:rsid w:val="03497271"/>
    <w:rsid w:val="034A2A4B"/>
    <w:rsid w:val="034E7562"/>
    <w:rsid w:val="034F722C"/>
    <w:rsid w:val="03505665"/>
    <w:rsid w:val="03583218"/>
    <w:rsid w:val="035C7563"/>
    <w:rsid w:val="035E4145"/>
    <w:rsid w:val="035E7672"/>
    <w:rsid w:val="03640818"/>
    <w:rsid w:val="03646F5E"/>
    <w:rsid w:val="036C15E9"/>
    <w:rsid w:val="036E2A13"/>
    <w:rsid w:val="037346EE"/>
    <w:rsid w:val="03743873"/>
    <w:rsid w:val="037A1671"/>
    <w:rsid w:val="038121FD"/>
    <w:rsid w:val="038632D2"/>
    <w:rsid w:val="03864B0A"/>
    <w:rsid w:val="03876BE7"/>
    <w:rsid w:val="03891D71"/>
    <w:rsid w:val="03895D81"/>
    <w:rsid w:val="038B0FD6"/>
    <w:rsid w:val="038B5BBB"/>
    <w:rsid w:val="038C2212"/>
    <w:rsid w:val="038C26F4"/>
    <w:rsid w:val="038E2F4F"/>
    <w:rsid w:val="038E318C"/>
    <w:rsid w:val="03914114"/>
    <w:rsid w:val="03942437"/>
    <w:rsid w:val="03964C37"/>
    <w:rsid w:val="039744AB"/>
    <w:rsid w:val="03986FCC"/>
    <w:rsid w:val="039A11CA"/>
    <w:rsid w:val="039E5246"/>
    <w:rsid w:val="03A353D8"/>
    <w:rsid w:val="03A41ECA"/>
    <w:rsid w:val="03A86EF3"/>
    <w:rsid w:val="03A91532"/>
    <w:rsid w:val="03A94860"/>
    <w:rsid w:val="03AB0C8C"/>
    <w:rsid w:val="03AC0E9F"/>
    <w:rsid w:val="03AF08F3"/>
    <w:rsid w:val="03AF2D2D"/>
    <w:rsid w:val="03B023C2"/>
    <w:rsid w:val="03B15740"/>
    <w:rsid w:val="03B43E1A"/>
    <w:rsid w:val="03BC38F1"/>
    <w:rsid w:val="03BC4487"/>
    <w:rsid w:val="03BF3419"/>
    <w:rsid w:val="03C0140E"/>
    <w:rsid w:val="03C11261"/>
    <w:rsid w:val="03C71C79"/>
    <w:rsid w:val="03C9505A"/>
    <w:rsid w:val="03CC2DE8"/>
    <w:rsid w:val="03CD16F7"/>
    <w:rsid w:val="03CE1EC8"/>
    <w:rsid w:val="03DC67EA"/>
    <w:rsid w:val="03DD1D3B"/>
    <w:rsid w:val="03DD45F4"/>
    <w:rsid w:val="03E15A00"/>
    <w:rsid w:val="03E57957"/>
    <w:rsid w:val="03E723FB"/>
    <w:rsid w:val="03E86FCC"/>
    <w:rsid w:val="03ED6610"/>
    <w:rsid w:val="03F029F6"/>
    <w:rsid w:val="03F06432"/>
    <w:rsid w:val="03F4143B"/>
    <w:rsid w:val="03F76D2A"/>
    <w:rsid w:val="03F825F6"/>
    <w:rsid w:val="03F84729"/>
    <w:rsid w:val="03FA6AA1"/>
    <w:rsid w:val="03FF0A12"/>
    <w:rsid w:val="0403489F"/>
    <w:rsid w:val="040802C2"/>
    <w:rsid w:val="04090273"/>
    <w:rsid w:val="040E3FBF"/>
    <w:rsid w:val="04102EE6"/>
    <w:rsid w:val="04112C67"/>
    <w:rsid w:val="041178D4"/>
    <w:rsid w:val="04132ED6"/>
    <w:rsid w:val="04145CEC"/>
    <w:rsid w:val="041577D4"/>
    <w:rsid w:val="04192434"/>
    <w:rsid w:val="041D18CD"/>
    <w:rsid w:val="041D71AA"/>
    <w:rsid w:val="04243448"/>
    <w:rsid w:val="04272DC0"/>
    <w:rsid w:val="04274DC3"/>
    <w:rsid w:val="0428573F"/>
    <w:rsid w:val="0428723E"/>
    <w:rsid w:val="042A7434"/>
    <w:rsid w:val="042B3BFE"/>
    <w:rsid w:val="042C5AD1"/>
    <w:rsid w:val="042D2227"/>
    <w:rsid w:val="042E31DC"/>
    <w:rsid w:val="043063DC"/>
    <w:rsid w:val="043301CF"/>
    <w:rsid w:val="043520B9"/>
    <w:rsid w:val="043C6192"/>
    <w:rsid w:val="044025FD"/>
    <w:rsid w:val="0441531D"/>
    <w:rsid w:val="04443F42"/>
    <w:rsid w:val="0448479F"/>
    <w:rsid w:val="044A103F"/>
    <w:rsid w:val="044C5341"/>
    <w:rsid w:val="044E3465"/>
    <w:rsid w:val="0450559B"/>
    <w:rsid w:val="045163DC"/>
    <w:rsid w:val="04523E31"/>
    <w:rsid w:val="045431BF"/>
    <w:rsid w:val="0455222D"/>
    <w:rsid w:val="04576D1B"/>
    <w:rsid w:val="045800B8"/>
    <w:rsid w:val="04590A81"/>
    <w:rsid w:val="045B18A0"/>
    <w:rsid w:val="045C72A5"/>
    <w:rsid w:val="045D404A"/>
    <w:rsid w:val="046759B7"/>
    <w:rsid w:val="046808F3"/>
    <w:rsid w:val="046A197D"/>
    <w:rsid w:val="046F3DC6"/>
    <w:rsid w:val="04780FAE"/>
    <w:rsid w:val="04795539"/>
    <w:rsid w:val="047B681D"/>
    <w:rsid w:val="047D0AC1"/>
    <w:rsid w:val="04824E46"/>
    <w:rsid w:val="04896AD0"/>
    <w:rsid w:val="049007F3"/>
    <w:rsid w:val="04936E77"/>
    <w:rsid w:val="04995431"/>
    <w:rsid w:val="049978D0"/>
    <w:rsid w:val="049B4043"/>
    <w:rsid w:val="04A34D46"/>
    <w:rsid w:val="04AC1AE7"/>
    <w:rsid w:val="04AC4B1A"/>
    <w:rsid w:val="04AE02E5"/>
    <w:rsid w:val="04B06983"/>
    <w:rsid w:val="04B071E4"/>
    <w:rsid w:val="04B23D49"/>
    <w:rsid w:val="04B87F3F"/>
    <w:rsid w:val="04BC25BA"/>
    <w:rsid w:val="04BD3596"/>
    <w:rsid w:val="04BF0666"/>
    <w:rsid w:val="04C1389C"/>
    <w:rsid w:val="04C306C5"/>
    <w:rsid w:val="04C379AD"/>
    <w:rsid w:val="04C76EAF"/>
    <w:rsid w:val="04C92CE8"/>
    <w:rsid w:val="04C94E27"/>
    <w:rsid w:val="04CB3316"/>
    <w:rsid w:val="04CC434D"/>
    <w:rsid w:val="04CE65B9"/>
    <w:rsid w:val="04D479D3"/>
    <w:rsid w:val="04D6136E"/>
    <w:rsid w:val="04D6419D"/>
    <w:rsid w:val="04DB6B61"/>
    <w:rsid w:val="04DF6551"/>
    <w:rsid w:val="04E73207"/>
    <w:rsid w:val="04E76BC6"/>
    <w:rsid w:val="04EC1B24"/>
    <w:rsid w:val="04F04EBB"/>
    <w:rsid w:val="04F44C91"/>
    <w:rsid w:val="04F46C31"/>
    <w:rsid w:val="04F6676E"/>
    <w:rsid w:val="04F67001"/>
    <w:rsid w:val="04F736B1"/>
    <w:rsid w:val="04FD44C6"/>
    <w:rsid w:val="04FD4C28"/>
    <w:rsid w:val="04FE5F6C"/>
    <w:rsid w:val="050022B7"/>
    <w:rsid w:val="050D6C68"/>
    <w:rsid w:val="050F16F5"/>
    <w:rsid w:val="050F4FC6"/>
    <w:rsid w:val="05102F39"/>
    <w:rsid w:val="05112A63"/>
    <w:rsid w:val="05124FEA"/>
    <w:rsid w:val="051253F6"/>
    <w:rsid w:val="051600E4"/>
    <w:rsid w:val="051608E4"/>
    <w:rsid w:val="05182F47"/>
    <w:rsid w:val="05185EF6"/>
    <w:rsid w:val="051E565B"/>
    <w:rsid w:val="05206411"/>
    <w:rsid w:val="05220C2F"/>
    <w:rsid w:val="052851DF"/>
    <w:rsid w:val="052C79C5"/>
    <w:rsid w:val="05305AE8"/>
    <w:rsid w:val="053A3ECE"/>
    <w:rsid w:val="053E0CD7"/>
    <w:rsid w:val="0540594B"/>
    <w:rsid w:val="054168C5"/>
    <w:rsid w:val="054315D2"/>
    <w:rsid w:val="054C6688"/>
    <w:rsid w:val="054C6E5F"/>
    <w:rsid w:val="055027D5"/>
    <w:rsid w:val="05542ACC"/>
    <w:rsid w:val="055537A6"/>
    <w:rsid w:val="055628F9"/>
    <w:rsid w:val="055833A7"/>
    <w:rsid w:val="055A6AF0"/>
    <w:rsid w:val="056935A3"/>
    <w:rsid w:val="056A71D9"/>
    <w:rsid w:val="056D22CA"/>
    <w:rsid w:val="056F6ABA"/>
    <w:rsid w:val="05710A3E"/>
    <w:rsid w:val="057271C1"/>
    <w:rsid w:val="057366F8"/>
    <w:rsid w:val="05761F94"/>
    <w:rsid w:val="057917D3"/>
    <w:rsid w:val="057A2D58"/>
    <w:rsid w:val="057A42CD"/>
    <w:rsid w:val="057B3B6F"/>
    <w:rsid w:val="057C090A"/>
    <w:rsid w:val="057E13E7"/>
    <w:rsid w:val="0580377D"/>
    <w:rsid w:val="05815298"/>
    <w:rsid w:val="05825FEB"/>
    <w:rsid w:val="05841D7D"/>
    <w:rsid w:val="058706C8"/>
    <w:rsid w:val="05884137"/>
    <w:rsid w:val="058A7972"/>
    <w:rsid w:val="058C78B2"/>
    <w:rsid w:val="05900040"/>
    <w:rsid w:val="05982209"/>
    <w:rsid w:val="059858CB"/>
    <w:rsid w:val="05995853"/>
    <w:rsid w:val="059B77C1"/>
    <w:rsid w:val="059C45B2"/>
    <w:rsid w:val="05A04048"/>
    <w:rsid w:val="05A1026D"/>
    <w:rsid w:val="05A61DC3"/>
    <w:rsid w:val="05A75D13"/>
    <w:rsid w:val="05A81D4C"/>
    <w:rsid w:val="05AA70A9"/>
    <w:rsid w:val="05AB4F0F"/>
    <w:rsid w:val="05AD632C"/>
    <w:rsid w:val="05AF04F7"/>
    <w:rsid w:val="05AF5C5C"/>
    <w:rsid w:val="05B02B96"/>
    <w:rsid w:val="05B44352"/>
    <w:rsid w:val="05B776FB"/>
    <w:rsid w:val="05B92130"/>
    <w:rsid w:val="05BB1A09"/>
    <w:rsid w:val="05BB5682"/>
    <w:rsid w:val="05C00C06"/>
    <w:rsid w:val="05C11BF1"/>
    <w:rsid w:val="05C32D5D"/>
    <w:rsid w:val="05C44CA1"/>
    <w:rsid w:val="05C46FC8"/>
    <w:rsid w:val="05C5462B"/>
    <w:rsid w:val="05C85EC4"/>
    <w:rsid w:val="05D11FDF"/>
    <w:rsid w:val="05D51DC5"/>
    <w:rsid w:val="05D52EAC"/>
    <w:rsid w:val="05DA6B7F"/>
    <w:rsid w:val="05DD6C35"/>
    <w:rsid w:val="05E12030"/>
    <w:rsid w:val="05E303BB"/>
    <w:rsid w:val="05E37BA1"/>
    <w:rsid w:val="05E4189F"/>
    <w:rsid w:val="05E73F21"/>
    <w:rsid w:val="05E9182A"/>
    <w:rsid w:val="05ED746F"/>
    <w:rsid w:val="05F346E5"/>
    <w:rsid w:val="05F47CDF"/>
    <w:rsid w:val="05F67DBD"/>
    <w:rsid w:val="05FA2DD6"/>
    <w:rsid w:val="060354A5"/>
    <w:rsid w:val="06041219"/>
    <w:rsid w:val="06051523"/>
    <w:rsid w:val="06056559"/>
    <w:rsid w:val="060609E4"/>
    <w:rsid w:val="060A490A"/>
    <w:rsid w:val="060F40F1"/>
    <w:rsid w:val="060F6884"/>
    <w:rsid w:val="061863A8"/>
    <w:rsid w:val="061A7202"/>
    <w:rsid w:val="061C3EC3"/>
    <w:rsid w:val="061F2F99"/>
    <w:rsid w:val="061F7A30"/>
    <w:rsid w:val="0624452C"/>
    <w:rsid w:val="06252370"/>
    <w:rsid w:val="06254F63"/>
    <w:rsid w:val="0626375B"/>
    <w:rsid w:val="062B6720"/>
    <w:rsid w:val="062D2296"/>
    <w:rsid w:val="062F62EA"/>
    <w:rsid w:val="063063DF"/>
    <w:rsid w:val="06324EB6"/>
    <w:rsid w:val="06371E5F"/>
    <w:rsid w:val="063E54FD"/>
    <w:rsid w:val="064565FB"/>
    <w:rsid w:val="06474CF5"/>
    <w:rsid w:val="064805DD"/>
    <w:rsid w:val="064C5A65"/>
    <w:rsid w:val="064D0BC9"/>
    <w:rsid w:val="064F634E"/>
    <w:rsid w:val="065021A0"/>
    <w:rsid w:val="065428C3"/>
    <w:rsid w:val="06544E41"/>
    <w:rsid w:val="06551DDF"/>
    <w:rsid w:val="06552A07"/>
    <w:rsid w:val="0659368B"/>
    <w:rsid w:val="065F78E6"/>
    <w:rsid w:val="066024F6"/>
    <w:rsid w:val="06606ECB"/>
    <w:rsid w:val="0663258B"/>
    <w:rsid w:val="06655C3A"/>
    <w:rsid w:val="06676CAA"/>
    <w:rsid w:val="066942C4"/>
    <w:rsid w:val="06695C30"/>
    <w:rsid w:val="06696665"/>
    <w:rsid w:val="066B0FCF"/>
    <w:rsid w:val="06743E5F"/>
    <w:rsid w:val="06807F6A"/>
    <w:rsid w:val="06846756"/>
    <w:rsid w:val="06880B5B"/>
    <w:rsid w:val="068B58EF"/>
    <w:rsid w:val="068E1EBF"/>
    <w:rsid w:val="068E3A90"/>
    <w:rsid w:val="068F5059"/>
    <w:rsid w:val="06944D80"/>
    <w:rsid w:val="06951F9F"/>
    <w:rsid w:val="06952C94"/>
    <w:rsid w:val="06955506"/>
    <w:rsid w:val="06992069"/>
    <w:rsid w:val="06994B76"/>
    <w:rsid w:val="069C0D11"/>
    <w:rsid w:val="069D55D2"/>
    <w:rsid w:val="06AA6190"/>
    <w:rsid w:val="06B355FB"/>
    <w:rsid w:val="06B50789"/>
    <w:rsid w:val="06B97B7E"/>
    <w:rsid w:val="06BA2DDC"/>
    <w:rsid w:val="06BB67EF"/>
    <w:rsid w:val="06C0391E"/>
    <w:rsid w:val="06C45D39"/>
    <w:rsid w:val="06C654C5"/>
    <w:rsid w:val="06C7063C"/>
    <w:rsid w:val="06C9469B"/>
    <w:rsid w:val="06CD7071"/>
    <w:rsid w:val="06CF0118"/>
    <w:rsid w:val="06CF2FB6"/>
    <w:rsid w:val="06D31A8B"/>
    <w:rsid w:val="06D55434"/>
    <w:rsid w:val="06D928E2"/>
    <w:rsid w:val="06DD7072"/>
    <w:rsid w:val="06DE5FCA"/>
    <w:rsid w:val="06E14730"/>
    <w:rsid w:val="06E15C40"/>
    <w:rsid w:val="06E635E3"/>
    <w:rsid w:val="06ED2CD8"/>
    <w:rsid w:val="06FA527E"/>
    <w:rsid w:val="06FB17EF"/>
    <w:rsid w:val="06FD2789"/>
    <w:rsid w:val="06FD6070"/>
    <w:rsid w:val="06FE221F"/>
    <w:rsid w:val="07023A46"/>
    <w:rsid w:val="07044DBE"/>
    <w:rsid w:val="07070FD0"/>
    <w:rsid w:val="07071C34"/>
    <w:rsid w:val="070927F9"/>
    <w:rsid w:val="070A3726"/>
    <w:rsid w:val="07120FBF"/>
    <w:rsid w:val="07121895"/>
    <w:rsid w:val="07123C66"/>
    <w:rsid w:val="071625EA"/>
    <w:rsid w:val="071664AE"/>
    <w:rsid w:val="071E09F1"/>
    <w:rsid w:val="071F3E18"/>
    <w:rsid w:val="07212349"/>
    <w:rsid w:val="0726301C"/>
    <w:rsid w:val="07274EEA"/>
    <w:rsid w:val="072C4996"/>
    <w:rsid w:val="072D1750"/>
    <w:rsid w:val="072E47EB"/>
    <w:rsid w:val="072E5B78"/>
    <w:rsid w:val="072E6F6F"/>
    <w:rsid w:val="072E7DE5"/>
    <w:rsid w:val="072F5402"/>
    <w:rsid w:val="07317A29"/>
    <w:rsid w:val="07322D7E"/>
    <w:rsid w:val="07342019"/>
    <w:rsid w:val="07377BE6"/>
    <w:rsid w:val="073B697F"/>
    <w:rsid w:val="073E4902"/>
    <w:rsid w:val="07411C44"/>
    <w:rsid w:val="074241B7"/>
    <w:rsid w:val="07433C10"/>
    <w:rsid w:val="074813EC"/>
    <w:rsid w:val="07481AD0"/>
    <w:rsid w:val="074A4D41"/>
    <w:rsid w:val="074B6DCC"/>
    <w:rsid w:val="074C1C3F"/>
    <w:rsid w:val="074C646C"/>
    <w:rsid w:val="074D1DC3"/>
    <w:rsid w:val="074E7622"/>
    <w:rsid w:val="075061FE"/>
    <w:rsid w:val="07523409"/>
    <w:rsid w:val="0754559E"/>
    <w:rsid w:val="07553C37"/>
    <w:rsid w:val="07582C1D"/>
    <w:rsid w:val="07593806"/>
    <w:rsid w:val="075C5E4F"/>
    <w:rsid w:val="075D487B"/>
    <w:rsid w:val="075F7DE5"/>
    <w:rsid w:val="07621B15"/>
    <w:rsid w:val="07636E6B"/>
    <w:rsid w:val="076B15C6"/>
    <w:rsid w:val="076E22A8"/>
    <w:rsid w:val="07713B8F"/>
    <w:rsid w:val="0772211B"/>
    <w:rsid w:val="077226F4"/>
    <w:rsid w:val="07731434"/>
    <w:rsid w:val="07737F92"/>
    <w:rsid w:val="07755C42"/>
    <w:rsid w:val="07777FAF"/>
    <w:rsid w:val="077C1227"/>
    <w:rsid w:val="077E197B"/>
    <w:rsid w:val="077E325C"/>
    <w:rsid w:val="07816E3F"/>
    <w:rsid w:val="0785760F"/>
    <w:rsid w:val="0787144C"/>
    <w:rsid w:val="0788717A"/>
    <w:rsid w:val="078A6BB5"/>
    <w:rsid w:val="078D7AFC"/>
    <w:rsid w:val="078E2B2C"/>
    <w:rsid w:val="078F2A35"/>
    <w:rsid w:val="079204CE"/>
    <w:rsid w:val="07930253"/>
    <w:rsid w:val="07930C0F"/>
    <w:rsid w:val="07931A8F"/>
    <w:rsid w:val="07993A2C"/>
    <w:rsid w:val="079F0503"/>
    <w:rsid w:val="07A66D60"/>
    <w:rsid w:val="07A72627"/>
    <w:rsid w:val="07A856D9"/>
    <w:rsid w:val="07AA2BCE"/>
    <w:rsid w:val="07AC0111"/>
    <w:rsid w:val="07AC41F6"/>
    <w:rsid w:val="07B33154"/>
    <w:rsid w:val="07B63A9D"/>
    <w:rsid w:val="07B7333B"/>
    <w:rsid w:val="07B76E21"/>
    <w:rsid w:val="07B80087"/>
    <w:rsid w:val="07BA520C"/>
    <w:rsid w:val="07BE242F"/>
    <w:rsid w:val="07BF42A0"/>
    <w:rsid w:val="07C16A62"/>
    <w:rsid w:val="07C8696E"/>
    <w:rsid w:val="07C93EB9"/>
    <w:rsid w:val="07CC110C"/>
    <w:rsid w:val="07CD759F"/>
    <w:rsid w:val="07CF2392"/>
    <w:rsid w:val="07D250FA"/>
    <w:rsid w:val="07DD4060"/>
    <w:rsid w:val="07EA09EC"/>
    <w:rsid w:val="07ED028D"/>
    <w:rsid w:val="07EF63F7"/>
    <w:rsid w:val="07F17868"/>
    <w:rsid w:val="07F97DDF"/>
    <w:rsid w:val="07FA76B6"/>
    <w:rsid w:val="07FE6A53"/>
    <w:rsid w:val="08003564"/>
    <w:rsid w:val="08004E6B"/>
    <w:rsid w:val="080248C1"/>
    <w:rsid w:val="08094DDD"/>
    <w:rsid w:val="08143990"/>
    <w:rsid w:val="08172D06"/>
    <w:rsid w:val="081876D0"/>
    <w:rsid w:val="081A2105"/>
    <w:rsid w:val="081C6766"/>
    <w:rsid w:val="081E18FE"/>
    <w:rsid w:val="081E1E19"/>
    <w:rsid w:val="08242A6A"/>
    <w:rsid w:val="08282A67"/>
    <w:rsid w:val="082A78D8"/>
    <w:rsid w:val="082C6513"/>
    <w:rsid w:val="082D6C59"/>
    <w:rsid w:val="0835125B"/>
    <w:rsid w:val="083E1183"/>
    <w:rsid w:val="08412192"/>
    <w:rsid w:val="0841794E"/>
    <w:rsid w:val="084271E5"/>
    <w:rsid w:val="08437995"/>
    <w:rsid w:val="084536BF"/>
    <w:rsid w:val="08485F44"/>
    <w:rsid w:val="08514A7A"/>
    <w:rsid w:val="08534820"/>
    <w:rsid w:val="08551163"/>
    <w:rsid w:val="085C5AE4"/>
    <w:rsid w:val="08604F3B"/>
    <w:rsid w:val="08611CC2"/>
    <w:rsid w:val="086766C6"/>
    <w:rsid w:val="08687D92"/>
    <w:rsid w:val="086C7972"/>
    <w:rsid w:val="086D1E25"/>
    <w:rsid w:val="086F2C1E"/>
    <w:rsid w:val="08723FFB"/>
    <w:rsid w:val="08724663"/>
    <w:rsid w:val="087327C3"/>
    <w:rsid w:val="08772030"/>
    <w:rsid w:val="0877558B"/>
    <w:rsid w:val="08780EBD"/>
    <w:rsid w:val="0878483F"/>
    <w:rsid w:val="08791C3E"/>
    <w:rsid w:val="087E76E7"/>
    <w:rsid w:val="08814C18"/>
    <w:rsid w:val="08832D75"/>
    <w:rsid w:val="088A0E2B"/>
    <w:rsid w:val="088B65B6"/>
    <w:rsid w:val="088D183F"/>
    <w:rsid w:val="088E39ED"/>
    <w:rsid w:val="089318DD"/>
    <w:rsid w:val="089357FC"/>
    <w:rsid w:val="08943D9C"/>
    <w:rsid w:val="08966C26"/>
    <w:rsid w:val="08980778"/>
    <w:rsid w:val="08980BB9"/>
    <w:rsid w:val="08984005"/>
    <w:rsid w:val="089B33C5"/>
    <w:rsid w:val="089C07F5"/>
    <w:rsid w:val="089D24C1"/>
    <w:rsid w:val="089D38B6"/>
    <w:rsid w:val="089D7CDE"/>
    <w:rsid w:val="089F274D"/>
    <w:rsid w:val="08A33823"/>
    <w:rsid w:val="08A83847"/>
    <w:rsid w:val="08A92EE5"/>
    <w:rsid w:val="08AB4619"/>
    <w:rsid w:val="08AB58A9"/>
    <w:rsid w:val="08AC4F8F"/>
    <w:rsid w:val="08AF11D1"/>
    <w:rsid w:val="08B26D11"/>
    <w:rsid w:val="08B64C48"/>
    <w:rsid w:val="08BA1DCB"/>
    <w:rsid w:val="08BE0FFC"/>
    <w:rsid w:val="08BE3CA2"/>
    <w:rsid w:val="08C218F4"/>
    <w:rsid w:val="08C35284"/>
    <w:rsid w:val="08C501D9"/>
    <w:rsid w:val="08C57E1D"/>
    <w:rsid w:val="08C65C00"/>
    <w:rsid w:val="08C87AFB"/>
    <w:rsid w:val="08C92565"/>
    <w:rsid w:val="08CD241A"/>
    <w:rsid w:val="08CF4ECF"/>
    <w:rsid w:val="08D42DA4"/>
    <w:rsid w:val="08D817DE"/>
    <w:rsid w:val="08D84219"/>
    <w:rsid w:val="08DD2756"/>
    <w:rsid w:val="08E03593"/>
    <w:rsid w:val="08E113A0"/>
    <w:rsid w:val="08E20AE5"/>
    <w:rsid w:val="08E51AF0"/>
    <w:rsid w:val="08EA042D"/>
    <w:rsid w:val="08EE1357"/>
    <w:rsid w:val="08F02CD3"/>
    <w:rsid w:val="08F5651E"/>
    <w:rsid w:val="08F579DA"/>
    <w:rsid w:val="08F63CF4"/>
    <w:rsid w:val="08F64163"/>
    <w:rsid w:val="08F8106E"/>
    <w:rsid w:val="08FA4368"/>
    <w:rsid w:val="08FE314D"/>
    <w:rsid w:val="08FF34CA"/>
    <w:rsid w:val="08FF7021"/>
    <w:rsid w:val="0902608B"/>
    <w:rsid w:val="09072773"/>
    <w:rsid w:val="090A3B02"/>
    <w:rsid w:val="09114052"/>
    <w:rsid w:val="09125894"/>
    <w:rsid w:val="09134B72"/>
    <w:rsid w:val="0913608F"/>
    <w:rsid w:val="0914537D"/>
    <w:rsid w:val="0916302B"/>
    <w:rsid w:val="091709B4"/>
    <w:rsid w:val="09175EC5"/>
    <w:rsid w:val="09182804"/>
    <w:rsid w:val="091B6494"/>
    <w:rsid w:val="091C2D27"/>
    <w:rsid w:val="091E2760"/>
    <w:rsid w:val="09203267"/>
    <w:rsid w:val="09203F5D"/>
    <w:rsid w:val="0924087A"/>
    <w:rsid w:val="09244C6C"/>
    <w:rsid w:val="09251E0E"/>
    <w:rsid w:val="09257D9E"/>
    <w:rsid w:val="092C2EDF"/>
    <w:rsid w:val="092D15CC"/>
    <w:rsid w:val="092F3FDC"/>
    <w:rsid w:val="092F6B73"/>
    <w:rsid w:val="093152FB"/>
    <w:rsid w:val="09326520"/>
    <w:rsid w:val="093304A1"/>
    <w:rsid w:val="09354097"/>
    <w:rsid w:val="09363884"/>
    <w:rsid w:val="093924E0"/>
    <w:rsid w:val="093B0C4A"/>
    <w:rsid w:val="093C3557"/>
    <w:rsid w:val="093C7992"/>
    <w:rsid w:val="093E313E"/>
    <w:rsid w:val="0941266E"/>
    <w:rsid w:val="09482CA4"/>
    <w:rsid w:val="094B4707"/>
    <w:rsid w:val="094D1C7B"/>
    <w:rsid w:val="094F0F73"/>
    <w:rsid w:val="095154A3"/>
    <w:rsid w:val="09537290"/>
    <w:rsid w:val="09546310"/>
    <w:rsid w:val="095B7D70"/>
    <w:rsid w:val="095D11B0"/>
    <w:rsid w:val="095D1411"/>
    <w:rsid w:val="095E54E8"/>
    <w:rsid w:val="09624027"/>
    <w:rsid w:val="0963463C"/>
    <w:rsid w:val="09647A68"/>
    <w:rsid w:val="09675844"/>
    <w:rsid w:val="097535E9"/>
    <w:rsid w:val="09770CEB"/>
    <w:rsid w:val="097716EC"/>
    <w:rsid w:val="097728C4"/>
    <w:rsid w:val="09793F4A"/>
    <w:rsid w:val="097A404D"/>
    <w:rsid w:val="097C5476"/>
    <w:rsid w:val="097C6D49"/>
    <w:rsid w:val="097E19BA"/>
    <w:rsid w:val="097F44AF"/>
    <w:rsid w:val="09800E32"/>
    <w:rsid w:val="09802D0A"/>
    <w:rsid w:val="09821F2B"/>
    <w:rsid w:val="09886594"/>
    <w:rsid w:val="098B30DC"/>
    <w:rsid w:val="09905261"/>
    <w:rsid w:val="09943E77"/>
    <w:rsid w:val="0996338B"/>
    <w:rsid w:val="099A4F58"/>
    <w:rsid w:val="099A6386"/>
    <w:rsid w:val="099A7E29"/>
    <w:rsid w:val="099B48AD"/>
    <w:rsid w:val="09A15314"/>
    <w:rsid w:val="09A41FE6"/>
    <w:rsid w:val="09A468E7"/>
    <w:rsid w:val="09A609DC"/>
    <w:rsid w:val="09A63F9B"/>
    <w:rsid w:val="09A67A18"/>
    <w:rsid w:val="09AA5683"/>
    <w:rsid w:val="09AE0A61"/>
    <w:rsid w:val="09B05570"/>
    <w:rsid w:val="09B73E8B"/>
    <w:rsid w:val="09B90D8D"/>
    <w:rsid w:val="09BE0AF5"/>
    <w:rsid w:val="09C226E8"/>
    <w:rsid w:val="09C700C8"/>
    <w:rsid w:val="09C816CC"/>
    <w:rsid w:val="09C821A4"/>
    <w:rsid w:val="09C85BA8"/>
    <w:rsid w:val="09C879F0"/>
    <w:rsid w:val="09CB3B75"/>
    <w:rsid w:val="09CC5489"/>
    <w:rsid w:val="09D16988"/>
    <w:rsid w:val="09D62F54"/>
    <w:rsid w:val="09DB2601"/>
    <w:rsid w:val="09DC4D98"/>
    <w:rsid w:val="09DD0FA5"/>
    <w:rsid w:val="09E16B19"/>
    <w:rsid w:val="09E342E6"/>
    <w:rsid w:val="09E9700A"/>
    <w:rsid w:val="09EA5BDC"/>
    <w:rsid w:val="09EB16ED"/>
    <w:rsid w:val="09EF4D7D"/>
    <w:rsid w:val="09F53892"/>
    <w:rsid w:val="09F75A21"/>
    <w:rsid w:val="09F80E91"/>
    <w:rsid w:val="09F80F64"/>
    <w:rsid w:val="09F84D35"/>
    <w:rsid w:val="09F9477D"/>
    <w:rsid w:val="0A003F7E"/>
    <w:rsid w:val="0A03241D"/>
    <w:rsid w:val="0A09179E"/>
    <w:rsid w:val="0A0E6DC9"/>
    <w:rsid w:val="0A0F3430"/>
    <w:rsid w:val="0A102D98"/>
    <w:rsid w:val="0A103B44"/>
    <w:rsid w:val="0A107B71"/>
    <w:rsid w:val="0A167238"/>
    <w:rsid w:val="0A203131"/>
    <w:rsid w:val="0A2075A5"/>
    <w:rsid w:val="0A217034"/>
    <w:rsid w:val="0A2437F1"/>
    <w:rsid w:val="0A264E0D"/>
    <w:rsid w:val="0A287078"/>
    <w:rsid w:val="0A290A1E"/>
    <w:rsid w:val="0A2C7B9A"/>
    <w:rsid w:val="0A2E2F3C"/>
    <w:rsid w:val="0A30192A"/>
    <w:rsid w:val="0A315D1F"/>
    <w:rsid w:val="0A324A75"/>
    <w:rsid w:val="0A3468AC"/>
    <w:rsid w:val="0A380E81"/>
    <w:rsid w:val="0A382127"/>
    <w:rsid w:val="0A394547"/>
    <w:rsid w:val="0A3B576C"/>
    <w:rsid w:val="0A4041D7"/>
    <w:rsid w:val="0A42370D"/>
    <w:rsid w:val="0A42465C"/>
    <w:rsid w:val="0A46189F"/>
    <w:rsid w:val="0A483BEF"/>
    <w:rsid w:val="0A4E32F6"/>
    <w:rsid w:val="0A5261A6"/>
    <w:rsid w:val="0A526FA1"/>
    <w:rsid w:val="0A542339"/>
    <w:rsid w:val="0A5461CD"/>
    <w:rsid w:val="0A560CFA"/>
    <w:rsid w:val="0A5B443F"/>
    <w:rsid w:val="0A5D231B"/>
    <w:rsid w:val="0A5D6CD8"/>
    <w:rsid w:val="0A5E5D0B"/>
    <w:rsid w:val="0A5F55ED"/>
    <w:rsid w:val="0A687E16"/>
    <w:rsid w:val="0A692AB1"/>
    <w:rsid w:val="0A6C2D6C"/>
    <w:rsid w:val="0A6E12BC"/>
    <w:rsid w:val="0A70525F"/>
    <w:rsid w:val="0A70601F"/>
    <w:rsid w:val="0A707F75"/>
    <w:rsid w:val="0A717D07"/>
    <w:rsid w:val="0A7513FB"/>
    <w:rsid w:val="0A7A5821"/>
    <w:rsid w:val="0A7C188B"/>
    <w:rsid w:val="0A7D53AE"/>
    <w:rsid w:val="0A7E0B07"/>
    <w:rsid w:val="0A7E0F6A"/>
    <w:rsid w:val="0A7F147D"/>
    <w:rsid w:val="0A800F52"/>
    <w:rsid w:val="0A813EEE"/>
    <w:rsid w:val="0A840CB1"/>
    <w:rsid w:val="0A8455EB"/>
    <w:rsid w:val="0A891880"/>
    <w:rsid w:val="0A893535"/>
    <w:rsid w:val="0A8A3F9C"/>
    <w:rsid w:val="0A9032AA"/>
    <w:rsid w:val="0A9A4022"/>
    <w:rsid w:val="0A9B0E27"/>
    <w:rsid w:val="0AA2337C"/>
    <w:rsid w:val="0AA42CF5"/>
    <w:rsid w:val="0AA526EE"/>
    <w:rsid w:val="0AA55974"/>
    <w:rsid w:val="0AA7724A"/>
    <w:rsid w:val="0AAB6BB1"/>
    <w:rsid w:val="0AAC0F24"/>
    <w:rsid w:val="0AAD17C9"/>
    <w:rsid w:val="0AAF12E5"/>
    <w:rsid w:val="0AB16C97"/>
    <w:rsid w:val="0ABD5106"/>
    <w:rsid w:val="0ABF638A"/>
    <w:rsid w:val="0ACA6D38"/>
    <w:rsid w:val="0AD2092A"/>
    <w:rsid w:val="0AD76DF6"/>
    <w:rsid w:val="0AD925C9"/>
    <w:rsid w:val="0AE0232A"/>
    <w:rsid w:val="0AE267BE"/>
    <w:rsid w:val="0AEA6BC4"/>
    <w:rsid w:val="0AED417E"/>
    <w:rsid w:val="0AED537C"/>
    <w:rsid w:val="0AEF054D"/>
    <w:rsid w:val="0AF21A3E"/>
    <w:rsid w:val="0AF242BC"/>
    <w:rsid w:val="0AF74EA3"/>
    <w:rsid w:val="0AFD5E03"/>
    <w:rsid w:val="0AFF20D8"/>
    <w:rsid w:val="0AFF27AB"/>
    <w:rsid w:val="0B007C00"/>
    <w:rsid w:val="0B0106D6"/>
    <w:rsid w:val="0B021609"/>
    <w:rsid w:val="0B030269"/>
    <w:rsid w:val="0B033D1D"/>
    <w:rsid w:val="0B066D0A"/>
    <w:rsid w:val="0B067A52"/>
    <w:rsid w:val="0B0E6041"/>
    <w:rsid w:val="0B140A65"/>
    <w:rsid w:val="0B15616B"/>
    <w:rsid w:val="0B175287"/>
    <w:rsid w:val="0B183445"/>
    <w:rsid w:val="0B183641"/>
    <w:rsid w:val="0B190881"/>
    <w:rsid w:val="0B192CEC"/>
    <w:rsid w:val="0B1A6833"/>
    <w:rsid w:val="0B1B29D6"/>
    <w:rsid w:val="0B1F1ADD"/>
    <w:rsid w:val="0B1F7F96"/>
    <w:rsid w:val="0B213CCD"/>
    <w:rsid w:val="0B214D09"/>
    <w:rsid w:val="0B232E1C"/>
    <w:rsid w:val="0B237B81"/>
    <w:rsid w:val="0B2956D8"/>
    <w:rsid w:val="0B2F5808"/>
    <w:rsid w:val="0B335061"/>
    <w:rsid w:val="0B381019"/>
    <w:rsid w:val="0B3A0928"/>
    <w:rsid w:val="0B4018C2"/>
    <w:rsid w:val="0B445B21"/>
    <w:rsid w:val="0B46521E"/>
    <w:rsid w:val="0B47186E"/>
    <w:rsid w:val="0B477225"/>
    <w:rsid w:val="0B49446B"/>
    <w:rsid w:val="0B4A0B84"/>
    <w:rsid w:val="0B4C3BDD"/>
    <w:rsid w:val="0B4E439D"/>
    <w:rsid w:val="0B570BA8"/>
    <w:rsid w:val="0B5B4F81"/>
    <w:rsid w:val="0B6239B6"/>
    <w:rsid w:val="0B645CF8"/>
    <w:rsid w:val="0B661DDE"/>
    <w:rsid w:val="0B69053D"/>
    <w:rsid w:val="0B6A55FB"/>
    <w:rsid w:val="0B6B290B"/>
    <w:rsid w:val="0B6B78CE"/>
    <w:rsid w:val="0B6E33E3"/>
    <w:rsid w:val="0B6F03B6"/>
    <w:rsid w:val="0B6F5FAF"/>
    <w:rsid w:val="0B714391"/>
    <w:rsid w:val="0B724918"/>
    <w:rsid w:val="0B727318"/>
    <w:rsid w:val="0B736877"/>
    <w:rsid w:val="0B77373D"/>
    <w:rsid w:val="0B7808DC"/>
    <w:rsid w:val="0B7A50A6"/>
    <w:rsid w:val="0B7B1470"/>
    <w:rsid w:val="0B7D4E7E"/>
    <w:rsid w:val="0B7F49CC"/>
    <w:rsid w:val="0B8208CD"/>
    <w:rsid w:val="0B827338"/>
    <w:rsid w:val="0B84452A"/>
    <w:rsid w:val="0B864EC2"/>
    <w:rsid w:val="0B8816BF"/>
    <w:rsid w:val="0B8822B3"/>
    <w:rsid w:val="0B884229"/>
    <w:rsid w:val="0B8F28C4"/>
    <w:rsid w:val="0B8F3F35"/>
    <w:rsid w:val="0B911653"/>
    <w:rsid w:val="0B945DE0"/>
    <w:rsid w:val="0B946441"/>
    <w:rsid w:val="0B9A24D0"/>
    <w:rsid w:val="0B9C30FD"/>
    <w:rsid w:val="0B9C4893"/>
    <w:rsid w:val="0B9C5408"/>
    <w:rsid w:val="0B9D4554"/>
    <w:rsid w:val="0B9F4443"/>
    <w:rsid w:val="0BA324D1"/>
    <w:rsid w:val="0BA331F5"/>
    <w:rsid w:val="0BA62ABC"/>
    <w:rsid w:val="0BA70E2A"/>
    <w:rsid w:val="0BA82D30"/>
    <w:rsid w:val="0BA9492C"/>
    <w:rsid w:val="0BAA4775"/>
    <w:rsid w:val="0BAE5175"/>
    <w:rsid w:val="0BB137E6"/>
    <w:rsid w:val="0BB24CEE"/>
    <w:rsid w:val="0BB802ED"/>
    <w:rsid w:val="0BBE7FAC"/>
    <w:rsid w:val="0BC228DF"/>
    <w:rsid w:val="0BC61573"/>
    <w:rsid w:val="0BCB2094"/>
    <w:rsid w:val="0BCC52F6"/>
    <w:rsid w:val="0BCF378F"/>
    <w:rsid w:val="0BD01817"/>
    <w:rsid w:val="0BD41CA9"/>
    <w:rsid w:val="0BD443C9"/>
    <w:rsid w:val="0BD67F3A"/>
    <w:rsid w:val="0BDC42E7"/>
    <w:rsid w:val="0BDD0697"/>
    <w:rsid w:val="0BDD1990"/>
    <w:rsid w:val="0BDE2694"/>
    <w:rsid w:val="0BDF3EA7"/>
    <w:rsid w:val="0BE10C0B"/>
    <w:rsid w:val="0BE15D1D"/>
    <w:rsid w:val="0BE27DC6"/>
    <w:rsid w:val="0BE364BA"/>
    <w:rsid w:val="0BE44BBD"/>
    <w:rsid w:val="0BE554D6"/>
    <w:rsid w:val="0BE61F7C"/>
    <w:rsid w:val="0BE770A6"/>
    <w:rsid w:val="0BEF1BAC"/>
    <w:rsid w:val="0BEF6012"/>
    <w:rsid w:val="0BF054DF"/>
    <w:rsid w:val="0BF15A4D"/>
    <w:rsid w:val="0BF530EE"/>
    <w:rsid w:val="0BF76E8B"/>
    <w:rsid w:val="0BFA0B41"/>
    <w:rsid w:val="0BFC4016"/>
    <w:rsid w:val="0BFF6581"/>
    <w:rsid w:val="0C034614"/>
    <w:rsid w:val="0C037E6F"/>
    <w:rsid w:val="0C0564B8"/>
    <w:rsid w:val="0C094988"/>
    <w:rsid w:val="0C15077C"/>
    <w:rsid w:val="0C167163"/>
    <w:rsid w:val="0C1766B6"/>
    <w:rsid w:val="0C1840AD"/>
    <w:rsid w:val="0C1A7FE6"/>
    <w:rsid w:val="0C1B2D2E"/>
    <w:rsid w:val="0C1D3E8A"/>
    <w:rsid w:val="0C1E3091"/>
    <w:rsid w:val="0C217053"/>
    <w:rsid w:val="0C22159A"/>
    <w:rsid w:val="0C231AF4"/>
    <w:rsid w:val="0C237E0D"/>
    <w:rsid w:val="0C2A49B8"/>
    <w:rsid w:val="0C2A6296"/>
    <w:rsid w:val="0C303B65"/>
    <w:rsid w:val="0C323431"/>
    <w:rsid w:val="0C353B36"/>
    <w:rsid w:val="0C3808AB"/>
    <w:rsid w:val="0C415724"/>
    <w:rsid w:val="0C4257CD"/>
    <w:rsid w:val="0C44048D"/>
    <w:rsid w:val="0C4806E7"/>
    <w:rsid w:val="0C483156"/>
    <w:rsid w:val="0C49678D"/>
    <w:rsid w:val="0C4A41B0"/>
    <w:rsid w:val="0C4B08B1"/>
    <w:rsid w:val="0C4F1AF2"/>
    <w:rsid w:val="0C501C73"/>
    <w:rsid w:val="0C512C74"/>
    <w:rsid w:val="0C52416A"/>
    <w:rsid w:val="0C5642DB"/>
    <w:rsid w:val="0C5B184C"/>
    <w:rsid w:val="0C6151D9"/>
    <w:rsid w:val="0C631ED3"/>
    <w:rsid w:val="0C661100"/>
    <w:rsid w:val="0C666ED4"/>
    <w:rsid w:val="0C670C60"/>
    <w:rsid w:val="0C673B04"/>
    <w:rsid w:val="0C6B1A17"/>
    <w:rsid w:val="0C6B1F40"/>
    <w:rsid w:val="0C6D019C"/>
    <w:rsid w:val="0C714D1A"/>
    <w:rsid w:val="0C76082F"/>
    <w:rsid w:val="0C771AA3"/>
    <w:rsid w:val="0C7E7D89"/>
    <w:rsid w:val="0C811841"/>
    <w:rsid w:val="0C8128AA"/>
    <w:rsid w:val="0C815FE3"/>
    <w:rsid w:val="0C833EB9"/>
    <w:rsid w:val="0C841DC0"/>
    <w:rsid w:val="0C8519FC"/>
    <w:rsid w:val="0C8A312C"/>
    <w:rsid w:val="0C8B6454"/>
    <w:rsid w:val="0C910469"/>
    <w:rsid w:val="0C942987"/>
    <w:rsid w:val="0C9502DE"/>
    <w:rsid w:val="0C9D0F03"/>
    <w:rsid w:val="0C9E4596"/>
    <w:rsid w:val="0CA2027E"/>
    <w:rsid w:val="0CA20289"/>
    <w:rsid w:val="0CA25B18"/>
    <w:rsid w:val="0CA47B3C"/>
    <w:rsid w:val="0CA5762A"/>
    <w:rsid w:val="0CA61B86"/>
    <w:rsid w:val="0CBE6702"/>
    <w:rsid w:val="0CD12ACF"/>
    <w:rsid w:val="0CD158C4"/>
    <w:rsid w:val="0CD22D62"/>
    <w:rsid w:val="0CD35869"/>
    <w:rsid w:val="0CD50391"/>
    <w:rsid w:val="0CDE0D15"/>
    <w:rsid w:val="0CEA2FB6"/>
    <w:rsid w:val="0CEB16F5"/>
    <w:rsid w:val="0CED3D8D"/>
    <w:rsid w:val="0CEF467D"/>
    <w:rsid w:val="0CF24ABD"/>
    <w:rsid w:val="0CF616CC"/>
    <w:rsid w:val="0CF62110"/>
    <w:rsid w:val="0CFA3FD8"/>
    <w:rsid w:val="0CFB366C"/>
    <w:rsid w:val="0CFC4C61"/>
    <w:rsid w:val="0CFE780F"/>
    <w:rsid w:val="0D004265"/>
    <w:rsid w:val="0D0218E8"/>
    <w:rsid w:val="0D0524F0"/>
    <w:rsid w:val="0D063FA1"/>
    <w:rsid w:val="0D0C6EAF"/>
    <w:rsid w:val="0D18120D"/>
    <w:rsid w:val="0D1970C0"/>
    <w:rsid w:val="0D1C0015"/>
    <w:rsid w:val="0D1F7EDA"/>
    <w:rsid w:val="0D221E47"/>
    <w:rsid w:val="0D276890"/>
    <w:rsid w:val="0D277616"/>
    <w:rsid w:val="0D284E4D"/>
    <w:rsid w:val="0D3123C4"/>
    <w:rsid w:val="0D332F96"/>
    <w:rsid w:val="0D336560"/>
    <w:rsid w:val="0D3B7A8E"/>
    <w:rsid w:val="0D3C43A4"/>
    <w:rsid w:val="0D3C5A6F"/>
    <w:rsid w:val="0D4124FB"/>
    <w:rsid w:val="0D427A13"/>
    <w:rsid w:val="0D445C9A"/>
    <w:rsid w:val="0D4535E4"/>
    <w:rsid w:val="0D483D3B"/>
    <w:rsid w:val="0D4C4469"/>
    <w:rsid w:val="0D4C62C1"/>
    <w:rsid w:val="0D4D3A28"/>
    <w:rsid w:val="0D4E7FF0"/>
    <w:rsid w:val="0D512BD2"/>
    <w:rsid w:val="0D5462B8"/>
    <w:rsid w:val="0D572F39"/>
    <w:rsid w:val="0D591075"/>
    <w:rsid w:val="0D60745A"/>
    <w:rsid w:val="0D6152A0"/>
    <w:rsid w:val="0D627627"/>
    <w:rsid w:val="0D650B7F"/>
    <w:rsid w:val="0D664C21"/>
    <w:rsid w:val="0D6E46F6"/>
    <w:rsid w:val="0D734F68"/>
    <w:rsid w:val="0D777128"/>
    <w:rsid w:val="0D797C5F"/>
    <w:rsid w:val="0D7A3065"/>
    <w:rsid w:val="0D7A3858"/>
    <w:rsid w:val="0D7A661C"/>
    <w:rsid w:val="0D8A227F"/>
    <w:rsid w:val="0D8D22D1"/>
    <w:rsid w:val="0D8F5848"/>
    <w:rsid w:val="0D905B96"/>
    <w:rsid w:val="0D931686"/>
    <w:rsid w:val="0D936129"/>
    <w:rsid w:val="0D93678F"/>
    <w:rsid w:val="0D942436"/>
    <w:rsid w:val="0D951FBC"/>
    <w:rsid w:val="0D9C4904"/>
    <w:rsid w:val="0DA06F57"/>
    <w:rsid w:val="0DA40A8F"/>
    <w:rsid w:val="0DA44B53"/>
    <w:rsid w:val="0DA762A0"/>
    <w:rsid w:val="0DA82C02"/>
    <w:rsid w:val="0DAD3523"/>
    <w:rsid w:val="0DB007FB"/>
    <w:rsid w:val="0DB728A9"/>
    <w:rsid w:val="0DBC6CA3"/>
    <w:rsid w:val="0DBD0D34"/>
    <w:rsid w:val="0DCA31D4"/>
    <w:rsid w:val="0DCF1779"/>
    <w:rsid w:val="0DD47372"/>
    <w:rsid w:val="0DDB7105"/>
    <w:rsid w:val="0DE4654D"/>
    <w:rsid w:val="0DE4717C"/>
    <w:rsid w:val="0DE825EE"/>
    <w:rsid w:val="0DE914C3"/>
    <w:rsid w:val="0DF537E1"/>
    <w:rsid w:val="0DF86C67"/>
    <w:rsid w:val="0DFC04D2"/>
    <w:rsid w:val="0DFC1E14"/>
    <w:rsid w:val="0DFD73BA"/>
    <w:rsid w:val="0E082338"/>
    <w:rsid w:val="0E0B0FB1"/>
    <w:rsid w:val="0E0B4518"/>
    <w:rsid w:val="0E0C43C4"/>
    <w:rsid w:val="0E0E6588"/>
    <w:rsid w:val="0E0F41D5"/>
    <w:rsid w:val="0E112017"/>
    <w:rsid w:val="0E12586C"/>
    <w:rsid w:val="0E185A2A"/>
    <w:rsid w:val="0E1D0CF1"/>
    <w:rsid w:val="0E1F7CE9"/>
    <w:rsid w:val="0E2218A5"/>
    <w:rsid w:val="0E232AD6"/>
    <w:rsid w:val="0E243B1A"/>
    <w:rsid w:val="0E2740A8"/>
    <w:rsid w:val="0E283661"/>
    <w:rsid w:val="0E29577C"/>
    <w:rsid w:val="0E2A52DD"/>
    <w:rsid w:val="0E2C212F"/>
    <w:rsid w:val="0E2C35D9"/>
    <w:rsid w:val="0E2F03CB"/>
    <w:rsid w:val="0E3168DC"/>
    <w:rsid w:val="0E32590D"/>
    <w:rsid w:val="0E342EB6"/>
    <w:rsid w:val="0E354239"/>
    <w:rsid w:val="0E3A0AA8"/>
    <w:rsid w:val="0E3C0F9F"/>
    <w:rsid w:val="0E3E39BB"/>
    <w:rsid w:val="0E40092A"/>
    <w:rsid w:val="0E433F19"/>
    <w:rsid w:val="0E437E18"/>
    <w:rsid w:val="0E44198A"/>
    <w:rsid w:val="0E482732"/>
    <w:rsid w:val="0E4C0758"/>
    <w:rsid w:val="0E4E358F"/>
    <w:rsid w:val="0E525CF9"/>
    <w:rsid w:val="0E544782"/>
    <w:rsid w:val="0E573660"/>
    <w:rsid w:val="0E580FD9"/>
    <w:rsid w:val="0E5E7055"/>
    <w:rsid w:val="0E604E03"/>
    <w:rsid w:val="0E606676"/>
    <w:rsid w:val="0E637673"/>
    <w:rsid w:val="0E647BB4"/>
    <w:rsid w:val="0E6528C9"/>
    <w:rsid w:val="0E654263"/>
    <w:rsid w:val="0E67121D"/>
    <w:rsid w:val="0E6D4BA5"/>
    <w:rsid w:val="0E6F31C9"/>
    <w:rsid w:val="0E7468F9"/>
    <w:rsid w:val="0E760822"/>
    <w:rsid w:val="0E773BED"/>
    <w:rsid w:val="0E7A3A95"/>
    <w:rsid w:val="0E7B5815"/>
    <w:rsid w:val="0E7E6018"/>
    <w:rsid w:val="0E800AE1"/>
    <w:rsid w:val="0E821E59"/>
    <w:rsid w:val="0E8367C7"/>
    <w:rsid w:val="0E853893"/>
    <w:rsid w:val="0E856455"/>
    <w:rsid w:val="0E863C28"/>
    <w:rsid w:val="0E8E07B0"/>
    <w:rsid w:val="0E8E4551"/>
    <w:rsid w:val="0E8F1B02"/>
    <w:rsid w:val="0E915D80"/>
    <w:rsid w:val="0E946844"/>
    <w:rsid w:val="0E951620"/>
    <w:rsid w:val="0E951773"/>
    <w:rsid w:val="0E955DDF"/>
    <w:rsid w:val="0E97290E"/>
    <w:rsid w:val="0E9B235B"/>
    <w:rsid w:val="0EA06660"/>
    <w:rsid w:val="0EA26E1D"/>
    <w:rsid w:val="0EA302EB"/>
    <w:rsid w:val="0EAC322B"/>
    <w:rsid w:val="0EAF7FA8"/>
    <w:rsid w:val="0EB17942"/>
    <w:rsid w:val="0EB206F5"/>
    <w:rsid w:val="0EB34B26"/>
    <w:rsid w:val="0EB4306C"/>
    <w:rsid w:val="0EB55CBD"/>
    <w:rsid w:val="0EB845FC"/>
    <w:rsid w:val="0EBB0635"/>
    <w:rsid w:val="0EBD007E"/>
    <w:rsid w:val="0EBD781F"/>
    <w:rsid w:val="0EC13E46"/>
    <w:rsid w:val="0EC179CE"/>
    <w:rsid w:val="0EC5187C"/>
    <w:rsid w:val="0EC601D0"/>
    <w:rsid w:val="0EC6403B"/>
    <w:rsid w:val="0EC834D5"/>
    <w:rsid w:val="0ECE39B1"/>
    <w:rsid w:val="0ED111F5"/>
    <w:rsid w:val="0ED17DFF"/>
    <w:rsid w:val="0ED21A19"/>
    <w:rsid w:val="0EDB0253"/>
    <w:rsid w:val="0EDD1659"/>
    <w:rsid w:val="0EE14E88"/>
    <w:rsid w:val="0EE15705"/>
    <w:rsid w:val="0EE42609"/>
    <w:rsid w:val="0EE51192"/>
    <w:rsid w:val="0EE6399B"/>
    <w:rsid w:val="0EEA2EEE"/>
    <w:rsid w:val="0EF34066"/>
    <w:rsid w:val="0EF85082"/>
    <w:rsid w:val="0EF927B4"/>
    <w:rsid w:val="0EFA4BF6"/>
    <w:rsid w:val="0F010D14"/>
    <w:rsid w:val="0F0A2ACB"/>
    <w:rsid w:val="0F0A6886"/>
    <w:rsid w:val="0F1232D2"/>
    <w:rsid w:val="0F135A55"/>
    <w:rsid w:val="0F1926AB"/>
    <w:rsid w:val="0F1B7AD3"/>
    <w:rsid w:val="0F1C2B30"/>
    <w:rsid w:val="0F217BE6"/>
    <w:rsid w:val="0F223019"/>
    <w:rsid w:val="0F2275E1"/>
    <w:rsid w:val="0F251F0A"/>
    <w:rsid w:val="0F260766"/>
    <w:rsid w:val="0F2B7661"/>
    <w:rsid w:val="0F2C077F"/>
    <w:rsid w:val="0F2C1911"/>
    <w:rsid w:val="0F3153C5"/>
    <w:rsid w:val="0F3320BC"/>
    <w:rsid w:val="0F372381"/>
    <w:rsid w:val="0F3818F4"/>
    <w:rsid w:val="0F3831BD"/>
    <w:rsid w:val="0F3A7750"/>
    <w:rsid w:val="0F403F81"/>
    <w:rsid w:val="0F4211C0"/>
    <w:rsid w:val="0F422AC8"/>
    <w:rsid w:val="0F423920"/>
    <w:rsid w:val="0F4D138F"/>
    <w:rsid w:val="0F510BF1"/>
    <w:rsid w:val="0F514F17"/>
    <w:rsid w:val="0F526A92"/>
    <w:rsid w:val="0F537C0C"/>
    <w:rsid w:val="0F575144"/>
    <w:rsid w:val="0F5A31EB"/>
    <w:rsid w:val="0F5B32C6"/>
    <w:rsid w:val="0F5E736E"/>
    <w:rsid w:val="0F634157"/>
    <w:rsid w:val="0F6D2BC7"/>
    <w:rsid w:val="0F6F6E81"/>
    <w:rsid w:val="0F717EA8"/>
    <w:rsid w:val="0F727CE2"/>
    <w:rsid w:val="0F7877AD"/>
    <w:rsid w:val="0F7C7F01"/>
    <w:rsid w:val="0F7E1E87"/>
    <w:rsid w:val="0F830304"/>
    <w:rsid w:val="0F890E94"/>
    <w:rsid w:val="0F8C2F76"/>
    <w:rsid w:val="0F8C6962"/>
    <w:rsid w:val="0F8E2588"/>
    <w:rsid w:val="0F922E4B"/>
    <w:rsid w:val="0F931183"/>
    <w:rsid w:val="0F973DEE"/>
    <w:rsid w:val="0F996E1F"/>
    <w:rsid w:val="0F9A43F9"/>
    <w:rsid w:val="0F9B289A"/>
    <w:rsid w:val="0F9B3E1B"/>
    <w:rsid w:val="0F9C5ECB"/>
    <w:rsid w:val="0F9D0D7C"/>
    <w:rsid w:val="0FA12006"/>
    <w:rsid w:val="0FA14F53"/>
    <w:rsid w:val="0FA30ABC"/>
    <w:rsid w:val="0FA6557D"/>
    <w:rsid w:val="0FA73155"/>
    <w:rsid w:val="0FAC010B"/>
    <w:rsid w:val="0FAD407A"/>
    <w:rsid w:val="0FB0248B"/>
    <w:rsid w:val="0FB734A4"/>
    <w:rsid w:val="0FBA3CD9"/>
    <w:rsid w:val="0FBB62C9"/>
    <w:rsid w:val="0FBD5B14"/>
    <w:rsid w:val="0FBE2345"/>
    <w:rsid w:val="0FBE3557"/>
    <w:rsid w:val="0FBF044B"/>
    <w:rsid w:val="0FC309B3"/>
    <w:rsid w:val="0FCA2EC4"/>
    <w:rsid w:val="0FCB6F60"/>
    <w:rsid w:val="0FD473D5"/>
    <w:rsid w:val="0FD47A95"/>
    <w:rsid w:val="0FDA2725"/>
    <w:rsid w:val="0FDA689F"/>
    <w:rsid w:val="0FDA7200"/>
    <w:rsid w:val="0FDB1B87"/>
    <w:rsid w:val="0FDF212B"/>
    <w:rsid w:val="0FE34CE5"/>
    <w:rsid w:val="0FE35562"/>
    <w:rsid w:val="0FE42745"/>
    <w:rsid w:val="0FE64B4A"/>
    <w:rsid w:val="0FE7225E"/>
    <w:rsid w:val="0FE74AC1"/>
    <w:rsid w:val="0FED2A6E"/>
    <w:rsid w:val="0FEF2915"/>
    <w:rsid w:val="0FF8559A"/>
    <w:rsid w:val="0FFB25DB"/>
    <w:rsid w:val="0FFC38AB"/>
    <w:rsid w:val="0FFD17EA"/>
    <w:rsid w:val="1006699F"/>
    <w:rsid w:val="10080A73"/>
    <w:rsid w:val="100951BE"/>
    <w:rsid w:val="100B42A5"/>
    <w:rsid w:val="100D0EC8"/>
    <w:rsid w:val="10115CBE"/>
    <w:rsid w:val="101477D8"/>
    <w:rsid w:val="10150F00"/>
    <w:rsid w:val="101A10B6"/>
    <w:rsid w:val="102347D9"/>
    <w:rsid w:val="10290872"/>
    <w:rsid w:val="102A1CBE"/>
    <w:rsid w:val="102D5F57"/>
    <w:rsid w:val="102E7F06"/>
    <w:rsid w:val="1033470C"/>
    <w:rsid w:val="10347967"/>
    <w:rsid w:val="10367703"/>
    <w:rsid w:val="10397F54"/>
    <w:rsid w:val="103E6F91"/>
    <w:rsid w:val="103F2F08"/>
    <w:rsid w:val="104523F9"/>
    <w:rsid w:val="10476112"/>
    <w:rsid w:val="10512946"/>
    <w:rsid w:val="1055309A"/>
    <w:rsid w:val="105642A1"/>
    <w:rsid w:val="105A65D4"/>
    <w:rsid w:val="105B7C6A"/>
    <w:rsid w:val="105E633F"/>
    <w:rsid w:val="10621A4E"/>
    <w:rsid w:val="10623D81"/>
    <w:rsid w:val="10630D40"/>
    <w:rsid w:val="106470EB"/>
    <w:rsid w:val="1067420C"/>
    <w:rsid w:val="10682FCD"/>
    <w:rsid w:val="106C0CD6"/>
    <w:rsid w:val="106C6F98"/>
    <w:rsid w:val="106E6FD0"/>
    <w:rsid w:val="1071546C"/>
    <w:rsid w:val="10733EC0"/>
    <w:rsid w:val="10740E74"/>
    <w:rsid w:val="1075674B"/>
    <w:rsid w:val="107738D1"/>
    <w:rsid w:val="10787E8D"/>
    <w:rsid w:val="10796540"/>
    <w:rsid w:val="107A1716"/>
    <w:rsid w:val="107D1C59"/>
    <w:rsid w:val="107E7DE3"/>
    <w:rsid w:val="107F10F5"/>
    <w:rsid w:val="10807318"/>
    <w:rsid w:val="10826183"/>
    <w:rsid w:val="10851B54"/>
    <w:rsid w:val="10860168"/>
    <w:rsid w:val="10871113"/>
    <w:rsid w:val="10887C02"/>
    <w:rsid w:val="10896153"/>
    <w:rsid w:val="108A4298"/>
    <w:rsid w:val="108A4790"/>
    <w:rsid w:val="108B11D0"/>
    <w:rsid w:val="108B4A37"/>
    <w:rsid w:val="108B7AAF"/>
    <w:rsid w:val="10936FA3"/>
    <w:rsid w:val="10996313"/>
    <w:rsid w:val="109D412A"/>
    <w:rsid w:val="10A157B8"/>
    <w:rsid w:val="10A339D2"/>
    <w:rsid w:val="10AF7845"/>
    <w:rsid w:val="10B0154B"/>
    <w:rsid w:val="10B159D8"/>
    <w:rsid w:val="10B231C5"/>
    <w:rsid w:val="10B50BAA"/>
    <w:rsid w:val="10B94FCB"/>
    <w:rsid w:val="10BC61DE"/>
    <w:rsid w:val="10BD77AE"/>
    <w:rsid w:val="10BE2565"/>
    <w:rsid w:val="10C317A3"/>
    <w:rsid w:val="10C57C7B"/>
    <w:rsid w:val="10C9295E"/>
    <w:rsid w:val="10C93B2C"/>
    <w:rsid w:val="10C95F6E"/>
    <w:rsid w:val="10CE097B"/>
    <w:rsid w:val="10CF54AB"/>
    <w:rsid w:val="10D02BC7"/>
    <w:rsid w:val="10D2291D"/>
    <w:rsid w:val="10D3642F"/>
    <w:rsid w:val="10D61BB1"/>
    <w:rsid w:val="10D664E2"/>
    <w:rsid w:val="10D668B1"/>
    <w:rsid w:val="10DA5E0E"/>
    <w:rsid w:val="10DA7281"/>
    <w:rsid w:val="10DE3A78"/>
    <w:rsid w:val="10DF519D"/>
    <w:rsid w:val="10E57036"/>
    <w:rsid w:val="10E607B0"/>
    <w:rsid w:val="10E6568F"/>
    <w:rsid w:val="10EC48B5"/>
    <w:rsid w:val="10F04592"/>
    <w:rsid w:val="10F07718"/>
    <w:rsid w:val="10F36CE8"/>
    <w:rsid w:val="10F712DF"/>
    <w:rsid w:val="10FB6516"/>
    <w:rsid w:val="10FC43C8"/>
    <w:rsid w:val="10FF2BCD"/>
    <w:rsid w:val="110171C3"/>
    <w:rsid w:val="11056BE9"/>
    <w:rsid w:val="11066236"/>
    <w:rsid w:val="11095DE3"/>
    <w:rsid w:val="11096B57"/>
    <w:rsid w:val="110A4429"/>
    <w:rsid w:val="110A4C9D"/>
    <w:rsid w:val="11103600"/>
    <w:rsid w:val="11183842"/>
    <w:rsid w:val="11191FE9"/>
    <w:rsid w:val="111A0F46"/>
    <w:rsid w:val="111C39F0"/>
    <w:rsid w:val="111F56DC"/>
    <w:rsid w:val="1121537C"/>
    <w:rsid w:val="11261C53"/>
    <w:rsid w:val="11266A00"/>
    <w:rsid w:val="11293F6E"/>
    <w:rsid w:val="11325581"/>
    <w:rsid w:val="11333192"/>
    <w:rsid w:val="11360322"/>
    <w:rsid w:val="113608C5"/>
    <w:rsid w:val="1137694E"/>
    <w:rsid w:val="1139299D"/>
    <w:rsid w:val="113B0680"/>
    <w:rsid w:val="113C343C"/>
    <w:rsid w:val="113E0BDB"/>
    <w:rsid w:val="11442F09"/>
    <w:rsid w:val="1146620A"/>
    <w:rsid w:val="11474533"/>
    <w:rsid w:val="11483E3B"/>
    <w:rsid w:val="114A49A1"/>
    <w:rsid w:val="11570D94"/>
    <w:rsid w:val="11581F61"/>
    <w:rsid w:val="115862DC"/>
    <w:rsid w:val="115A082F"/>
    <w:rsid w:val="115A5517"/>
    <w:rsid w:val="115E1596"/>
    <w:rsid w:val="11627A25"/>
    <w:rsid w:val="11632B93"/>
    <w:rsid w:val="116962BF"/>
    <w:rsid w:val="11697247"/>
    <w:rsid w:val="116B5A9F"/>
    <w:rsid w:val="116C41F5"/>
    <w:rsid w:val="116C71B1"/>
    <w:rsid w:val="116F078D"/>
    <w:rsid w:val="116F13C4"/>
    <w:rsid w:val="11724B40"/>
    <w:rsid w:val="11783B03"/>
    <w:rsid w:val="11793989"/>
    <w:rsid w:val="11796F14"/>
    <w:rsid w:val="117A1661"/>
    <w:rsid w:val="117A1EF7"/>
    <w:rsid w:val="117E02AE"/>
    <w:rsid w:val="117F2494"/>
    <w:rsid w:val="11820EEA"/>
    <w:rsid w:val="11832CE2"/>
    <w:rsid w:val="11854C8B"/>
    <w:rsid w:val="118734E0"/>
    <w:rsid w:val="118805FF"/>
    <w:rsid w:val="118E38DD"/>
    <w:rsid w:val="118F0BF7"/>
    <w:rsid w:val="1191035A"/>
    <w:rsid w:val="11922E5D"/>
    <w:rsid w:val="11934756"/>
    <w:rsid w:val="1197296D"/>
    <w:rsid w:val="11983F77"/>
    <w:rsid w:val="1199495D"/>
    <w:rsid w:val="119A4851"/>
    <w:rsid w:val="119B5824"/>
    <w:rsid w:val="11A077D2"/>
    <w:rsid w:val="11A15BCC"/>
    <w:rsid w:val="11A50C49"/>
    <w:rsid w:val="11A659AF"/>
    <w:rsid w:val="11A7390A"/>
    <w:rsid w:val="11AB1145"/>
    <w:rsid w:val="11AB4AE5"/>
    <w:rsid w:val="11B24570"/>
    <w:rsid w:val="11B32229"/>
    <w:rsid w:val="11B56135"/>
    <w:rsid w:val="11BF435B"/>
    <w:rsid w:val="11C50D89"/>
    <w:rsid w:val="11C64551"/>
    <w:rsid w:val="11C95A5F"/>
    <w:rsid w:val="11CA7E98"/>
    <w:rsid w:val="11D15F97"/>
    <w:rsid w:val="11D46618"/>
    <w:rsid w:val="11D83987"/>
    <w:rsid w:val="11D857EE"/>
    <w:rsid w:val="11DA7658"/>
    <w:rsid w:val="11DB6100"/>
    <w:rsid w:val="11E01F5D"/>
    <w:rsid w:val="11E136FC"/>
    <w:rsid w:val="11E14B56"/>
    <w:rsid w:val="11E330F9"/>
    <w:rsid w:val="11E404D0"/>
    <w:rsid w:val="11E93288"/>
    <w:rsid w:val="11EC4FD5"/>
    <w:rsid w:val="11F42A35"/>
    <w:rsid w:val="11FB50C7"/>
    <w:rsid w:val="11FC3BED"/>
    <w:rsid w:val="12007F0D"/>
    <w:rsid w:val="120855E1"/>
    <w:rsid w:val="12091412"/>
    <w:rsid w:val="12092C57"/>
    <w:rsid w:val="120E758A"/>
    <w:rsid w:val="12130C34"/>
    <w:rsid w:val="12134989"/>
    <w:rsid w:val="121544DF"/>
    <w:rsid w:val="12170AB6"/>
    <w:rsid w:val="12197CC5"/>
    <w:rsid w:val="12211292"/>
    <w:rsid w:val="12227E1D"/>
    <w:rsid w:val="12237422"/>
    <w:rsid w:val="12242875"/>
    <w:rsid w:val="122E5AE1"/>
    <w:rsid w:val="122F11A8"/>
    <w:rsid w:val="122F15BC"/>
    <w:rsid w:val="123238E1"/>
    <w:rsid w:val="1234647D"/>
    <w:rsid w:val="1235448B"/>
    <w:rsid w:val="12366486"/>
    <w:rsid w:val="12366EE4"/>
    <w:rsid w:val="123B5E48"/>
    <w:rsid w:val="123C2EC3"/>
    <w:rsid w:val="123C3644"/>
    <w:rsid w:val="123C79E2"/>
    <w:rsid w:val="12414CE2"/>
    <w:rsid w:val="124233F6"/>
    <w:rsid w:val="12446D8A"/>
    <w:rsid w:val="1246355E"/>
    <w:rsid w:val="12484F3F"/>
    <w:rsid w:val="12491967"/>
    <w:rsid w:val="124B6A34"/>
    <w:rsid w:val="124C499C"/>
    <w:rsid w:val="124E43D4"/>
    <w:rsid w:val="124E4A8A"/>
    <w:rsid w:val="124E5902"/>
    <w:rsid w:val="12511DD4"/>
    <w:rsid w:val="12517ADD"/>
    <w:rsid w:val="125356FC"/>
    <w:rsid w:val="12542BB6"/>
    <w:rsid w:val="1255398A"/>
    <w:rsid w:val="12570A61"/>
    <w:rsid w:val="125836D6"/>
    <w:rsid w:val="12583727"/>
    <w:rsid w:val="125B312B"/>
    <w:rsid w:val="125C1C2B"/>
    <w:rsid w:val="125F79F8"/>
    <w:rsid w:val="126043D0"/>
    <w:rsid w:val="12625B80"/>
    <w:rsid w:val="12664FD1"/>
    <w:rsid w:val="126A6EBC"/>
    <w:rsid w:val="126D5843"/>
    <w:rsid w:val="12703116"/>
    <w:rsid w:val="12711EB9"/>
    <w:rsid w:val="12741F3F"/>
    <w:rsid w:val="12775697"/>
    <w:rsid w:val="12796F2F"/>
    <w:rsid w:val="127D3645"/>
    <w:rsid w:val="128A181E"/>
    <w:rsid w:val="128A1C1A"/>
    <w:rsid w:val="128A7924"/>
    <w:rsid w:val="128E2DBB"/>
    <w:rsid w:val="129445F3"/>
    <w:rsid w:val="1296268E"/>
    <w:rsid w:val="129910CC"/>
    <w:rsid w:val="12993D2E"/>
    <w:rsid w:val="129A07F3"/>
    <w:rsid w:val="129F3594"/>
    <w:rsid w:val="12A15F8B"/>
    <w:rsid w:val="12A43C96"/>
    <w:rsid w:val="12A6166F"/>
    <w:rsid w:val="12A83704"/>
    <w:rsid w:val="12A83972"/>
    <w:rsid w:val="12A853E5"/>
    <w:rsid w:val="12AD1C0A"/>
    <w:rsid w:val="12AE256D"/>
    <w:rsid w:val="12B208BD"/>
    <w:rsid w:val="12B37932"/>
    <w:rsid w:val="12BC46F9"/>
    <w:rsid w:val="12BD0C6D"/>
    <w:rsid w:val="12BD1F36"/>
    <w:rsid w:val="12BF0383"/>
    <w:rsid w:val="12BF4482"/>
    <w:rsid w:val="12C13E75"/>
    <w:rsid w:val="12C25F90"/>
    <w:rsid w:val="12CD40DD"/>
    <w:rsid w:val="12CD4E11"/>
    <w:rsid w:val="12D000E5"/>
    <w:rsid w:val="12D80088"/>
    <w:rsid w:val="12D8303E"/>
    <w:rsid w:val="12DA0A78"/>
    <w:rsid w:val="12DD7D40"/>
    <w:rsid w:val="12DE7595"/>
    <w:rsid w:val="12E30267"/>
    <w:rsid w:val="12E51747"/>
    <w:rsid w:val="12E52190"/>
    <w:rsid w:val="12E56617"/>
    <w:rsid w:val="12E62B80"/>
    <w:rsid w:val="12EF124B"/>
    <w:rsid w:val="12EF3037"/>
    <w:rsid w:val="12F0279C"/>
    <w:rsid w:val="12F26438"/>
    <w:rsid w:val="12F5191B"/>
    <w:rsid w:val="12F57670"/>
    <w:rsid w:val="12FB609F"/>
    <w:rsid w:val="12FC00BE"/>
    <w:rsid w:val="130459D6"/>
    <w:rsid w:val="13085214"/>
    <w:rsid w:val="130B60BC"/>
    <w:rsid w:val="130C680C"/>
    <w:rsid w:val="130E7CF2"/>
    <w:rsid w:val="130F707A"/>
    <w:rsid w:val="131244D0"/>
    <w:rsid w:val="131267D2"/>
    <w:rsid w:val="13184785"/>
    <w:rsid w:val="131A070B"/>
    <w:rsid w:val="131A1F94"/>
    <w:rsid w:val="131A4612"/>
    <w:rsid w:val="131B31B3"/>
    <w:rsid w:val="131D152A"/>
    <w:rsid w:val="13202664"/>
    <w:rsid w:val="13215834"/>
    <w:rsid w:val="13241E5D"/>
    <w:rsid w:val="1326149E"/>
    <w:rsid w:val="1326186B"/>
    <w:rsid w:val="1329618B"/>
    <w:rsid w:val="132B3611"/>
    <w:rsid w:val="13301F12"/>
    <w:rsid w:val="133118F3"/>
    <w:rsid w:val="13316D1D"/>
    <w:rsid w:val="13374972"/>
    <w:rsid w:val="133E7197"/>
    <w:rsid w:val="1349042F"/>
    <w:rsid w:val="134D2DFC"/>
    <w:rsid w:val="134E01F2"/>
    <w:rsid w:val="13542DFD"/>
    <w:rsid w:val="13567A89"/>
    <w:rsid w:val="1357422B"/>
    <w:rsid w:val="135915DF"/>
    <w:rsid w:val="13597935"/>
    <w:rsid w:val="135A55A5"/>
    <w:rsid w:val="135E700B"/>
    <w:rsid w:val="13620176"/>
    <w:rsid w:val="136321AA"/>
    <w:rsid w:val="13636985"/>
    <w:rsid w:val="1364657B"/>
    <w:rsid w:val="13652CF5"/>
    <w:rsid w:val="13684736"/>
    <w:rsid w:val="136F717B"/>
    <w:rsid w:val="13713268"/>
    <w:rsid w:val="137C1F16"/>
    <w:rsid w:val="137F3738"/>
    <w:rsid w:val="13803B7B"/>
    <w:rsid w:val="13814C29"/>
    <w:rsid w:val="138819AE"/>
    <w:rsid w:val="13887F5E"/>
    <w:rsid w:val="138B296F"/>
    <w:rsid w:val="138D013C"/>
    <w:rsid w:val="138D100D"/>
    <w:rsid w:val="138F4A11"/>
    <w:rsid w:val="13905A35"/>
    <w:rsid w:val="1393557D"/>
    <w:rsid w:val="13940667"/>
    <w:rsid w:val="1395295E"/>
    <w:rsid w:val="13955FF5"/>
    <w:rsid w:val="139620B7"/>
    <w:rsid w:val="13973777"/>
    <w:rsid w:val="139D4027"/>
    <w:rsid w:val="13A12D7C"/>
    <w:rsid w:val="13A4239A"/>
    <w:rsid w:val="13A63B5B"/>
    <w:rsid w:val="13A6471C"/>
    <w:rsid w:val="13A903A5"/>
    <w:rsid w:val="13AA4AFA"/>
    <w:rsid w:val="13AC70A3"/>
    <w:rsid w:val="13AF0937"/>
    <w:rsid w:val="13B21C8C"/>
    <w:rsid w:val="13B7580E"/>
    <w:rsid w:val="13B87FA9"/>
    <w:rsid w:val="13B95C2A"/>
    <w:rsid w:val="13BC7B4B"/>
    <w:rsid w:val="13BF60BB"/>
    <w:rsid w:val="13C24A07"/>
    <w:rsid w:val="13C6602C"/>
    <w:rsid w:val="13CA1ED3"/>
    <w:rsid w:val="13CA7934"/>
    <w:rsid w:val="13D02D89"/>
    <w:rsid w:val="13D31ABC"/>
    <w:rsid w:val="13D54C6C"/>
    <w:rsid w:val="13D803A0"/>
    <w:rsid w:val="13D93591"/>
    <w:rsid w:val="13DD4D81"/>
    <w:rsid w:val="13E1712C"/>
    <w:rsid w:val="13E3247B"/>
    <w:rsid w:val="13E659E6"/>
    <w:rsid w:val="13EA0393"/>
    <w:rsid w:val="13EB1568"/>
    <w:rsid w:val="13EE2918"/>
    <w:rsid w:val="13F54C1F"/>
    <w:rsid w:val="13FC1A51"/>
    <w:rsid w:val="13FE1746"/>
    <w:rsid w:val="14030EA9"/>
    <w:rsid w:val="140625E8"/>
    <w:rsid w:val="140910FF"/>
    <w:rsid w:val="140B20C2"/>
    <w:rsid w:val="141002F0"/>
    <w:rsid w:val="141E64BA"/>
    <w:rsid w:val="14201FB9"/>
    <w:rsid w:val="142357E5"/>
    <w:rsid w:val="1429406B"/>
    <w:rsid w:val="142C09E8"/>
    <w:rsid w:val="143255B8"/>
    <w:rsid w:val="1433209A"/>
    <w:rsid w:val="1434081D"/>
    <w:rsid w:val="14341DE7"/>
    <w:rsid w:val="1434315D"/>
    <w:rsid w:val="14363588"/>
    <w:rsid w:val="143736B7"/>
    <w:rsid w:val="14374E85"/>
    <w:rsid w:val="14391B1F"/>
    <w:rsid w:val="143A0137"/>
    <w:rsid w:val="143A3B90"/>
    <w:rsid w:val="143C3170"/>
    <w:rsid w:val="143D0768"/>
    <w:rsid w:val="143F1F6B"/>
    <w:rsid w:val="14413BBF"/>
    <w:rsid w:val="14444D13"/>
    <w:rsid w:val="14470F9F"/>
    <w:rsid w:val="1449494E"/>
    <w:rsid w:val="144B3D30"/>
    <w:rsid w:val="144D6E26"/>
    <w:rsid w:val="144E63B8"/>
    <w:rsid w:val="144F0C0F"/>
    <w:rsid w:val="14575536"/>
    <w:rsid w:val="14576793"/>
    <w:rsid w:val="14593527"/>
    <w:rsid w:val="14594938"/>
    <w:rsid w:val="14594AD0"/>
    <w:rsid w:val="145C0939"/>
    <w:rsid w:val="14640B89"/>
    <w:rsid w:val="14644A5D"/>
    <w:rsid w:val="146A6F23"/>
    <w:rsid w:val="14727769"/>
    <w:rsid w:val="14727D3C"/>
    <w:rsid w:val="1473720F"/>
    <w:rsid w:val="147434CF"/>
    <w:rsid w:val="14757AC3"/>
    <w:rsid w:val="14765533"/>
    <w:rsid w:val="14780291"/>
    <w:rsid w:val="147A1C89"/>
    <w:rsid w:val="147A6223"/>
    <w:rsid w:val="147F1AF2"/>
    <w:rsid w:val="148229EF"/>
    <w:rsid w:val="148502F2"/>
    <w:rsid w:val="148A5020"/>
    <w:rsid w:val="148A73CE"/>
    <w:rsid w:val="148B40B6"/>
    <w:rsid w:val="14923243"/>
    <w:rsid w:val="14930667"/>
    <w:rsid w:val="14952806"/>
    <w:rsid w:val="14961499"/>
    <w:rsid w:val="14985779"/>
    <w:rsid w:val="149C394D"/>
    <w:rsid w:val="149D69BE"/>
    <w:rsid w:val="149F155E"/>
    <w:rsid w:val="14A270B6"/>
    <w:rsid w:val="14A512F2"/>
    <w:rsid w:val="14A77A42"/>
    <w:rsid w:val="14A8467B"/>
    <w:rsid w:val="14AB5494"/>
    <w:rsid w:val="14AE7977"/>
    <w:rsid w:val="14AE7A07"/>
    <w:rsid w:val="14B048E9"/>
    <w:rsid w:val="14B11B58"/>
    <w:rsid w:val="14B76001"/>
    <w:rsid w:val="14B809C2"/>
    <w:rsid w:val="14B80B2A"/>
    <w:rsid w:val="14B97285"/>
    <w:rsid w:val="14BD73AF"/>
    <w:rsid w:val="14BE4813"/>
    <w:rsid w:val="14C126E9"/>
    <w:rsid w:val="14C142BE"/>
    <w:rsid w:val="14C37385"/>
    <w:rsid w:val="14C60C1A"/>
    <w:rsid w:val="14C66ACA"/>
    <w:rsid w:val="14C90CEB"/>
    <w:rsid w:val="14CB4B1A"/>
    <w:rsid w:val="14CD1884"/>
    <w:rsid w:val="14CD2E73"/>
    <w:rsid w:val="14D55B51"/>
    <w:rsid w:val="14D81D01"/>
    <w:rsid w:val="14D82193"/>
    <w:rsid w:val="14D96A8C"/>
    <w:rsid w:val="14DA3941"/>
    <w:rsid w:val="14DB7AB1"/>
    <w:rsid w:val="14DD30AB"/>
    <w:rsid w:val="14E91622"/>
    <w:rsid w:val="14ED0F36"/>
    <w:rsid w:val="14F15AC7"/>
    <w:rsid w:val="14F37292"/>
    <w:rsid w:val="14F70269"/>
    <w:rsid w:val="14F80B4B"/>
    <w:rsid w:val="14F92B03"/>
    <w:rsid w:val="14FB1E83"/>
    <w:rsid w:val="14FC7370"/>
    <w:rsid w:val="14FC7F74"/>
    <w:rsid w:val="14FD1169"/>
    <w:rsid w:val="15036FA7"/>
    <w:rsid w:val="15042AB5"/>
    <w:rsid w:val="150436E6"/>
    <w:rsid w:val="1507372A"/>
    <w:rsid w:val="15075B03"/>
    <w:rsid w:val="15085A6F"/>
    <w:rsid w:val="15091442"/>
    <w:rsid w:val="150A508E"/>
    <w:rsid w:val="150B5E97"/>
    <w:rsid w:val="15123572"/>
    <w:rsid w:val="15131548"/>
    <w:rsid w:val="15142870"/>
    <w:rsid w:val="151566AA"/>
    <w:rsid w:val="151928C3"/>
    <w:rsid w:val="151B4CE6"/>
    <w:rsid w:val="152A3E89"/>
    <w:rsid w:val="152D7179"/>
    <w:rsid w:val="152D79F9"/>
    <w:rsid w:val="152F021E"/>
    <w:rsid w:val="15373E63"/>
    <w:rsid w:val="153A370D"/>
    <w:rsid w:val="153C2EBC"/>
    <w:rsid w:val="153D528E"/>
    <w:rsid w:val="154153DC"/>
    <w:rsid w:val="15417807"/>
    <w:rsid w:val="15491130"/>
    <w:rsid w:val="154A73E8"/>
    <w:rsid w:val="154B6842"/>
    <w:rsid w:val="154F4007"/>
    <w:rsid w:val="15512143"/>
    <w:rsid w:val="15522CC4"/>
    <w:rsid w:val="155355C5"/>
    <w:rsid w:val="15540328"/>
    <w:rsid w:val="1554526A"/>
    <w:rsid w:val="15562054"/>
    <w:rsid w:val="155A68DB"/>
    <w:rsid w:val="155C2F98"/>
    <w:rsid w:val="156123C5"/>
    <w:rsid w:val="15632EA5"/>
    <w:rsid w:val="15647F31"/>
    <w:rsid w:val="15683E99"/>
    <w:rsid w:val="156D37BE"/>
    <w:rsid w:val="15740827"/>
    <w:rsid w:val="157669A1"/>
    <w:rsid w:val="1578227A"/>
    <w:rsid w:val="157D5EBB"/>
    <w:rsid w:val="157E465F"/>
    <w:rsid w:val="1582689D"/>
    <w:rsid w:val="15830034"/>
    <w:rsid w:val="15886A3D"/>
    <w:rsid w:val="158F3A85"/>
    <w:rsid w:val="15973FFD"/>
    <w:rsid w:val="159E5DCE"/>
    <w:rsid w:val="15A16226"/>
    <w:rsid w:val="15A4347E"/>
    <w:rsid w:val="15A46E49"/>
    <w:rsid w:val="15A51DC7"/>
    <w:rsid w:val="15A61C79"/>
    <w:rsid w:val="15A7687D"/>
    <w:rsid w:val="15A82749"/>
    <w:rsid w:val="15A83BA0"/>
    <w:rsid w:val="15AC2A20"/>
    <w:rsid w:val="15AD787A"/>
    <w:rsid w:val="15AE41C6"/>
    <w:rsid w:val="15B1080D"/>
    <w:rsid w:val="15B278C5"/>
    <w:rsid w:val="15B766B4"/>
    <w:rsid w:val="15B86F54"/>
    <w:rsid w:val="15B9076B"/>
    <w:rsid w:val="15BD0ACC"/>
    <w:rsid w:val="15BD14F8"/>
    <w:rsid w:val="15BD76D4"/>
    <w:rsid w:val="15C12D5E"/>
    <w:rsid w:val="15C1592E"/>
    <w:rsid w:val="15C2569B"/>
    <w:rsid w:val="15C579EF"/>
    <w:rsid w:val="15C62778"/>
    <w:rsid w:val="15C75A73"/>
    <w:rsid w:val="15C814F6"/>
    <w:rsid w:val="15CB3D8F"/>
    <w:rsid w:val="15D0201D"/>
    <w:rsid w:val="15D2559E"/>
    <w:rsid w:val="15D25A51"/>
    <w:rsid w:val="15D3743D"/>
    <w:rsid w:val="15D80074"/>
    <w:rsid w:val="15DB255D"/>
    <w:rsid w:val="15DF50F4"/>
    <w:rsid w:val="15E14AFE"/>
    <w:rsid w:val="15E66962"/>
    <w:rsid w:val="15EC662C"/>
    <w:rsid w:val="15F05595"/>
    <w:rsid w:val="15F50271"/>
    <w:rsid w:val="15F61D1E"/>
    <w:rsid w:val="15F93FD6"/>
    <w:rsid w:val="15FA5D31"/>
    <w:rsid w:val="15FA7428"/>
    <w:rsid w:val="15FB30C8"/>
    <w:rsid w:val="15FC3A69"/>
    <w:rsid w:val="15FD5C1E"/>
    <w:rsid w:val="15FE0577"/>
    <w:rsid w:val="16021947"/>
    <w:rsid w:val="16055654"/>
    <w:rsid w:val="16055774"/>
    <w:rsid w:val="160A07D1"/>
    <w:rsid w:val="160B4CA5"/>
    <w:rsid w:val="160B7BC5"/>
    <w:rsid w:val="160C6DCA"/>
    <w:rsid w:val="160D5AC8"/>
    <w:rsid w:val="160E750D"/>
    <w:rsid w:val="16107706"/>
    <w:rsid w:val="16111504"/>
    <w:rsid w:val="161444F8"/>
    <w:rsid w:val="16155A1D"/>
    <w:rsid w:val="1617747E"/>
    <w:rsid w:val="161A0F4F"/>
    <w:rsid w:val="161A36AD"/>
    <w:rsid w:val="1622479D"/>
    <w:rsid w:val="162251EE"/>
    <w:rsid w:val="16225E36"/>
    <w:rsid w:val="162313BE"/>
    <w:rsid w:val="16237C2F"/>
    <w:rsid w:val="1624370F"/>
    <w:rsid w:val="16270754"/>
    <w:rsid w:val="162755B2"/>
    <w:rsid w:val="1628131B"/>
    <w:rsid w:val="162A3DEB"/>
    <w:rsid w:val="162C13EC"/>
    <w:rsid w:val="162E6B6D"/>
    <w:rsid w:val="163055D4"/>
    <w:rsid w:val="163702A1"/>
    <w:rsid w:val="16370D19"/>
    <w:rsid w:val="16377241"/>
    <w:rsid w:val="16385F88"/>
    <w:rsid w:val="163C2986"/>
    <w:rsid w:val="164062A1"/>
    <w:rsid w:val="16466F61"/>
    <w:rsid w:val="16472EB7"/>
    <w:rsid w:val="16485708"/>
    <w:rsid w:val="16487F22"/>
    <w:rsid w:val="164A12AD"/>
    <w:rsid w:val="164A2013"/>
    <w:rsid w:val="164B6946"/>
    <w:rsid w:val="16504682"/>
    <w:rsid w:val="16507B6B"/>
    <w:rsid w:val="16527D74"/>
    <w:rsid w:val="16572930"/>
    <w:rsid w:val="165816AB"/>
    <w:rsid w:val="165A0720"/>
    <w:rsid w:val="165C3160"/>
    <w:rsid w:val="16602A42"/>
    <w:rsid w:val="16603965"/>
    <w:rsid w:val="16615EBE"/>
    <w:rsid w:val="1664215B"/>
    <w:rsid w:val="16651F7F"/>
    <w:rsid w:val="16676B09"/>
    <w:rsid w:val="167030BE"/>
    <w:rsid w:val="16757B18"/>
    <w:rsid w:val="167D4483"/>
    <w:rsid w:val="167E7AC8"/>
    <w:rsid w:val="167F1789"/>
    <w:rsid w:val="1681114D"/>
    <w:rsid w:val="16872254"/>
    <w:rsid w:val="168775CB"/>
    <w:rsid w:val="16890A8F"/>
    <w:rsid w:val="16894852"/>
    <w:rsid w:val="168A2BFB"/>
    <w:rsid w:val="168A76B3"/>
    <w:rsid w:val="168D7C36"/>
    <w:rsid w:val="168E04FC"/>
    <w:rsid w:val="168E6513"/>
    <w:rsid w:val="16940EA8"/>
    <w:rsid w:val="16977CDB"/>
    <w:rsid w:val="16996941"/>
    <w:rsid w:val="169A532F"/>
    <w:rsid w:val="169B7153"/>
    <w:rsid w:val="169C15BB"/>
    <w:rsid w:val="16A402FC"/>
    <w:rsid w:val="16A5219C"/>
    <w:rsid w:val="16A92ED8"/>
    <w:rsid w:val="16AB7E7E"/>
    <w:rsid w:val="16AD392F"/>
    <w:rsid w:val="16AF21B9"/>
    <w:rsid w:val="16B31E52"/>
    <w:rsid w:val="16B37CA1"/>
    <w:rsid w:val="16B503A5"/>
    <w:rsid w:val="16B80751"/>
    <w:rsid w:val="16B90E1F"/>
    <w:rsid w:val="16B9673B"/>
    <w:rsid w:val="16BB12FF"/>
    <w:rsid w:val="16C14498"/>
    <w:rsid w:val="16C1738B"/>
    <w:rsid w:val="16C217ED"/>
    <w:rsid w:val="16C350F2"/>
    <w:rsid w:val="16C419BD"/>
    <w:rsid w:val="16C54B9F"/>
    <w:rsid w:val="16C54E3B"/>
    <w:rsid w:val="16C64B67"/>
    <w:rsid w:val="16C748E5"/>
    <w:rsid w:val="16C84CF0"/>
    <w:rsid w:val="16CF4C7F"/>
    <w:rsid w:val="16CF7C9D"/>
    <w:rsid w:val="16D81578"/>
    <w:rsid w:val="16DB4BA5"/>
    <w:rsid w:val="16DC0459"/>
    <w:rsid w:val="16E00817"/>
    <w:rsid w:val="16E2268E"/>
    <w:rsid w:val="16E442D3"/>
    <w:rsid w:val="16E54824"/>
    <w:rsid w:val="16E54EEA"/>
    <w:rsid w:val="16E96A6A"/>
    <w:rsid w:val="16ED3EDC"/>
    <w:rsid w:val="16F10DF3"/>
    <w:rsid w:val="16F12037"/>
    <w:rsid w:val="16F21816"/>
    <w:rsid w:val="16F343F8"/>
    <w:rsid w:val="16F6322C"/>
    <w:rsid w:val="16F7609D"/>
    <w:rsid w:val="16F82ADB"/>
    <w:rsid w:val="16F84F08"/>
    <w:rsid w:val="16FC5D6E"/>
    <w:rsid w:val="16FD0CA0"/>
    <w:rsid w:val="16FE1189"/>
    <w:rsid w:val="1700067F"/>
    <w:rsid w:val="170556E8"/>
    <w:rsid w:val="17066A66"/>
    <w:rsid w:val="170810A8"/>
    <w:rsid w:val="170D7E34"/>
    <w:rsid w:val="170F4F35"/>
    <w:rsid w:val="17104E54"/>
    <w:rsid w:val="1715691D"/>
    <w:rsid w:val="1717576E"/>
    <w:rsid w:val="17185D51"/>
    <w:rsid w:val="17193CAD"/>
    <w:rsid w:val="1719744C"/>
    <w:rsid w:val="171D09A3"/>
    <w:rsid w:val="171D0FEA"/>
    <w:rsid w:val="171D1907"/>
    <w:rsid w:val="171D1D5F"/>
    <w:rsid w:val="171F259F"/>
    <w:rsid w:val="17214B84"/>
    <w:rsid w:val="17243E42"/>
    <w:rsid w:val="17246046"/>
    <w:rsid w:val="17252504"/>
    <w:rsid w:val="17254DF5"/>
    <w:rsid w:val="17267F6E"/>
    <w:rsid w:val="17284B45"/>
    <w:rsid w:val="17287DA0"/>
    <w:rsid w:val="172949B5"/>
    <w:rsid w:val="172B6D73"/>
    <w:rsid w:val="172C0A8D"/>
    <w:rsid w:val="172D7193"/>
    <w:rsid w:val="1731083E"/>
    <w:rsid w:val="173545A5"/>
    <w:rsid w:val="173560F1"/>
    <w:rsid w:val="173A576D"/>
    <w:rsid w:val="173B028C"/>
    <w:rsid w:val="173D653A"/>
    <w:rsid w:val="17420269"/>
    <w:rsid w:val="17430CC3"/>
    <w:rsid w:val="17451AEF"/>
    <w:rsid w:val="17481A53"/>
    <w:rsid w:val="174D1F32"/>
    <w:rsid w:val="174E11C4"/>
    <w:rsid w:val="174F7E80"/>
    <w:rsid w:val="1752297D"/>
    <w:rsid w:val="1753687F"/>
    <w:rsid w:val="17543099"/>
    <w:rsid w:val="17556F31"/>
    <w:rsid w:val="17557D43"/>
    <w:rsid w:val="17597726"/>
    <w:rsid w:val="175C5075"/>
    <w:rsid w:val="175F2790"/>
    <w:rsid w:val="17600E74"/>
    <w:rsid w:val="17631C50"/>
    <w:rsid w:val="17633A49"/>
    <w:rsid w:val="17687492"/>
    <w:rsid w:val="176B16C1"/>
    <w:rsid w:val="176B49DD"/>
    <w:rsid w:val="176B4EAA"/>
    <w:rsid w:val="17710D7C"/>
    <w:rsid w:val="17724789"/>
    <w:rsid w:val="17724E28"/>
    <w:rsid w:val="17745B6C"/>
    <w:rsid w:val="1779122A"/>
    <w:rsid w:val="17791A40"/>
    <w:rsid w:val="177B2579"/>
    <w:rsid w:val="177D48F7"/>
    <w:rsid w:val="177F3E27"/>
    <w:rsid w:val="178367A8"/>
    <w:rsid w:val="17837F78"/>
    <w:rsid w:val="178575A8"/>
    <w:rsid w:val="17860FF9"/>
    <w:rsid w:val="17867545"/>
    <w:rsid w:val="17897180"/>
    <w:rsid w:val="178A441F"/>
    <w:rsid w:val="178C5549"/>
    <w:rsid w:val="178E2CC9"/>
    <w:rsid w:val="17932CEC"/>
    <w:rsid w:val="17966B2E"/>
    <w:rsid w:val="1798308D"/>
    <w:rsid w:val="17A06CB5"/>
    <w:rsid w:val="17A22D6C"/>
    <w:rsid w:val="17A51521"/>
    <w:rsid w:val="17A6478E"/>
    <w:rsid w:val="17A80DF8"/>
    <w:rsid w:val="17A86971"/>
    <w:rsid w:val="17A86F8C"/>
    <w:rsid w:val="17A92671"/>
    <w:rsid w:val="17AD247B"/>
    <w:rsid w:val="17AF1410"/>
    <w:rsid w:val="17B047B5"/>
    <w:rsid w:val="17B34385"/>
    <w:rsid w:val="17B663B7"/>
    <w:rsid w:val="17B859A1"/>
    <w:rsid w:val="17B9295C"/>
    <w:rsid w:val="17BB34E6"/>
    <w:rsid w:val="17BE0998"/>
    <w:rsid w:val="17C06E2F"/>
    <w:rsid w:val="17C42172"/>
    <w:rsid w:val="17C52C7E"/>
    <w:rsid w:val="17C6288A"/>
    <w:rsid w:val="17C95C67"/>
    <w:rsid w:val="17D155B0"/>
    <w:rsid w:val="17D41A3D"/>
    <w:rsid w:val="17D47787"/>
    <w:rsid w:val="17D51F67"/>
    <w:rsid w:val="17DD3084"/>
    <w:rsid w:val="17DE0C3C"/>
    <w:rsid w:val="17DF3AF1"/>
    <w:rsid w:val="17E35C40"/>
    <w:rsid w:val="17E861A2"/>
    <w:rsid w:val="17EA1343"/>
    <w:rsid w:val="17EF4150"/>
    <w:rsid w:val="17EF76BD"/>
    <w:rsid w:val="17F821D7"/>
    <w:rsid w:val="180239C7"/>
    <w:rsid w:val="180C103B"/>
    <w:rsid w:val="18102427"/>
    <w:rsid w:val="181143AD"/>
    <w:rsid w:val="181251DB"/>
    <w:rsid w:val="18136631"/>
    <w:rsid w:val="18191A9F"/>
    <w:rsid w:val="18197E0A"/>
    <w:rsid w:val="181B7A60"/>
    <w:rsid w:val="181E737B"/>
    <w:rsid w:val="18241909"/>
    <w:rsid w:val="18242F1D"/>
    <w:rsid w:val="18243183"/>
    <w:rsid w:val="18243E69"/>
    <w:rsid w:val="182674A2"/>
    <w:rsid w:val="182710B6"/>
    <w:rsid w:val="18297F80"/>
    <w:rsid w:val="182C5F75"/>
    <w:rsid w:val="182D023E"/>
    <w:rsid w:val="18387CFC"/>
    <w:rsid w:val="183D1BA0"/>
    <w:rsid w:val="183F7A23"/>
    <w:rsid w:val="18405A67"/>
    <w:rsid w:val="18416853"/>
    <w:rsid w:val="184360A2"/>
    <w:rsid w:val="18451E9A"/>
    <w:rsid w:val="18453FB4"/>
    <w:rsid w:val="184672B7"/>
    <w:rsid w:val="184A46BB"/>
    <w:rsid w:val="184D749C"/>
    <w:rsid w:val="184F4571"/>
    <w:rsid w:val="1853682D"/>
    <w:rsid w:val="1859502A"/>
    <w:rsid w:val="185A062E"/>
    <w:rsid w:val="185C49B4"/>
    <w:rsid w:val="18620380"/>
    <w:rsid w:val="18641E60"/>
    <w:rsid w:val="18693C8A"/>
    <w:rsid w:val="186B0726"/>
    <w:rsid w:val="186B6807"/>
    <w:rsid w:val="18746C1B"/>
    <w:rsid w:val="187B7BD3"/>
    <w:rsid w:val="187C4781"/>
    <w:rsid w:val="187D2A18"/>
    <w:rsid w:val="188064E1"/>
    <w:rsid w:val="188246F3"/>
    <w:rsid w:val="188E0DBB"/>
    <w:rsid w:val="1893503C"/>
    <w:rsid w:val="18955732"/>
    <w:rsid w:val="18960849"/>
    <w:rsid w:val="18977AEF"/>
    <w:rsid w:val="18981D8D"/>
    <w:rsid w:val="189A4F63"/>
    <w:rsid w:val="189B3D22"/>
    <w:rsid w:val="189E1095"/>
    <w:rsid w:val="189E1169"/>
    <w:rsid w:val="189F5DD9"/>
    <w:rsid w:val="18A35CBA"/>
    <w:rsid w:val="18A45B25"/>
    <w:rsid w:val="18AF1AFC"/>
    <w:rsid w:val="18B42182"/>
    <w:rsid w:val="18B577FE"/>
    <w:rsid w:val="18B60CEE"/>
    <w:rsid w:val="18B64634"/>
    <w:rsid w:val="18BA4A43"/>
    <w:rsid w:val="18BE07DD"/>
    <w:rsid w:val="18C14595"/>
    <w:rsid w:val="18CB22D1"/>
    <w:rsid w:val="18D341E6"/>
    <w:rsid w:val="18D46814"/>
    <w:rsid w:val="18D61149"/>
    <w:rsid w:val="18D91C01"/>
    <w:rsid w:val="18D928AC"/>
    <w:rsid w:val="18D960A6"/>
    <w:rsid w:val="18DC3222"/>
    <w:rsid w:val="18DC5B03"/>
    <w:rsid w:val="18DF3D94"/>
    <w:rsid w:val="18E11CFE"/>
    <w:rsid w:val="18E47BFD"/>
    <w:rsid w:val="18E83F72"/>
    <w:rsid w:val="18EB2B37"/>
    <w:rsid w:val="18EC41F3"/>
    <w:rsid w:val="18F3347D"/>
    <w:rsid w:val="18F74B0F"/>
    <w:rsid w:val="18FA7E99"/>
    <w:rsid w:val="18FE471D"/>
    <w:rsid w:val="190256A3"/>
    <w:rsid w:val="19080343"/>
    <w:rsid w:val="190910A6"/>
    <w:rsid w:val="190E156C"/>
    <w:rsid w:val="190E15EE"/>
    <w:rsid w:val="191311A6"/>
    <w:rsid w:val="19134DB7"/>
    <w:rsid w:val="19150F18"/>
    <w:rsid w:val="19170F93"/>
    <w:rsid w:val="191A4988"/>
    <w:rsid w:val="191C052D"/>
    <w:rsid w:val="191E0C5E"/>
    <w:rsid w:val="191E6894"/>
    <w:rsid w:val="191F75AC"/>
    <w:rsid w:val="1923018C"/>
    <w:rsid w:val="192515A3"/>
    <w:rsid w:val="192D15B6"/>
    <w:rsid w:val="192F0B45"/>
    <w:rsid w:val="193310DB"/>
    <w:rsid w:val="19334CA9"/>
    <w:rsid w:val="19352921"/>
    <w:rsid w:val="19380628"/>
    <w:rsid w:val="193B466C"/>
    <w:rsid w:val="193C2BAE"/>
    <w:rsid w:val="19403974"/>
    <w:rsid w:val="19427D4F"/>
    <w:rsid w:val="19440CFD"/>
    <w:rsid w:val="1945301C"/>
    <w:rsid w:val="19466479"/>
    <w:rsid w:val="194709AB"/>
    <w:rsid w:val="194864F6"/>
    <w:rsid w:val="194B0DEB"/>
    <w:rsid w:val="194C0039"/>
    <w:rsid w:val="19504540"/>
    <w:rsid w:val="19526AFB"/>
    <w:rsid w:val="195430E5"/>
    <w:rsid w:val="195530EB"/>
    <w:rsid w:val="19560CAA"/>
    <w:rsid w:val="195771FD"/>
    <w:rsid w:val="195949A9"/>
    <w:rsid w:val="195E3FE5"/>
    <w:rsid w:val="1962678B"/>
    <w:rsid w:val="19654A1C"/>
    <w:rsid w:val="196B33B9"/>
    <w:rsid w:val="196C3EE8"/>
    <w:rsid w:val="196D4764"/>
    <w:rsid w:val="19702D1A"/>
    <w:rsid w:val="19704410"/>
    <w:rsid w:val="19726405"/>
    <w:rsid w:val="19727DA0"/>
    <w:rsid w:val="197815E6"/>
    <w:rsid w:val="19784118"/>
    <w:rsid w:val="197A7BC6"/>
    <w:rsid w:val="198B41A6"/>
    <w:rsid w:val="198C17B0"/>
    <w:rsid w:val="198C44FE"/>
    <w:rsid w:val="198E1A36"/>
    <w:rsid w:val="198F389F"/>
    <w:rsid w:val="198F7F6F"/>
    <w:rsid w:val="19912D93"/>
    <w:rsid w:val="199C66F9"/>
    <w:rsid w:val="19A044D1"/>
    <w:rsid w:val="19A15386"/>
    <w:rsid w:val="19A157FA"/>
    <w:rsid w:val="19A26805"/>
    <w:rsid w:val="19AB118D"/>
    <w:rsid w:val="19AF2E10"/>
    <w:rsid w:val="19B42753"/>
    <w:rsid w:val="19B81361"/>
    <w:rsid w:val="19BA6074"/>
    <w:rsid w:val="19BC204E"/>
    <w:rsid w:val="19BC43CC"/>
    <w:rsid w:val="19BC4773"/>
    <w:rsid w:val="19C039AC"/>
    <w:rsid w:val="19C20717"/>
    <w:rsid w:val="19C41CA8"/>
    <w:rsid w:val="19C46976"/>
    <w:rsid w:val="19C50257"/>
    <w:rsid w:val="19C93FC6"/>
    <w:rsid w:val="19D65F51"/>
    <w:rsid w:val="19D918EA"/>
    <w:rsid w:val="19D94C70"/>
    <w:rsid w:val="19D9560B"/>
    <w:rsid w:val="19DA284E"/>
    <w:rsid w:val="19DD6B64"/>
    <w:rsid w:val="19E12251"/>
    <w:rsid w:val="19E264D9"/>
    <w:rsid w:val="19E26EE7"/>
    <w:rsid w:val="19E36BC7"/>
    <w:rsid w:val="19E42677"/>
    <w:rsid w:val="19E934A9"/>
    <w:rsid w:val="19F21144"/>
    <w:rsid w:val="19F51EDC"/>
    <w:rsid w:val="19F8061E"/>
    <w:rsid w:val="19F81216"/>
    <w:rsid w:val="19FA02F5"/>
    <w:rsid w:val="19FC4ACD"/>
    <w:rsid w:val="1A024E3F"/>
    <w:rsid w:val="1A0809BC"/>
    <w:rsid w:val="1A081752"/>
    <w:rsid w:val="1A095216"/>
    <w:rsid w:val="1A0C35D9"/>
    <w:rsid w:val="1A0C416F"/>
    <w:rsid w:val="1A106397"/>
    <w:rsid w:val="1A156221"/>
    <w:rsid w:val="1A1818DF"/>
    <w:rsid w:val="1A186326"/>
    <w:rsid w:val="1A2128AD"/>
    <w:rsid w:val="1A264973"/>
    <w:rsid w:val="1A267177"/>
    <w:rsid w:val="1A291215"/>
    <w:rsid w:val="1A2A04AB"/>
    <w:rsid w:val="1A2A2F22"/>
    <w:rsid w:val="1A2A604C"/>
    <w:rsid w:val="1A2D13E9"/>
    <w:rsid w:val="1A2D7155"/>
    <w:rsid w:val="1A2E0BA9"/>
    <w:rsid w:val="1A30191A"/>
    <w:rsid w:val="1A3065AD"/>
    <w:rsid w:val="1A3242BB"/>
    <w:rsid w:val="1A330660"/>
    <w:rsid w:val="1A3324CB"/>
    <w:rsid w:val="1A390B33"/>
    <w:rsid w:val="1A3B2B00"/>
    <w:rsid w:val="1A3D4A10"/>
    <w:rsid w:val="1A3E6FCD"/>
    <w:rsid w:val="1A430D94"/>
    <w:rsid w:val="1A431C11"/>
    <w:rsid w:val="1A43356D"/>
    <w:rsid w:val="1A43566D"/>
    <w:rsid w:val="1A45163D"/>
    <w:rsid w:val="1A462076"/>
    <w:rsid w:val="1A477A8C"/>
    <w:rsid w:val="1A481D53"/>
    <w:rsid w:val="1A4830AA"/>
    <w:rsid w:val="1A4B2AB9"/>
    <w:rsid w:val="1A4B5244"/>
    <w:rsid w:val="1A4F742F"/>
    <w:rsid w:val="1A515C48"/>
    <w:rsid w:val="1A5373C6"/>
    <w:rsid w:val="1A543DA6"/>
    <w:rsid w:val="1A55105A"/>
    <w:rsid w:val="1A555BBE"/>
    <w:rsid w:val="1A591E30"/>
    <w:rsid w:val="1A5F7FC6"/>
    <w:rsid w:val="1A617B2A"/>
    <w:rsid w:val="1A63215C"/>
    <w:rsid w:val="1A663214"/>
    <w:rsid w:val="1A682F1B"/>
    <w:rsid w:val="1A695A88"/>
    <w:rsid w:val="1A6B2D3D"/>
    <w:rsid w:val="1A6D583D"/>
    <w:rsid w:val="1A6D66E9"/>
    <w:rsid w:val="1A6F28C9"/>
    <w:rsid w:val="1A700101"/>
    <w:rsid w:val="1A722FBE"/>
    <w:rsid w:val="1A754C52"/>
    <w:rsid w:val="1A7804DA"/>
    <w:rsid w:val="1A7C0A13"/>
    <w:rsid w:val="1A7C39C4"/>
    <w:rsid w:val="1A7D5870"/>
    <w:rsid w:val="1A835016"/>
    <w:rsid w:val="1A842ED3"/>
    <w:rsid w:val="1A8449C0"/>
    <w:rsid w:val="1A8821C5"/>
    <w:rsid w:val="1A8A5BDF"/>
    <w:rsid w:val="1A8C0115"/>
    <w:rsid w:val="1A91359F"/>
    <w:rsid w:val="1A94171E"/>
    <w:rsid w:val="1A986EDD"/>
    <w:rsid w:val="1A9D42CF"/>
    <w:rsid w:val="1A9E3FDB"/>
    <w:rsid w:val="1A9F40EE"/>
    <w:rsid w:val="1AA1652D"/>
    <w:rsid w:val="1AA202C3"/>
    <w:rsid w:val="1AA22D86"/>
    <w:rsid w:val="1AA513B7"/>
    <w:rsid w:val="1AA54106"/>
    <w:rsid w:val="1AA60320"/>
    <w:rsid w:val="1AA6754C"/>
    <w:rsid w:val="1AA8496C"/>
    <w:rsid w:val="1AA90465"/>
    <w:rsid w:val="1AAA43DD"/>
    <w:rsid w:val="1AAB0885"/>
    <w:rsid w:val="1AAE6B13"/>
    <w:rsid w:val="1AAF62F2"/>
    <w:rsid w:val="1AB84222"/>
    <w:rsid w:val="1ABA7386"/>
    <w:rsid w:val="1AC333A0"/>
    <w:rsid w:val="1AC5598D"/>
    <w:rsid w:val="1AC56AE4"/>
    <w:rsid w:val="1ACA2864"/>
    <w:rsid w:val="1ACD74DE"/>
    <w:rsid w:val="1ACE0409"/>
    <w:rsid w:val="1AD0084F"/>
    <w:rsid w:val="1AD226DF"/>
    <w:rsid w:val="1AD262C2"/>
    <w:rsid w:val="1AD42B5A"/>
    <w:rsid w:val="1AD602BB"/>
    <w:rsid w:val="1AD92EDC"/>
    <w:rsid w:val="1ADA21D8"/>
    <w:rsid w:val="1ADA29E4"/>
    <w:rsid w:val="1ADD57AF"/>
    <w:rsid w:val="1AE16EFB"/>
    <w:rsid w:val="1AE419A7"/>
    <w:rsid w:val="1AE44ED5"/>
    <w:rsid w:val="1AE97C2E"/>
    <w:rsid w:val="1AEC61D5"/>
    <w:rsid w:val="1AEE01F3"/>
    <w:rsid w:val="1AF02294"/>
    <w:rsid w:val="1AF11627"/>
    <w:rsid w:val="1AF61DB1"/>
    <w:rsid w:val="1AF92C5A"/>
    <w:rsid w:val="1AFB7114"/>
    <w:rsid w:val="1AFE4D19"/>
    <w:rsid w:val="1AFF1766"/>
    <w:rsid w:val="1B021DC8"/>
    <w:rsid w:val="1B0822B7"/>
    <w:rsid w:val="1B0902E6"/>
    <w:rsid w:val="1B09507B"/>
    <w:rsid w:val="1B0A5DD8"/>
    <w:rsid w:val="1B0B2342"/>
    <w:rsid w:val="1B0C2118"/>
    <w:rsid w:val="1B11777B"/>
    <w:rsid w:val="1B166436"/>
    <w:rsid w:val="1B194E35"/>
    <w:rsid w:val="1B1B764F"/>
    <w:rsid w:val="1B1D506B"/>
    <w:rsid w:val="1B1F39DC"/>
    <w:rsid w:val="1B211DD1"/>
    <w:rsid w:val="1B221D3A"/>
    <w:rsid w:val="1B23046F"/>
    <w:rsid w:val="1B235554"/>
    <w:rsid w:val="1B2731D3"/>
    <w:rsid w:val="1B281136"/>
    <w:rsid w:val="1B28196C"/>
    <w:rsid w:val="1B282569"/>
    <w:rsid w:val="1B296B6B"/>
    <w:rsid w:val="1B300898"/>
    <w:rsid w:val="1B30424B"/>
    <w:rsid w:val="1B336BB3"/>
    <w:rsid w:val="1B3672DB"/>
    <w:rsid w:val="1B37723C"/>
    <w:rsid w:val="1B3841EA"/>
    <w:rsid w:val="1B3856AB"/>
    <w:rsid w:val="1B391D81"/>
    <w:rsid w:val="1B4044BB"/>
    <w:rsid w:val="1B46017B"/>
    <w:rsid w:val="1B4B7753"/>
    <w:rsid w:val="1B4E7444"/>
    <w:rsid w:val="1B5174FF"/>
    <w:rsid w:val="1B523B68"/>
    <w:rsid w:val="1B5771F9"/>
    <w:rsid w:val="1B58295A"/>
    <w:rsid w:val="1B594709"/>
    <w:rsid w:val="1B5A0389"/>
    <w:rsid w:val="1B5B7ED3"/>
    <w:rsid w:val="1B5C3070"/>
    <w:rsid w:val="1B5D47E9"/>
    <w:rsid w:val="1B5E2092"/>
    <w:rsid w:val="1B5F59A4"/>
    <w:rsid w:val="1B6059CB"/>
    <w:rsid w:val="1B614C11"/>
    <w:rsid w:val="1B6172FC"/>
    <w:rsid w:val="1B632F7A"/>
    <w:rsid w:val="1B6634E1"/>
    <w:rsid w:val="1B6D09E9"/>
    <w:rsid w:val="1B6D1C69"/>
    <w:rsid w:val="1B6E1828"/>
    <w:rsid w:val="1B710388"/>
    <w:rsid w:val="1B71178F"/>
    <w:rsid w:val="1B7159C7"/>
    <w:rsid w:val="1B75511A"/>
    <w:rsid w:val="1B7C03AC"/>
    <w:rsid w:val="1B7D6FB4"/>
    <w:rsid w:val="1B7D771C"/>
    <w:rsid w:val="1B805C8C"/>
    <w:rsid w:val="1B843830"/>
    <w:rsid w:val="1B86197F"/>
    <w:rsid w:val="1B8640B7"/>
    <w:rsid w:val="1B872ED9"/>
    <w:rsid w:val="1B8A0915"/>
    <w:rsid w:val="1B8B5D43"/>
    <w:rsid w:val="1B8D6B14"/>
    <w:rsid w:val="1B8D6EE6"/>
    <w:rsid w:val="1B8F2A60"/>
    <w:rsid w:val="1B8F46D8"/>
    <w:rsid w:val="1B8F63E1"/>
    <w:rsid w:val="1B92105D"/>
    <w:rsid w:val="1B9608E2"/>
    <w:rsid w:val="1B9700D6"/>
    <w:rsid w:val="1B9B2E4C"/>
    <w:rsid w:val="1BA01EDA"/>
    <w:rsid w:val="1BA06A44"/>
    <w:rsid w:val="1BA2389C"/>
    <w:rsid w:val="1BA3382A"/>
    <w:rsid w:val="1BA675C3"/>
    <w:rsid w:val="1BA90D70"/>
    <w:rsid w:val="1BAA0CE9"/>
    <w:rsid w:val="1BAF4752"/>
    <w:rsid w:val="1BAF724A"/>
    <w:rsid w:val="1BB07C2F"/>
    <w:rsid w:val="1BB37847"/>
    <w:rsid w:val="1BB37DC6"/>
    <w:rsid w:val="1BB53620"/>
    <w:rsid w:val="1BBA5CEB"/>
    <w:rsid w:val="1BBD5B69"/>
    <w:rsid w:val="1BBF5CBD"/>
    <w:rsid w:val="1BC500E6"/>
    <w:rsid w:val="1BC53331"/>
    <w:rsid w:val="1BC568E7"/>
    <w:rsid w:val="1BC726E4"/>
    <w:rsid w:val="1BC85B6B"/>
    <w:rsid w:val="1BC87D62"/>
    <w:rsid w:val="1BCB1996"/>
    <w:rsid w:val="1BCF48CF"/>
    <w:rsid w:val="1BD13DC5"/>
    <w:rsid w:val="1BD51A97"/>
    <w:rsid w:val="1BD51DFA"/>
    <w:rsid w:val="1BD663B6"/>
    <w:rsid w:val="1BD9788C"/>
    <w:rsid w:val="1BDA53EB"/>
    <w:rsid w:val="1BDB4C7E"/>
    <w:rsid w:val="1BDB4FE7"/>
    <w:rsid w:val="1BDE3731"/>
    <w:rsid w:val="1BE1276C"/>
    <w:rsid w:val="1BE6085C"/>
    <w:rsid w:val="1BEC32A0"/>
    <w:rsid w:val="1BF14857"/>
    <w:rsid w:val="1BF41AA5"/>
    <w:rsid w:val="1BF43949"/>
    <w:rsid w:val="1BFA3E67"/>
    <w:rsid w:val="1BFE625B"/>
    <w:rsid w:val="1C005E81"/>
    <w:rsid w:val="1C0328F3"/>
    <w:rsid w:val="1C037C38"/>
    <w:rsid w:val="1C066B6D"/>
    <w:rsid w:val="1C1321CA"/>
    <w:rsid w:val="1C15649C"/>
    <w:rsid w:val="1C156BB7"/>
    <w:rsid w:val="1C170CF9"/>
    <w:rsid w:val="1C1A56A6"/>
    <w:rsid w:val="1C1D4D46"/>
    <w:rsid w:val="1C1D5AB4"/>
    <w:rsid w:val="1C1E5D00"/>
    <w:rsid w:val="1C2310A9"/>
    <w:rsid w:val="1C242006"/>
    <w:rsid w:val="1C246458"/>
    <w:rsid w:val="1C26307F"/>
    <w:rsid w:val="1C2711BE"/>
    <w:rsid w:val="1C294811"/>
    <w:rsid w:val="1C333F83"/>
    <w:rsid w:val="1C35452C"/>
    <w:rsid w:val="1C364A21"/>
    <w:rsid w:val="1C3A1AF7"/>
    <w:rsid w:val="1C3B15D7"/>
    <w:rsid w:val="1C3B372A"/>
    <w:rsid w:val="1C3D485D"/>
    <w:rsid w:val="1C3D7325"/>
    <w:rsid w:val="1C3F54AD"/>
    <w:rsid w:val="1C3F7FB1"/>
    <w:rsid w:val="1C40040F"/>
    <w:rsid w:val="1C43438E"/>
    <w:rsid w:val="1C464F3A"/>
    <w:rsid w:val="1C4B3FFA"/>
    <w:rsid w:val="1C4D2DCB"/>
    <w:rsid w:val="1C4D6100"/>
    <w:rsid w:val="1C4E6BC0"/>
    <w:rsid w:val="1C513250"/>
    <w:rsid w:val="1C536A96"/>
    <w:rsid w:val="1C546683"/>
    <w:rsid w:val="1C5921DE"/>
    <w:rsid w:val="1C5F166D"/>
    <w:rsid w:val="1C610D89"/>
    <w:rsid w:val="1C614EC8"/>
    <w:rsid w:val="1C655BDD"/>
    <w:rsid w:val="1C6C312D"/>
    <w:rsid w:val="1C6C3469"/>
    <w:rsid w:val="1C741588"/>
    <w:rsid w:val="1C754655"/>
    <w:rsid w:val="1C75568C"/>
    <w:rsid w:val="1C7A3A2A"/>
    <w:rsid w:val="1C7B5738"/>
    <w:rsid w:val="1C7C72A8"/>
    <w:rsid w:val="1C7E750B"/>
    <w:rsid w:val="1C7F779A"/>
    <w:rsid w:val="1C81080F"/>
    <w:rsid w:val="1C855156"/>
    <w:rsid w:val="1C8C2E17"/>
    <w:rsid w:val="1C901B31"/>
    <w:rsid w:val="1C9140D3"/>
    <w:rsid w:val="1C916640"/>
    <w:rsid w:val="1C934022"/>
    <w:rsid w:val="1C950F08"/>
    <w:rsid w:val="1C955A9E"/>
    <w:rsid w:val="1C9671D3"/>
    <w:rsid w:val="1C971B04"/>
    <w:rsid w:val="1CA0074D"/>
    <w:rsid w:val="1CA13B9D"/>
    <w:rsid w:val="1CA15E97"/>
    <w:rsid w:val="1CA75864"/>
    <w:rsid w:val="1CAB3B32"/>
    <w:rsid w:val="1CAC51CB"/>
    <w:rsid w:val="1CAD3F13"/>
    <w:rsid w:val="1CB7713E"/>
    <w:rsid w:val="1CB81199"/>
    <w:rsid w:val="1CBD39C6"/>
    <w:rsid w:val="1CC30A3A"/>
    <w:rsid w:val="1CC31F2D"/>
    <w:rsid w:val="1CC322F9"/>
    <w:rsid w:val="1CCB2E80"/>
    <w:rsid w:val="1CCB5DB6"/>
    <w:rsid w:val="1CCF181D"/>
    <w:rsid w:val="1CCF73CA"/>
    <w:rsid w:val="1CD3659B"/>
    <w:rsid w:val="1CD65AB5"/>
    <w:rsid w:val="1CD7216D"/>
    <w:rsid w:val="1CD7621C"/>
    <w:rsid w:val="1CD96328"/>
    <w:rsid w:val="1CDA1454"/>
    <w:rsid w:val="1CDB0538"/>
    <w:rsid w:val="1CDB7430"/>
    <w:rsid w:val="1CDD0E85"/>
    <w:rsid w:val="1CE44D0A"/>
    <w:rsid w:val="1CE81AC2"/>
    <w:rsid w:val="1CE84983"/>
    <w:rsid w:val="1CEA3FB9"/>
    <w:rsid w:val="1CED1584"/>
    <w:rsid w:val="1CF15510"/>
    <w:rsid w:val="1CF24893"/>
    <w:rsid w:val="1CF421BD"/>
    <w:rsid w:val="1CFB422A"/>
    <w:rsid w:val="1CFC75FB"/>
    <w:rsid w:val="1CFE4499"/>
    <w:rsid w:val="1CFE723F"/>
    <w:rsid w:val="1D0130FC"/>
    <w:rsid w:val="1D016687"/>
    <w:rsid w:val="1D024A9F"/>
    <w:rsid w:val="1D031705"/>
    <w:rsid w:val="1D031D0D"/>
    <w:rsid w:val="1D054E12"/>
    <w:rsid w:val="1D0550EE"/>
    <w:rsid w:val="1D0817F3"/>
    <w:rsid w:val="1D0D444C"/>
    <w:rsid w:val="1D0F4B2E"/>
    <w:rsid w:val="1D135094"/>
    <w:rsid w:val="1D1A3FAB"/>
    <w:rsid w:val="1D21090F"/>
    <w:rsid w:val="1D212D18"/>
    <w:rsid w:val="1D222682"/>
    <w:rsid w:val="1D236522"/>
    <w:rsid w:val="1D241533"/>
    <w:rsid w:val="1D2448DB"/>
    <w:rsid w:val="1D25027F"/>
    <w:rsid w:val="1D266DCF"/>
    <w:rsid w:val="1D2C1B8F"/>
    <w:rsid w:val="1D2C54A1"/>
    <w:rsid w:val="1D2E716F"/>
    <w:rsid w:val="1D2F53E5"/>
    <w:rsid w:val="1D337EEA"/>
    <w:rsid w:val="1D352227"/>
    <w:rsid w:val="1D361B83"/>
    <w:rsid w:val="1D370008"/>
    <w:rsid w:val="1D383B93"/>
    <w:rsid w:val="1D384A44"/>
    <w:rsid w:val="1D3B3C47"/>
    <w:rsid w:val="1D3D444B"/>
    <w:rsid w:val="1D3D6D41"/>
    <w:rsid w:val="1D435B57"/>
    <w:rsid w:val="1D446267"/>
    <w:rsid w:val="1D4651B2"/>
    <w:rsid w:val="1D4735B0"/>
    <w:rsid w:val="1D48559E"/>
    <w:rsid w:val="1D4C4F13"/>
    <w:rsid w:val="1D4D0848"/>
    <w:rsid w:val="1D4E11F0"/>
    <w:rsid w:val="1D4E2540"/>
    <w:rsid w:val="1D511896"/>
    <w:rsid w:val="1D5470D9"/>
    <w:rsid w:val="1D5C4215"/>
    <w:rsid w:val="1D5F0DC1"/>
    <w:rsid w:val="1D6461EB"/>
    <w:rsid w:val="1D680590"/>
    <w:rsid w:val="1D697A6B"/>
    <w:rsid w:val="1D6A0C0E"/>
    <w:rsid w:val="1D6A186A"/>
    <w:rsid w:val="1D6D0C82"/>
    <w:rsid w:val="1D7032E1"/>
    <w:rsid w:val="1D706B52"/>
    <w:rsid w:val="1D731E6F"/>
    <w:rsid w:val="1D737145"/>
    <w:rsid w:val="1D754E75"/>
    <w:rsid w:val="1D7841CE"/>
    <w:rsid w:val="1D7D6149"/>
    <w:rsid w:val="1D7E07D2"/>
    <w:rsid w:val="1D7E65FC"/>
    <w:rsid w:val="1D7F4A6D"/>
    <w:rsid w:val="1D853335"/>
    <w:rsid w:val="1D8537B7"/>
    <w:rsid w:val="1D8B08C2"/>
    <w:rsid w:val="1D8E030A"/>
    <w:rsid w:val="1D91031C"/>
    <w:rsid w:val="1D952724"/>
    <w:rsid w:val="1D9811C6"/>
    <w:rsid w:val="1D9A4AFE"/>
    <w:rsid w:val="1D9B54C7"/>
    <w:rsid w:val="1D9F1DD9"/>
    <w:rsid w:val="1DA518D2"/>
    <w:rsid w:val="1DA61949"/>
    <w:rsid w:val="1DA833FF"/>
    <w:rsid w:val="1DA94C18"/>
    <w:rsid w:val="1DA953A1"/>
    <w:rsid w:val="1DB1222A"/>
    <w:rsid w:val="1DB1353A"/>
    <w:rsid w:val="1DB21677"/>
    <w:rsid w:val="1DB45806"/>
    <w:rsid w:val="1DB6379B"/>
    <w:rsid w:val="1DB8248F"/>
    <w:rsid w:val="1DC00480"/>
    <w:rsid w:val="1DC30139"/>
    <w:rsid w:val="1DC80C81"/>
    <w:rsid w:val="1DC87002"/>
    <w:rsid w:val="1DC90C8C"/>
    <w:rsid w:val="1DCD6945"/>
    <w:rsid w:val="1DCD6E0C"/>
    <w:rsid w:val="1DCE5B4E"/>
    <w:rsid w:val="1DD00769"/>
    <w:rsid w:val="1DD46836"/>
    <w:rsid w:val="1DD56F75"/>
    <w:rsid w:val="1DD7147F"/>
    <w:rsid w:val="1DE1256C"/>
    <w:rsid w:val="1DE214B1"/>
    <w:rsid w:val="1DE6020B"/>
    <w:rsid w:val="1DE62D69"/>
    <w:rsid w:val="1DE81B2B"/>
    <w:rsid w:val="1DE82CA4"/>
    <w:rsid w:val="1DE83E6E"/>
    <w:rsid w:val="1DEB3B45"/>
    <w:rsid w:val="1DEB44A1"/>
    <w:rsid w:val="1DEB55B7"/>
    <w:rsid w:val="1DEC7DEF"/>
    <w:rsid w:val="1DEE1CB8"/>
    <w:rsid w:val="1DF458F8"/>
    <w:rsid w:val="1DF77F07"/>
    <w:rsid w:val="1DFA6D5F"/>
    <w:rsid w:val="1DFF7A15"/>
    <w:rsid w:val="1E007045"/>
    <w:rsid w:val="1E05535A"/>
    <w:rsid w:val="1E085389"/>
    <w:rsid w:val="1E0C17FA"/>
    <w:rsid w:val="1E0C1C1F"/>
    <w:rsid w:val="1E0D3AF2"/>
    <w:rsid w:val="1E0E1AEF"/>
    <w:rsid w:val="1E0F1B9A"/>
    <w:rsid w:val="1E0F7DF4"/>
    <w:rsid w:val="1E120724"/>
    <w:rsid w:val="1E145FFC"/>
    <w:rsid w:val="1E1858C2"/>
    <w:rsid w:val="1E187A30"/>
    <w:rsid w:val="1E1A2AFA"/>
    <w:rsid w:val="1E1B1F57"/>
    <w:rsid w:val="1E1C10A0"/>
    <w:rsid w:val="1E1D02AE"/>
    <w:rsid w:val="1E2024CC"/>
    <w:rsid w:val="1E226950"/>
    <w:rsid w:val="1E230E86"/>
    <w:rsid w:val="1E232211"/>
    <w:rsid w:val="1E2E6265"/>
    <w:rsid w:val="1E2F5DF6"/>
    <w:rsid w:val="1E3147BC"/>
    <w:rsid w:val="1E3513AF"/>
    <w:rsid w:val="1E3653D8"/>
    <w:rsid w:val="1E3B041E"/>
    <w:rsid w:val="1E3E11D1"/>
    <w:rsid w:val="1E3E5D57"/>
    <w:rsid w:val="1E3E68AE"/>
    <w:rsid w:val="1E3F66A3"/>
    <w:rsid w:val="1E435B40"/>
    <w:rsid w:val="1E486997"/>
    <w:rsid w:val="1E4E3289"/>
    <w:rsid w:val="1E5030E8"/>
    <w:rsid w:val="1E5176C8"/>
    <w:rsid w:val="1E567B58"/>
    <w:rsid w:val="1E584D50"/>
    <w:rsid w:val="1E5C568F"/>
    <w:rsid w:val="1E612030"/>
    <w:rsid w:val="1E6347B9"/>
    <w:rsid w:val="1E640037"/>
    <w:rsid w:val="1E6732DD"/>
    <w:rsid w:val="1E6D3F26"/>
    <w:rsid w:val="1E6D57A6"/>
    <w:rsid w:val="1E6E10C7"/>
    <w:rsid w:val="1E791E35"/>
    <w:rsid w:val="1E7C45E9"/>
    <w:rsid w:val="1E7E247F"/>
    <w:rsid w:val="1E8529F8"/>
    <w:rsid w:val="1E8811C4"/>
    <w:rsid w:val="1E881F76"/>
    <w:rsid w:val="1E8B3533"/>
    <w:rsid w:val="1E903EBE"/>
    <w:rsid w:val="1E935F17"/>
    <w:rsid w:val="1E945DA3"/>
    <w:rsid w:val="1E954BA3"/>
    <w:rsid w:val="1E9E3098"/>
    <w:rsid w:val="1EA03459"/>
    <w:rsid w:val="1EA12305"/>
    <w:rsid w:val="1EA80F1A"/>
    <w:rsid w:val="1EAC4C25"/>
    <w:rsid w:val="1EB5401A"/>
    <w:rsid w:val="1EBA56BE"/>
    <w:rsid w:val="1EBB6CEA"/>
    <w:rsid w:val="1EBC7219"/>
    <w:rsid w:val="1EBE1FC0"/>
    <w:rsid w:val="1EBE6F7B"/>
    <w:rsid w:val="1EC544D6"/>
    <w:rsid w:val="1EC67C18"/>
    <w:rsid w:val="1ECE5D2A"/>
    <w:rsid w:val="1ECF2FC2"/>
    <w:rsid w:val="1ED273AF"/>
    <w:rsid w:val="1ED277F3"/>
    <w:rsid w:val="1ED476F9"/>
    <w:rsid w:val="1ED54274"/>
    <w:rsid w:val="1ED63976"/>
    <w:rsid w:val="1ED86A34"/>
    <w:rsid w:val="1EDA33CD"/>
    <w:rsid w:val="1EDC5294"/>
    <w:rsid w:val="1EDC6E3C"/>
    <w:rsid w:val="1EDD0BBD"/>
    <w:rsid w:val="1EDE6253"/>
    <w:rsid w:val="1EDF0872"/>
    <w:rsid w:val="1EE6701C"/>
    <w:rsid w:val="1EEB3984"/>
    <w:rsid w:val="1EEF35A9"/>
    <w:rsid w:val="1EF05139"/>
    <w:rsid w:val="1EF13FE1"/>
    <w:rsid w:val="1EF31E18"/>
    <w:rsid w:val="1EF33DF3"/>
    <w:rsid w:val="1EF50318"/>
    <w:rsid w:val="1EF64ADF"/>
    <w:rsid w:val="1EF75E3C"/>
    <w:rsid w:val="1F07359D"/>
    <w:rsid w:val="1F080A66"/>
    <w:rsid w:val="1F0B695A"/>
    <w:rsid w:val="1F0C5272"/>
    <w:rsid w:val="1F0E5824"/>
    <w:rsid w:val="1F1063D5"/>
    <w:rsid w:val="1F132FDE"/>
    <w:rsid w:val="1F164BA3"/>
    <w:rsid w:val="1F16616A"/>
    <w:rsid w:val="1F173D24"/>
    <w:rsid w:val="1F176E13"/>
    <w:rsid w:val="1F1A49C7"/>
    <w:rsid w:val="1F1E5365"/>
    <w:rsid w:val="1F2713BE"/>
    <w:rsid w:val="1F294445"/>
    <w:rsid w:val="1F2A66E8"/>
    <w:rsid w:val="1F2E7A76"/>
    <w:rsid w:val="1F306061"/>
    <w:rsid w:val="1F314E5D"/>
    <w:rsid w:val="1F331D60"/>
    <w:rsid w:val="1F390908"/>
    <w:rsid w:val="1F3A3AC8"/>
    <w:rsid w:val="1F3A505B"/>
    <w:rsid w:val="1F3B73EE"/>
    <w:rsid w:val="1F3D2C2D"/>
    <w:rsid w:val="1F432825"/>
    <w:rsid w:val="1F432A40"/>
    <w:rsid w:val="1F436093"/>
    <w:rsid w:val="1F46041D"/>
    <w:rsid w:val="1F481F89"/>
    <w:rsid w:val="1F4D38B7"/>
    <w:rsid w:val="1F50456B"/>
    <w:rsid w:val="1F5068CC"/>
    <w:rsid w:val="1F553E93"/>
    <w:rsid w:val="1F56046C"/>
    <w:rsid w:val="1F572481"/>
    <w:rsid w:val="1F5908C0"/>
    <w:rsid w:val="1F5A7201"/>
    <w:rsid w:val="1F5C13A4"/>
    <w:rsid w:val="1F5C30B9"/>
    <w:rsid w:val="1F624FCD"/>
    <w:rsid w:val="1F6310D0"/>
    <w:rsid w:val="1F6F2280"/>
    <w:rsid w:val="1F72394D"/>
    <w:rsid w:val="1F760293"/>
    <w:rsid w:val="1F7A649F"/>
    <w:rsid w:val="1F7D3BC2"/>
    <w:rsid w:val="1F824664"/>
    <w:rsid w:val="1F82681D"/>
    <w:rsid w:val="1F834049"/>
    <w:rsid w:val="1F842F62"/>
    <w:rsid w:val="1F85054F"/>
    <w:rsid w:val="1F851A8A"/>
    <w:rsid w:val="1F887578"/>
    <w:rsid w:val="1F8941B5"/>
    <w:rsid w:val="1F8A1292"/>
    <w:rsid w:val="1F8A2389"/>
    <w:rsid w:val="1F8C78A0"/>
    <w:rsid w:val="1F921719"/>
    <w:rsid w:val="1F951F7B"/>
    <w:rsid w:val="1F954F69"/>
    <w:rsid w:val="1F96012C"/>
    <w:rsid w:val="1F962461"/>
    <w:rsid w:val="1F975CA5"/>
    <w:rsid w:val="1F98204A"/>
    <w:rsid w:val="1F9A5395"/>
    <w:rsid w:val="1F9F6E43"/>
    <w:rsid w:val="1FA02D08"/>
    <w:rsid w:val="1FA4212E"/>
    <w:rsid w:val="1FA55B27"/>
    <w:rsid w:val="1FA732F5"/>
    <w:rsid w:val="1FAE67A8"/>
    <w:rsid w:val="1FAF5709"/>
    <w:rsid w:val="1FB13818"/>
    <w:rsid w:val="1FB22A92"/>
    <w:rsid w:val="1FB37073"/>
    <w:rsid w:val="1FB4012B"/>
    <w:rsid w:val="1FB47D3B"/>
    <w:rsid w:val="1FB817F0"/>
    <w:rsid w:val="1FB87EE2"/>
    <w:rsid w:val="1FBA22FF"/>
    <w:rsid w:val="1FBC5978"/>
    <w:rsid w:val="1FC21A1A"/>
    <w:rsid w:val="1FC661F9"/>
    <w:rsid w:val="1FC85C25"/>
    <w:rsid w:val="1FCA53F3"/>
    <w:rsid w:val="1FD020A7"/>
    <w:rsid w:val="1FD13CE4"/>
    <w:rsid w:val="1FD43591"/>
    <w:rsid w:val="1FD43FD7"/>
    <w:rsid w:val="1FD6498B"/>
    <w:rsid w:val="1FDD6B00"/>
    <w:rsid w:val="1FDE666E"/>
    <w:rsid w:val="1FE127AD"/>
    <w:rsid w:val="1FE37F59"/>
    <w:rsid w:val="1FE7027F"/>
    <w:rsid w:val="1FE71D9A"/>
    <w:rsid w:val="1FE82963"/>
    <w:rsid w:val="1FE961D6"/>
    <w:rsid w:val="1FE9703D"/>
    <w:rsid w:val="1FEC06DF"/>
    <w:rsid w:val="1FF21DE3"/>
    <w:rsid w:val="1FF67C7A"/>
    <w:rsid w:val="1FFC277B"/>
    <w:rsid w:val="1FFC7817"/>
    <w:rsid w:val="1FFC7A13"/>
    <w:rsid w:val="1FFD5987"/>
    <w:rsid w:val="200051D3"/>
    <w:rsid w:val="2002050E"/>
    <w:rsid w:val="20033398"/>
    <w:rsid w:val="200578AE"/>
    <w:rsid w:val="200806F6"/>
    <w:rsid w:val="200931A7"/>
    <w:rsid w:val="200D007D"/>
    <w:rsid w:val="200D0F01"/>
    <w:rsid w:val="20145818"/>
    <w:rsid w:val="20145F1E"/>
    <w:rsid w:val="201772ED"/>
    <w:rsid w:val="201B55CF"/>
    <w:rsid w:val="201F2B11"/>
    <w:rsid w:val="201F37F2"/>
    <w:rsid w:val="2020348A"/>
    <w:rsid w:val="2022691F"/>
    <w:rsid w:val="20246B37"/>
    <w:rsid w:val="20254855"/>
    <w:rsid w:val="202A37BC"/>
    <w:rsid w:val="202B0C6A"/>
    <w:rsid w:val="202B2ECD"/>
    <w:rsid w:val="202C1574"/>
    <w:rsid w:val="202E5B2A"/>
    <w:rsid w:val="20321AAB"/>
    <w:rsid w:val="20324943"/>
    <w:rsid w:val="20333590"/>
    <w:rsid w:val="20387A8F"/>
    <w:rsid w:val="203B00D0"/>
    <w:rsid w:val="203C1799"/>
    <w:rsid w:val="203C22C0"/>
    <w:rsid w:val="203E597C"/>
    <w:rsid w:val="203F4B01"/>
    <w:rsid w:val="2044717D"/>
    <w:rsid w:val="20450F8C"/>
    <w:rsid w:val="20467E30"/>
    <w:rsid w:val="204D5EA6"/>
    <w:rsid w:val="20507456"/>
    <w:rsid w:val="20522351"/>
    <w:rsid w:val="205679FF"/>
    <w:rsid w:val="205E7C26"/>
    <w:rsid w:val="20670689"/>
    <w:rsid w:val="20694B4A"/>
    <w:rsid w:val="206A0721"/>
    <w:rsid w:val="206B209F"/>
    <w:rsid w:val="206B3E72"/>
    <w:rsid w:val="206C387F"/>
    <w:rsid w:val="206C75A7"/>
    <w:rsid w:val="20710824"/>
    <w:rsid w:val="2071467B"/>
    <w:rsid w:val="207306ED"/>
    <w:rsid w:val="20766B0F"/>
    <w:rsid w:val="20780EF9"/>
    <w:rsid w:val="207838B2"/>
    <w:rsid w:val="2079362C"/>
    <w:rsid w:val="207C290C"/>
    <w:rsid w:val="20835864"/>
    <w:rsid w:val="20893229"/>
    <w:rsid w:val="208D7559"/>
    <w:rsid w:val="208E156D"/>
    <w:rsid w:val="208E2ECA"/>
    <w:rsid w:val="20903B10"/>
    <w:rsid w:val="20943023"/>
    <w:rsid w:val="20966B4A"/>
    <w:rsid w:val="209673E0"/>
    <w:rsid w:val="20990DD1"/>
    <w:rsid w:val="209B54D6"/>
    <w:rsid w:val="209C671E"/>
    <w:rsid w:val="20A11184"/>
    <w:rsid w:val="20AD5B9C"/>
    <w:rsid w:val="20AE1963"/>
    <w:rsid w:val="20AF47A2"/>
    <w:rsid w:val="20B25E12"/>
    <w:rsid w:val="20B47021"/>
    <w:rsid w:val="20B476D0"/>
    <w:rsid w:val="20BA1378"/>
    <w:rsid w:val="20BB3F5A"/>
    <w:rsid w:val="20BE3A26"/>
    <w:rsid w:val="20C476BC"/>
    <w:rsid w:val="20C527BC"/>
    <w:rsid w:val="20C72B51"/>
    <w:rsid w:val="20CA39AC"/>
    <w:rsid w:val="20CB34B6"/>
    <w:rsid w:val="20CB6C5D"/>
    <w:rsid w:val="20D444BD"/>
    <w:rsid w:val="20D45503"/>
    <w:rsid w:val="20D6466F"/>
    <w:rsid w:val="20DC3C70"/>
    <w:rsid w:val="20DF4AEF"/>
    <w:rsid w:val="20E6288F"/>
    <w:rsid w:val="20E87FDF"/>
    <w:rsid w:val="20EC1EB8"/>
    <w:rsid w:val="20F249AA"/>
    <w:rsid w:val="20F5372D"/>
    <w:rsid w:val="20F74EF1"/>
    <w:rsid w:val="20F76A1B"/>
    <w:rsid w:val="20F9588F"/>
    <w:rsid w:val="20FA77C2"/>
    <w:rsid w:val="20FE65F3"/>
    <w:rsid w:val="21005D9F"/>
    <w:rsid w:val="21022DC3"/>
    <w:rsid w:val="210311F5"/>
    <w:rsid w:val="21031FC4"/>
    <w:rsid w:val="21032D1D"/>
    <w:rsid w:val="21060A4B"/>
    <w:rsid w:val="2106466F"/>
    <w:rsid w:val="210B7AB8"/>
    <w:rsid w:val="210C7788"/>
    <w:rsid w:val="210D583D"/>
    <w:rsid w:val="210D67CC"/>
    <w:rsid w:val="210F13A3"/>
    <w:rsid w:val="2113663C"/>
    <w:rsid w:val="21142000"/>
    <w:rsid w:val="211912FB"/>
    <w:rsid w:val="2119339E"/>
    <w:rsid w:val="21206986"/>
    <w:rsid w:val="212648CE"/>
    <w:rsid w:val="212953FC"/>
    <w:rsid w:val="21297EC0"/>
    <w:rsid w:val="212E17B8"/>
    <w:rsid w:val="213308E9"/>
    <w:rsid w:val="2133572C"/>
    <w:rsid w:val="21343267"/>
    <w:rsid w:val="21343D6D"/>
    <w:rsid w:val="2135739A"/>
    <w:rsid w:val="213C61CA"/>
    <w:rsid w:val="213D5E8B"/>
    <w:rsid w:val="213E68C5"/>
    <w:rsid w:val="214000A3"/>
    <w:rsid w:val="21411E9D"/>
    <w:rsid w:val="2143726F"/>
    <w:rsid w:val="21462498"/>
    <w:rsid w:val="214758F7"/>
    <w:rsid w:val="214C12C4"/>
    <w:rsid w:val="214D3BC1"/>
    <w:rsid w:val="214E3A11"/>
    <w:rsid w:val="2151019A"/>
    <w:rsid w:val="21520573"/>
    <w:rsid w:val="21524C94"/>
    <w:rsid w:val="21560640"/>
    <w:rsid w:val="2158066A"/>
    <w:rsid w:val="21592563"/>
    <w:rsid w:val="215A2F0F"/>
    <w:rsid w:val="215B5CA3"/>
    <w:rsid w:val="21616FD5"/>
    <w:rsid w:val="216656A0"/>
    <w:rsid w:val="216977CF"/>
    <w:rsid w:val="216B09AE"/>
    <w:rsid w:val="216B2B38"/>
    <w:rsid w:val="21736A46"/>
    <w:rsid w:val="21772DFF"/>
    <w:rsid w:val="21780794"/>
    <w:rsid w:val="21792DDB"/>
    <w:rsid w:val="2179522D"/>
    <w:rsid w:val="217B42D4"/>
    <w:rsid w:val="217B578D"/>
    <w:rsid w:val="218625D7"/>
    <w:rsid w:val="21877D9A"/>
    <w:rsid w:val="21892644"/>
    <w:rsid w:val="21896246"/>
    <w:rsid w:val="218A6485"/>
    <w:rsid w:val="218C179F"/>
    <w:rsid w:val="218D69E3"/>
    <w:rsid w:val="21950CF4"/>
    <w:rsid w:val="21960119"/>
    <w:rsid w:val="219B1ABF"/>
    <w:rsid w:val="219B34E7"/>
    <w:rsid w:val="219D544F"/>
    <w:rsid w:val="21A33F9F"/>
    <w:rsid w:val="21A472D2"/>
    <w:rsid w:val="21A93442"/>
    <w:rsid w:val="21A956A4"/>
    <w:rsid w:val="21A9728B"/>
    <w:rsid w:val="21AD190C"/>
    <w:rsid w:val="21AE58A5"/>
    <w:rsid w:val="21B26470"/>
    <w:rsid w:val="21B5476B"/>
    <w:rsid w:val="21B640DD"/>
    <w:rsid w:val="21B827F6"/>
    <w:rsid w:val="21B900BF"/>
    <w:rsid w:val="21C35BBB"/>
    <w:rsid w:val="21C46EA7"/>
    <w:rsid w:val="21C548EA"/>
    <w:rsid w:val="21C874B1"/>
    <w:rsid w:val="21C964BB"/>
    <w:rsid w:val="21CD24F1"/>
    <w:rsid w:val="21CE4D0A"/>
    <w:rsid w:val="21D03CE4"/>
    <w:rsid w:val="21D04ECC"/>
    <w:rsid w:val="21D15208"/>
    <w:rsid w:val="21D409A4"/>
    <w:rsid w:val="21D40AB0"/>
    <w:rsid w:val="21D51EA4"/>
    <w:rsid w:val="21DA035E"/>
    <w:rsid w:val="21DC2FA2"/>
    <w:rsid w:val="21DD7493"/>
    <w:rsid w:val="21E300FC"/>
    <w:rsid w:val="21E6027E"/>
    <w:rsid w:val="21E64550"/>
    <w:rsid w:val="21E823A2"/>
    <w:rsid w:val="21E8660F"/>
    <w:rsid w:val="21E92EAF"/>
    <w:rsid w:val="21EA4D55"/>
    <w:rsid w:val="21EA5C06"/>
    <w:rsid w:val="21ED325D"/>
    <w:rsid w:val="21F052EC"/>
    <w:rsid w:val="21F57D39"/>
    <w:rsid w:val="21F60B6B"/>
    <w:rsid w:val="21F70576"/>
    <w:rsid w:val="21FB0D17"/>
    <w:rsid w:val="21FC2F52"/>
    <w:rsid w:val="22030470"/>
    <w:rsid w:val="22040095"/>
    <w:rsid w:val="2204137B"/>
    <w:rsid w:val="22056EC0"/>
    <w:rsid w:val="220603BE"/>
    <w:rsid w:val="22070232"/>
    <w:rsid w:val="22080147"/>
    <w:rsid w:val="220C7918"/>
    <w:rsid w:val="220D54DE"/>
    <w:rsid w:val="22104EE6"/>
    <w:rsid w:val="221356D2"/>
    <w:rsid w:val="221812C1"/>
    <w:rsid w:val="22196877"/>
    <w:rsid w:val="221D5568"/>
    <w:rsid w:val="222118D5"/>
    <w:rsid w:val="22253A00"/>
    <w:rsid w:val="222549CA"/>
    <w:rsid w:val="222B0E30"/>
    <w:rsid w:val="22340FF6"/>
    <w:rsid w:val="223B1D92"/>
    <w:rsid w:val="223E103D"/>
    <w:rsid w:val="2240437A"/>
    <w:rsid w:val="22471FDF"/>
    <w:rsid w:val="2250619B"/>
    <w:rsid w:val="2254268E"/>
    <w:rsid w:val="22554E9E"/>
    <w:rsid w:val="225B55D5"/>
    <w:rsid w:val="225B781E"/>
    <w:rsid w:val="225E0C26"/>
    <w:rsid w:val="22605268"/>
    <w:rsid w:val="22635F08"/>
    <w:rsid w:val="226776F2"/>
    <w:rsid w:val="226B224D"/>
    <w:rsid w:val="226C746C"/>
    <w:rsid w:val="22702C38"/>
    <w:rsid w:val="227213F7"/>
    <w:rsid w:val="22735428"/>
    <w:rsid w:val="22743644"/>
    <w:rsid w:val="22745E75"/>
    <w:rsid w:val="22754DE3"/>
    <w:rsid w:val="2278011E"/>
    <w:rsid w:val="227D7D7D"/>
    <w:rsid w:val="22816B66"/>
    <w:rsid w:val="22881CE1"/>
    <w:rsid w:val="228A647D"/>
    <w:rsid w:val="228D10E7"/>
    <w:rsid w:val="228D2C7F"/>
    <w:rsid w:val="22904DA2"/>
    <w:rsid w:val="22976578"/>
    <w:rsid w:val="2298282F"/>
    <w:rsid w:val="229D3D6B"/>
    <w:rsid w:val="229F0C1A"/>
    <w:rsid w:val="229F2FA7"/>
    <w:rsid w:val="22A432DE"/>
    <w:rsid w:val="22A62EE9"/>
    <w:rsid w:val="22A647E5"/>
    <w:rsid w:val="22A71420"/>
    <w:rsid w:val="22A81277"/>
    <w:rsid w:val="22A85859"/>
    <w:rsid w:val="22AC1BD0"/>
    <w:rsid w:val="22AC7885"/>
    <w:rsid w:val="22AD37B1"/>
    <w:rsid w:val="22B8010E"/>
    <w:rsid w:val="22BA0971"/>
    <w:rsid w:val="22BC4228"/>
    <w:rsid w:val="22BD7C16"/>
    <w:rsid w:val="22BE0E30"/>
    <w:rsid w:val="22BE6B43"/>
    <w:rsid w:val="22C3279C"/>
    <w:rsid w:val="22C433E8"/>
    <w:rsid w:val="22C954E5"/>
    <w:rsid w:val="22CC16DD"/>
    <w:rsid w:val="22CD460C"/>
    <w:rsid w:val="22D041E1"/>
    <w:rsid w:val="22D26ED8"/>
    <w:rsid w:val="22D34EE9"/>
    <w:rsid w:val="22D405C0"/>
    <w:rsid w:val="22D66D56"/>
    <w:rsid w:val="22D97243"/>
    <w:rsid w:val="22DB528A"/>
    <w:rsid w:val="22DD2FB2"/>
    <w:rsid w:val="22E23319"/>
    <w:rsid w:val="22E95625"/>
    <w:rsid w:val="22E97940"/>
    <w:rsid w:val="22EC7CE3"/>
    <w:rsid w:val="22EF73BC"/>
    <w:rsid w:val="22F05EF3"/>
    <w:rsid w:val="22F12B11"/>
    <w:rsid w:val="22F81F59"/>
    <w:rsid w:val="22F96789"/>
    <w:rsid w:val="22FC1927"/>
    <w:rsid w:val="22FC6CDD"/>
    <w:rsid w:val="22FC75C6"/>
    <w:rsid w:val="22FD4E0E"/>
    <w:rsid w:val="230009F2"/>
    <w:rsid w:val="23037650"/>
    <w:rsid w:val="2305371A"/>
    <w:rsid w:val="23083254"/>
    <w:rsid w:val="230A66F2"/>
    <w:rsid w:val="230A7CBD"/>
    <w:rsid w:val="230C395B"/>
    <w:rsid w:val="230F61DF"/>
    <w:rsid w:val="2311442F"/>
    <w:rsid w:val="231870CE"/>
    <w:rsid w:val="231E2023"/>
    <w:rsid w:val="231E5FAD"/>
    <w:rsid w:val="23222A7E"/>
    <w:rsid w:val="232438B7"/>
    <w:rsid w:val="232635A8"/>
    <w:rsid w:val="232F5A46"/>
    <w:rsid w:val="23307BAE"/>
    <w:rsid w:val="2331232F"/>
    <w:rsid w:val="23337FD9"/>
    <w:rsid w:val="23342F41"/>
    <w:rsid w:val="2335685D"/>
    <w:rsid w:val="233703ED"/>
    <w:rsid w:val="233761BE"/>
    <w:rsid w:val="2337745A"/>
    <w:rsid w:val="233A5F78"/>
    <w:rsid w:val="234069D0"/>
    <w:rsid w:val="23445132"/>
    <w:rsid w:val="23447661"/>
    <w:rsid w:val="234A210F"/>
    <w:rsid w:val="2350584C"/>
    <w:rsid w:val="23563C5C"/>
    <w:rsid w:val="2357274D"/>
    <w:rsid w:val="23573741"/>
    <w:rsid w:val="23583AF0"/>
    <w:rsid w:val="235E1134"/>
    <w:rsid w:val="23617BDE"/>
    <w:rsid w:val="23670C9C"/>
    <w:rsid w:val="23696AFB"/>
    <w:rsid w:val="236A74EB"/>
    <w:rsid w:val="236B63E3"/>
    <w:rsid w:val="236C1D95"/>
    <w:rsid w:val="236D4637"/>
    <w:rsid w:val="236E40B7"/>
    <w:rsid w:val="23774E2B"/>
    <w:rsid w:val="237C50C8"/>
    <w:rsid w:val="237D06A8"/>
    <w:rsid w:val="237F3827"/>
    <w:rsid w:val="23876674"/>
    <w:rsid w:val="238B28EB"/>
    <w:rsid w:val="238D17C5"/>
    <w:rsid w:val="238D4DF1"/>
    <w:rsid w:val="238F1CEA"/>
    <w:rsid w:val="238F53D8"/>
    <w:rsid w:val="239754AB"/>
    <w:rsid w:val="239A4266"/>
    <w:rsid w:val="239F19CC"/>
    <w:rsid w:val="239F7ABA"/>
    <w:rsid w:val="23A9112E"/>
    <w:rsid w:val="23AF7BB9"/>
    <w:rsid w:val="23BD571C"/>
    <w:rsid w:val="23BE5C94"/>
    <w:rsid w:val="23C70BE7"/>
    <w:rsid w:val="23C75A3C"/>
    <w:rsid w:val="23C86EE4"/>
    <w:rsid w:val="23C91EEC"/>
    <w:rsid w:val="23CB55FD"/>
    <w:rsid w:val="23CC5499"/>
    <w:rsid w:val="23CE2B9D"/>
    <w:rsid w:val="23D056E2"/>
    <w:rsid w:val="23D3635A"/>
    <w:rsid w:val="23D4552F"/>
    <w:rsid w:val="23D50AC5"/>
    <w:rsid w:val="23D54B7B"/>
    <w:rsid w:val="23D825A6"/>
    <w:rsid w:val="23DB2125"/>
    <w:rsid w:val="23DB5CFC"/>
    <w:rsid w:val="23DD3859"/>
    <w:rsid w:val="23DE542E"/>
    <w:rsid w:val="23DE6985"/>
    <w:rsid w:val="23E25C2D"/>
    <w:rsid w:val="23E30FCF"/>
    <w:rsid w:val="23E850DE"/>
    <w:rsid w:val="23EA1667"/>
    <w:rsid w:val="23EA542C"/>
    <w:rsid w:val="23F1483A"/>
    <w:rsid w:val="23F536A1"/>
    <w:rsid w:val="23F724AA"/>
    <w:rsid w:val="23F819B0"/>
    <w:rsid w:val="23FF321B"/>
    <w:rsid w:val="23FF34D5"/>
    <w:rsid w:val="23FF3B46"/>
    <w:rsid w:val="240177E0"/>
    <w:rsid w:val="24021161"/>
    <w:rsid w:val="240247CD"/>
    <w:rsid w:val="2403107A"/>
    <w:rsid w:val="24041252"/>
    <w:rsid w:val="24092FE0"/>
    <w:rsid w:val="24096E4B"/>
    <w:rsid w:val="240C1B1F"/>
    <w:rsid w:val="240C579E"/>
    <w:rsid w:val="2410132F"/>
    <w:rsid w:val="24107080"/>
    <w:rsid w:val="241617B5"/>
    <w:rsid w:val="241873FB"/>
    <w:rsid w:val="2422195E"/>
    <w:rsid w:val="24232B6F"/>
    <w:rsid w:val="24241733"/>
    <w:rsid w:val="242501A7"/>
    <w:rsid w:val="24272829"/>
    <w:rsid w:val="242776B9"/>
    <w:rsid w:val="242C2453"/>
    <w:rsid w:val="2430617B"/>
    <w:rsid w:val="2433215C"/>
    <w:rsid w:val="2438606F"/>
    <w:rsid w:val="243E65EF"/>
    <w:rsid w:val="24404FAD"/>
    <w:rsid w:val="244221F2"/>
    <w:rsid w:val="2446101E"/>
    <w:rsid w:val="24461EFE"/>
    <w:rsid w:val="245447B7"/>
    <w:rsid w:val="24557FEE"/>
    <w:rsid w:val="24574963"/>
    <w:rsid w:val="2458331F"/>
    <w:rsid w:val="24593FCB"/>
    <w:rsid w:val="245B0658"/>
    <w:rsid w:val="24674117"/>
    <w:rsid w:val="246B1096"/>
    <w:rsid w:val="246C0A44"/>
    <w:rsid w:val="24785C5E"/>
    <w:rsid w:val="24786A43"/>
    <w:rsid w:val="247A27AF"/>
    <w:rsid w:val="247C7D76"/>
    <w:rsid w:val="24826B91"/>
    <w:rsid w:val="24831EBA"/>
    <w:rsid w:val="24844694"/>
    <w:rsid w:val="248856EC"/>
    <w:rsid w:val="248C21AB"/>
    <w:rsid w:val="248D5418"/>
    <w:rsid w:val="248E539A"/>
    <w:rsid w:val="2492169C"/>
    <w:rsid w:val="249261EA"/>
    <w:rsid w:val="24934250"/>
    <w:rsid w:val="24940ACB"/>
    <w:rsid w:val="249A18FC"/>
    <w:rsid w:val="249B60F3"/>
    <w:rsid w:val="249F00D7"/>
    <w:rsid w:val="249F23CF"/>
    <w:rsid w:val="24A03F06"/>
    <w:rsid w:val="24A06E74"/>
    <w:rsid w:val="24A61D21"/>
    <w:rsid w:val="24AA7822"/>
    <w:rsid w:val="24AC71D7"/>
    <w:rsid w:val="24AD511A"/>
    <w:rsid w:val="24B70534"/>
    <w:rsid w:val="24BA180A"/>
    <w:rsid w:val="24BA39F3"/>
    <w:rsid w:val="24BA3D19"/>
    <w:rsid w:val="24BC4FB6"/>
    <w:rsid w:val="24BE1B0B"/>
    <w:rsid w:val="24C15191"/>
    <w:rsid w:val="24C36323"/>
    <w:rsid w:val="24C5170F"/>
    <w:rsid w:val="24C80A0F"/>
    <w:rsid w:val="24CD739D"/>
    <w:rsid w:val="24CF5ED2"/>
    <w:rsid w:val="24D01FD1"/>
    <w:rsid w:val="24D12E93"/>
    <w:rsid w:val="24D237B8"/>
    <w:rsid w:val="24E1185E"/>
    <w:rsid w:val="24E44CE2"/>
    <w:rsid w:val="24E95337"/>
    <w:rsid w:val="24F00A7B"/>
    <w:rsid w:val="24F12364"/>
    <w:rsid w:val="24F25A56"/>
    <w:rsid w:val="24F30520"/>
    <w:rsid w:val="24FA3393"/>
    <w:rsid w:val="24FB3FB0"/>
    <w:rsid w:val="24FC10A8"/>
    <w:rsid w:val="24FF7D3B"/>
    <w:rsid w:val="2501499F"/>
    <w:rsid w:val="250311DE"/>
    <w:rsid w:val="250341D7"/>
    <w:rsid w:val="250F42CA"/>
    <w:rsid w:val="251255EC"/>
    <w:rsid w:val="251527EB"/>
    <w:rsid w:val="25197A99"/>
    <w:rsid w:val="251D2887"/>
    <w:rsid w:val="251F6730"/>
    <w:rsid w:val="25224A9D"/>
    <w:rsid w:val="25241B01"/>
    <w:rsid w:val="25267D73"/>
    <w:rsid w:val="252A34EA"/>
    <w:rsid w:val="252B6FAA"/>
    <w:rsid w:val="252D3FFE"/>
    <w:rsid w:val="252F4900"/>
    <w:rsid w:val="25306F1C"/>
    <w:rsid w:val="25346463"/>
    <w:rsid w:val="253576B5"/>
    <w:rsid w:val="2539551F"/>
    <w:rsid w:val="253A2D6A"/>
    <w:rsid w:val="253D342A"/>
    <w:rsid w:val="253E10ED"/>
    <w:rsid w:val="253F2188"/>
    <w:rsid w:val="253F401B"/>
    <w:rsid w:val="254143AC"/>
    <w:rsid w:val="25414BE5"/>
    <w:rsid w:val="25470F0A"/>
    <w:rsid w:val="2548458B"/>
    <w:rsid w:val="25486672"/>
    <w:rsid w:val="25493CA4"/>
    <w:rsid w:val="254C4D30"/>
    <w:rsid w:val="254E145C"/>
    <w:rsid w:val="254E4A1A"/>
    <w:rsid w:val="254E7014"/>
    <w:rsid w:val="254F7285"/>
    <w:rsid w:val="25507842"/>
    <w:rsid w:val="25530AFF"/>
    <w:rsid w:val="255D1E92"/>
    <w:rsid w:val="25630B75"/>
    <w:rsid w:val="25631BBB"/>
    <w:rsid w:val="256644C2"/>
    <w:rsid w:val="25676E68"/>
    <w:rsid w:val="256C5455"/>
    <w:rsid w:val="256E33F0"/>
    <w:rsid w:val="256F746F"/>
    <w:rsid w:val="25701754"/>
    <w:rsid w:val="25732C8D"/>
    <w:rsid w:val="25770083"/>
    <w:rsid w:val="25791E94"/>
    <w:rsid w:val="257C0D8F"/>
    <w:rsid w:val="258831C7"/>
    <w:rsid w:val="258909DE"/>
    <w:rsid w:val="25893AEF"/>
    <w:rsid w:val="25894201"/>
    <w:rsid w:val="258B7E53"/>
    <w:rsid w:val="258E0798"/>
    <w:rsid w:val="258F340B"/>
    <w:rsid w:val="25923D6C"/>
    <w:rsid w:val="25942F9D"/>
    <w:rsid w:val="259A532B"/>
    <w:rsid w:val="259E3812"/>
    <w:rsid w:val="259F155E"/>
    <w:rsid w:val="25A13EBF"/>
    <w:rsid w:val="25A33A06"/>
    <w:rsid w:val="25A45B88"/>
    <w:rsid w:val="25A4644F"/>
    <w:rsid w:val="25A712A5"/>
    <w:rsid w:val="25A762F2"/>
    <w:rsid w:val="25A9714A"/>
    <w:rsid w:val="25AA195C"/>
    <w:rsid w:val="25AA30D5"/>
    <w:rsid w:val="25AD2D53"/>
    <w:rsid w:val="25AD4C36"/>
    <w:rsid w:val="25AD5BB5"/>
    <w:rsid w:val="25B16E8C"/>
    <w:rsid w:val="25B33CD5"/>
    <w:rsid w:val="25B513E9"/>
    <w:rsid w:val="25B84CC6"/>
    <w:rsid w:val="25B957A9"/>
    <w:rsid w:val="25C04973"/>
    <w:rsid w:val="25C160C4"/>
    <w:rsid w:val="25C17CF7"/>
    <w:rsid w:val="25C267D2"/>
    <w:rsid w:val="25C77F1E"/>
    <w:rsid w:val="25CA5BAF"/>
    <w:rsid w:val="25CA6B73"/>
    <w:rsid w:val="25CB2CAF"/>
    <w:rsid w:val="25CB4E2C"/>
    <w:rsid w:val="25CD45DC"/>
    <w:rsid w:val="25D64205"/>
    <w:rsid w:val="25D65B81"/>
    <w:rsid w:val="25DC53D2"/>
    <w:rsid w:val="25E21381"/>
    <w:rsid w:val="25E53A48"/>
    <w:rsid w:val="25E751DE"/>
    <w:rsid w:val="25E864D2"/>
    <w:rsid w:val="25F05859"/>
    <w:rsid w:val="25F10A5A"/>
    <w:rsid w:val="25F25D4C"/>
    <w:rsid w:val="25F70B17"/>
    <w:rsid w:val="25F73B11"/>
    <w:rsid w:val="25F836BA"/>
    <w:rsid w:val="25F84993"/>
    <w:rsid w:val="25FC1EB7"/>
    <w:rsid w:val="25FC276B"/>
    <w:rsid w:val="25FD32BA"/>
    <w:rsid w:val="26007286"/>
    <w:rsid w:val="26030675"/>
    <w:rsid w:val="26030AED"/>
    <w:rsid w:val="26084816"/>
    <w:rsid w:val="260C6020"/>
    <w:rsid w:val="260D2A41"/>
    <w:rsid w:val="260E0F84"/>
    <w:rsid w:val="26117C7A"/>
    <w:rsid w:val="2612143E"/>
    <w:rsid w:val="26123BA9"/>
    <w:rsid w:val="26125065"/>
    <w:rsid w:val="26135C5A"/>
    <w:rsid w:val="26191EB3"/>
    <w:rsid w:val="261940DD"/>
    <w:rsid w:val="261A1F7F"/>
    <w:rsid w:val="261D01A8"/>
    <w:rsid w:val="261E70EA"/>
    <w:rsid w:val="262320ED"/>
    <w:rsid w:val="26232E95"/>
    <w:rsid w:val="26255EE5"/>
    <w:rsid w:val="262F1AC1"/>
    <w:rsid w:val="263F1DB5"/>
    <w:rsid w:val="26421607"/>
    <w:rsid w:val="26461A64"/>
    <w:rsid w:val="264A0C59"/>
    <w:rsid w:val="264A20A3"/>
    <w:rsid w:val="264D5CDB"/>
    <w:rsid w:val="265154A2"/>
    <w:rsid w:val="26580A4A"/>
    <w:rsid w:val="265871BE"/>
    <w:rsid w:val="26596465"/>
    <w:rsid w:val="26596A0C"/>
    <w:rsid w:val="265A4359"/>
    <w:rsid w:val="265B3767"/>
    <w:rsid w:val="265C4468"/>
    <w:rsid w:val="265E0F19"/>
    <w:rsid w:val="265E2034"/>
    <w:rsid w:val="26640976"/>
    <w:rsid w:val="26697588"/>
    <w:rsid w:val="266A3292"/>
    <w:rsid w:val="266B1CD2"/>
    <w:rsid w:val="266B7F0E"/>
    <w:rsid w:val="266D6391"/>
    <w:rsid w:val="266E1D15"/>
    <w:rsid w:val="26706145"/>
    <w:rsid w:val="26722DF9"/>
    <w:rsid w:val="26735ED1"/>
    <w:rsid w:val="267B746E"/>
    <w:rsid w:val="26810EE1"/>
    <w:rsid w:val="26816021"/>
    <w:rsid w:val="26846139"/>
    <w:rsid w:val="268A705A"/>
    <w:rsid w:val="2694229E"/>
    <w:rsid w:val="2694251A"/>
    <w:rsid w:val="26946AF0"/>
    <w:rsid w:val="26962A26"/>
    <w:rsid w:val="269A157F"/>
    <w:rsid w:val="26A0112B"/>
    <w:rsid w:val="26A05B3D"/>
    <w:rsid w:val="26A3788C"/>
    <w:rsid w:val="26A464CB"/>
    <w:rsid w:val="26AA2DD6"/>
    <w:rsid w:val="26AD2182"/>
    <w:rsid w:val="26AD793D"/>
    <w:rsid w:val="26AE3115"/>
    <w:rsid w:val="26AF0243"/>
    <w:rsid w:val="26B3453C"/>
    <w:rsid w:val="26B60261"/>
    <w:rsid w:val="26BB1799"/>
    <w:rsid w:val="26BD7440"/>
    <w:rsid w:val="26C05483"/>
    <w:rsid w:val="26C15445"/>
    <w:rsid w:val="26C20D51"/>
    <w:rsid w:val="26CA55B4"/>
    <w:rsid w:val="26CA7616"/>
    <w:rsid w:val="26CC1D3F"/>
    <w:rsid w:val="26CC6D01"/>
    <w:rsid w:val="26D027A3"/>
    <w:rsid w:val="26D41325"/>
    <w:rsid w:val="26D77133"/>
    <w:rsid w:val="26DE0456"/>
    <w:rsid w:val="26DE2356"/>
    <w:rsid w:val="26DE799B"/>
    <w:rsid w:val="26E06CA0"/>
    <w:rsid w:val="26E5102E"/>
    <w:rsid w:val="26E5236F"/>
    <w:rsid w:val="26E66779"/>
    <w:rsid w:val="26EA3739"/>
    <w:rsid w:val="26EB2711"/>
    <w:rsid w:val="26EF38E6"/>
    <w:rsid w:val="26F27D62"/>
    <w:rsid w:val="26F50950"/>
    <w:rsid w:val="26F6702B"/>
    <w:rsid w:val="26F7080C"/>
    <w:rsid w:val="26F82CC1"/>
    <w:rsid w:val="26FC56D2"/>
    <w:rsid w:val="2702222B"/>
    <w:rsid w:val="27024DC8"/>
    <w:rsid w:val="2704411B"/>
    <w:rsid w:val="27052EAA"/>
    <w:rsid w:val="27097F0E"/>
    <w:rsid w:val="271215F6"/>
    <w:rsid w:val="27127D48"/>
    <w:rsid w:val="271A5775"/>
    <w:rsid w:val="271B31FA"/>
    <w:rsid w:val="271C0852"/>
    <w:rsid w:val="271C314D"/>
    <w:rsid w:val="27217706"/>
    <w:rsid w:val="27226222"/>
    <w:rsid w:val="272A69D7"/>
    <w:rsid w:val="27310045"/>
    <w:rsid w:val="27337A77"/>
    <w:rsid w:val="273668F9"/>
    <w:rsid w:val="27377EF5"/>
    <w:rsid w:val="273D7250"/>
    <w:rsid w:val="27411909"/>
    <w:rsid w:val="27422C18"/>
    <w:rsid w:val="274347BE"/>
    <w:rsid w:val="274F13A4"/>
    <w:rsid w:val="275479E0"/>
    <w:rsid w:val="27567616"/>
    <w:rsid w:val="27571409"/>
    <w:rsid w:val="275722B1"/>
    <w:rsid w:val="27576DD5"/>
    <w:rsid w:val="275A4E88"/>
    <w:rsid w:val="275B4672"/>
    <w:rsid w:val="275D1D51"/>
    <w:rsid w:val="27611449"/>
    <w:rsid w:val="27681D51"/>
    <w:rsid w:val="27683156"/>
    <w:rsid w:val="276A7053"/>
    <w:rsid w:val="276B1B5A"/>
    <w:rsid w:val="276D51C2"/>
    <w:rsid w:val="276E5B08"/>
    <w:rsid w:val="2770036C"/>
    <w:rsid w:val="27742AB8"/>
    <w:rsid w:val="277A0FAF"/>
    <w:rsid w:val="277B40EA"/>
    <w:rsid w:val="277D5D6F"/>
    <w:rsid w:val="277E3578"/>
    <w:rsid w:val="278355C4"/>
    <w:rsid w:val="27850E99"/>
    <w:rsid w:val="27877FE4"/>
    <w:rsid w:val="278901D2"/>
    <w:rsid w:val="278B020A"/>
    <w:rsid w:val="278E2474"/>
    <w:rsid w:val="2795241F"/>
    <w:rsid w:val="279578AF"/>
    <w:rsid w:val="27964DA3"/>
    <w:rsid w:val="27993E29"/>
    <w:rsid w:val="27996D67"/>
    <w:rsid w:val="279B647C"/>
    <w:rsid w:val="279C1176"/>
    <w:rsid w:val="279D03ED"/>
    <w:rsid w:val="279F0C3C"/>
    <w:rsid w:val="27A06A7A"/>
    <w:rsid w:val="27A108FF"/>
    <w:rsid w:val="27A43D77"/>
    <w:rsid w:val="27A632CA"/>
    <w:rsid w:val="27AD30BC"/>
    <w:rsid w:val="27B44380"/>
    <w:rsid w:val="27B85459"/>
    <w:rsid w:val="27BB6D74"/>
    <w:rsid w:val="27BC228B"/>
    <w:rsid w:val="27BC4AC9"/>
    <w:rsid w:val="27BE042F"/>
    <w:rsid w:val="27BE1DE6"/>
    <w:rsid w:val="27C46F8F"/>
    <w:rsid w:val="27CF7C5D"/>
    <w:rsid w:val="27D2232A"/>
    <w:rsid w:val="27D44A6E"/>
    <w:rsid w:val="27D53C81"/>
    <w:rsid w:val="27DE3670"/>
    <w:rsid w:val="27E126A4"/>
    <w:rsid w:val="27E46A6B"/>
    <w:rsid w:val="27E81C71"/>
    <w:rsid w:val="27E84FCB"/>
    <w:rsid w:val="27EB77A3"/>
    <w:rsid w:val="27EF587F"/>
    <w:rsid w:val="27F134BD"/>
    <w:rsid w:val="27F13CC2"/>
    <w:rsid w:val="27F735C1"/>
    <w:rsid w:val="27F86E7E"/>
    <w:rsid w:val="27FD5B90"/>
    <w:rsid w:val="2803297C"/>
    <w:rsid w:val="28043361"/>
    <w:rsid w:val="28113CB8"/>
    <w:rsid w:val="281418BF"/>
    <w:rsid w:val="281711CA"/>
    <w:rsid w:val="2818626F"/>
    <w:rsid w:val="281867A2"/>
    <w:rsid w:val="2825311C"/>
    <w:rsid w:val="282738D0"/>
    <w:rsid w:val="282739CB"/>
    <w:rsid w:val="28307D86"/>
    <w:rsid w:val="28313623"/>
    <w:rsid w:val="28315FF4"/>
    <w:rsid w:val="283346E1"/>
    <w:rsid w:val="28336CAA"/>
    <w:rsid w:val="283D5525"/>
    <w:rsid w:val="283E281E"/>
    <w:rsid w:val="284064EC"/>
    <w:rsid w:val="284129F7"/>
    <w:rsid w:val="28422296"/>
    <w:rsid w:val="28435064"/>
    <w:rsid w:val="2844755B"/>
    <w:rsid w:val="284509EC"/>
    <w:rsid w:val="28486EB4"/>
    <w:rsid w:val="284979BC"/>
    <w:rsid w:val="284A123E"/>
    <w:rsid w:val="284B3035"/>
    <w:rsid w:val="284D7A87"/>
    <w:rsid w:val="28500143"/>
    <w:rsid w:val="28513552"/>
    <w:rsid w:val="28527694"/>
    <w:rsid w:val="28556466"/>
    <w:rsid w:val="285660E4"/>
    <w:rsid w:val="28582B78"/>
    <w:rsid w:val="285C61AB"/>
    <w:rsid w:val="286A49B6"/>
    <w:rsid w:val="286D44CF"/>
    <w:rsid w:val="286D7EDE"/>
    <w:rsid w:val="286E4F9A"/>
    <w:rsid w:val="2870305A"/>
    <w:rsid w:val="28704C9B"/>
    <w:rsid w:val="28706EDE"/>
    <w:rsid w:val="287136C4"/>
    <w:rsid w:val="28761D42"/>
    <w:rsid w:val="28761EAD"/>
    <w:rsid w:val="28770891"/>
    <w:rsid w:val="28783AF3"/>
    <w:rsid w:val="2879080E"/>
    <w:rsid w:val="28810DA6"/>
    <w:rsid w:val="28821EC8"/>
    <w:rsid w:val="28825742"/>
    <w:rsid w:val="28855928"/>
    <w:rsid w:val="2888626F"/>
    <w:rsid w:val="288C6A33"/>
    <w:rsid w:val="2890109D"/>
    <w:rsid w:val="28903B02"/>
    <w:rsid w:val="28923049"/>
    <w:rsid w:val="28970B48"/>
    <w:rsid w:val="289B5C13"/>
    <w:rsid w:val="28A115A1"/>
    <w:rsid w:val="28A1789D"/>
    <w:rsid w:val="28A42E5E"/>
    <w:rsid w:val="28A6416E"/>
    <w:rsid w:val="28A74C53"/>
    <w:rsid w:val="28AE5E64"/>
    <w:rsid w:val="28B27C92"/>
    <w:rsid w:val="28B31E83"/>
    <w:rsid w:val="28B50EB0"/>
    <w:rsid w:val="28B55D24"/>
    <w:rsid w:val="28BB74F1"/>
    <w:rsid w:val="28BE0E58"/>
    <w:rsid w:val="28C26BE1"/>
    <w:rsid w:val="28C8160D"/>
    <w:rsid w:val="28CA226F"/>
    <w:rsid w:val="28CA634C"/>
    <w:rsid w:val="28CB0EC1"/>
    <w:rsid w:val="28CB4420"/>
    <w:rsid w:val="28D22191"/>
    <w:rsid w:val="28D3015B"/>
    <w:rsid w:val="28D441F8"/>
    <w:rsid w:val="28D47CFA"/>
    <w:rsid w:val="28D51250"/>
    <w:rsid w:val="28D701F4"/>
    <w:rsid w:val="28D819D5"/>
    <w:rsid w:val="28D94E18"/>
    <w:rsid w:val="28DA1A47"/>
    <w:rsid w:val="28DC2C46"/>
    <w:rsid w:val="28DC3A02"/>
    <w:rsid w:val="28DC6FC8"/>
    <w:rsid w:val="28E07DA5"/>
    <w:rsid w:val="28EA0B46"/>
    <w:rsid w:val="28EF255A"/>
    <w:rsid w:val="28EF6083"/>
    <w:rsid w:val="28EF7884"/>
    <w:rsid w:val="28F10B83"/>
    <w:rsid w:val="28F200F3"/>
    <w:rsid w:val="28F363A7"/>
    <w:rsid w:val="28F74BCA"/>
    <w:rsid w:val="28FA36BC"/>
    <w:rsid w:val="28FE4048"/>
    <w:rsid w:val="28FE711E"/>
    <w:rsid w:val="28FF6F90"/>
    <w:rsid w:val="28FF7086"/>
    <w:rsid w:val="29002368"/>
    <w:rsid w:val="290153D5"/>
    <w:rsid w:val="29043BF2"/>
    <w:rsid w:val="29090ECC"/>
    <w:rsid w:val="290B22B5"/>
    <w:rsid w:val="290D61DF"/>
    <w:rsid w:val="291C1F6B"/>
    <w:rsid w:val="29201427"/>
    <w:rsid w:val="29230357"/>
    <w:rsid w:val="292456B3"/>
    <w:rsid w:val="29245B4F"/>
    <w:rsid w:val="292466B5"/>
    <w:rsid w:val="292E2E28"/>
    <w:rsid w:val="292F1DD2"/>
    <w:rsid w:val="29306DC0"/>
    <w:rsid w:val="2931435E"/>
    <w:rsid w:val="2931745F"/>
    <w:rsid w:val="293C40A6"/>
    <w:rsid w:val="293D4EA4"/>
    <w:rsid w:val="29443FCC"/>
    <w:rsid w:val="29486DCC"/>
    <w:rsid w:val="294F461C"/>
    <w:rsid w:val="2956499C"/>
    <w:rsid w:val="295B1172"/>
    <w:rsid w:val="295B5242"/>
    <w:rsid w:val="295B7A9F"/>
    <w:rsid w:val="295C6DEC"/>
    <w:rsid w:val="295D10B5"/>
    <w:rsid w:val="295F5F3D"/>
    <w:rsid w:val="296319A8"/>
    <w:rsid w:val="29640712"/>
    <w:rsid w:val="296A3A61"/>
    <w:rsid w:val="296B13EB"/>
    <w:rsid w:val="296B3933"/>
    <w:rsid w:val="296B457B"/>
    <w:rsid w:val="296C685B"/>
    <w:rsid w:val="296E0692"/>
    <w:rsid w:val="29716EBE"/>
    <w:rsid w:val="29731873"/>
    <w:rsid w:val="297C50B1"/>
    <w:rsid w:val="297E0190"/>
    <w:rsid w:val="29807FC3"/>
    <w:rsid w:val="2983006F"/>
    <w:rsid w:val="29833531"/>
    <w:rsid w:val="29862E30"/>
    <w:rsid w:val="29890990"/>
    <w:rsid w:val="29893240"/>
    <w:rsid w:val="298D125A"/>
    <w:rsid w:val="298D4F1B"/>
    <w:rsid w:val="298E0F8A"/>
    <w:rsid w:val="298F2BF5"/>
    <w:rsid w:val="29907940"/>
    <w:rsid w:val="299A08E4"/>
    <w:rsid w:val="299A393E"/>
    <w:rsid w:val="299B4F80"/>
    <w:rsid w:val="299E4327"/>
    <w:rsid w:val="29A10F11"/>
    <w:rsid w:val="29A8121F"/>
    <w:rsid w:val="29A83CB2"/>
    <w:rsid w:val="29AA2C97"/>
    <w:rsid w:val="29AD6D41"/>
    <w:rsid w:val="29AF3B17"/>
    <w:rsid w:val="29B038BC"/>
    <w:rsid w:val="29B51D35"/>
    <w:rsid w:val="29B7318B"/>
    <w:rsid w:val="29B81EF0"/>
    <w:rsid w:val="29BF3E7A"/>
    <w:rsid w:val="29C10424"/>
    <w:rsid w:val="29C444C6"/>
    <w:rsid w:val="29CC6C8B"/>
    <w:rsid w:val="29CD79CE"/>
    <w:rsid w:val="29CF5A55"/>
    <w:rsid w:val="29CF61C3"/>
    <w:rsid w:val="29D45F91"/>
    <w:rsid w:val="29D64506"/>
    <w:rsid w:val="29D95C85"/>
    <w:rsid w:val="29DD7A4A"/>
    <w:rsid w:val="29DE464F"/>
    <w:rsid w:val="29E10BAD"/>
    <w:rsid w:val="29E93E4A"/>
    <w:rsid w:val="29F0198C"/>
    <w:rsid w:val="29F33B39"/>
    <w:rsid w:val="29F43ECF"/>
    <w:rsid w:val="29F85595"/>
    <w:rsid w:val="29F924E9"/>
    <w:rsid w:val="29FB4EFB"/>
    <w:rsid w:val="29FB73EE"/>
    <w:rsid w:val="29FE760C"/>
    <w:rsid w:val="2A001B3E"/>
    <w:rsid w:val="2A001C23"/>
    <w:rsid w:val="2A030C4E"/>
    <w:rsid w:val="2A06268E"/>
    <w:rsid w:val="2A071685"/>
    <w:rsid w:val="2A0C1C46"/>
    <w:rsid w:val="2A115524"/>
    <w:rsid w:val="2A170384"/>
    <w:rsid w:val="2A170FC4"/>
    <w:rsid w:val="2A181D45"/>
    <w:rsid w:val="2A1A0A29"/>
    <w:rsid w:val="2A1E2A2C"/>
    <w:rsid w:val="2A1E304A"/>
    <w:rsid w:val="2A1E5A30"/>
    <w:rsid w:val="2A25512A"/>
    <w:rsid w:val="2A2728E5"/>
    <w:rsid w:val="2A2A45F7"/>
    <w:rsid w:val="2A2E6E55"/>
    <w:rsid w:val="2A32765D"/>
    <w:rsid w:val="2A343E69"/>
    <w:rsid w:val="2A3E4D4E"/>
    <w:rsid w:val="2A3F1BC0"/>
    <w:rsid w:val="2A40246F"/>
    <w:rsid w:val="2A414681"/>
    <w:rsid w:val="2A4246BF"/>
    <w:rsid w:val="2A4534D7"/>
    <w:rsid w:val="2A4A386D"/>
    <w:rsid w:val="2A4D6D47"/>
    <w:rsid w:val="2A506F35"/>
    <w:rsid w:val="2A5364CB"/>
    <w:rsid w:val="2A5813FC"/>
    <w:rsid w:val="2A5B364E"/>
    <w:rsid w:val="2A5C2039"/>
    <w:rsid w:val="2A5E27B1"/>
    <w:rsid w:val="2A5E704D"/>
    <w:rsid w:val="2A625541"/>
    <w:rsid w:val="2A6875F1"/>
    <w:rsid w:val="2A691C2E"/>
    <w:rsid w:val="2A6A65FC"/>
    <w:rsid w:val="2A6D2884"/>
    <w:rsid w:val="2A6F6D40"/>
    <w:rsid w:val="2A765EE8"/>
    <w:rsid w:val="2A766D9F"/>
    <w:rsid w:val="2A7D0C42"/>
    <w:rsid w:val="2A7D4E5A"/>
    <w:rsid w:val="2A7E18F0"/>
    <w:rsid w:val="2A813759"/>
    <w:rsid w:val="2A820BBB"/>
    <w:rsid w:val="2A831436"/>
    <w:rsid w:val="2A84205C"/>
    <w:rsid w:val="2A845B14"/>
    <w:rsid w:val="2A85225C"/>
    <w:rsid w:val="2A865B37"/>
    <w:rsid w:val="2A8D2B00"/>
    <w:rsid w:val="2A913C84"/>
    <w:rsid w:val="2A926097"/>
    <w:rsid w:val="2A9346D8"/>
    <w:rsid w:val="2A950E75"/>
    <w:rsid w:val="2A9E6BBD"/>
    <w:rsid w:val="2A9F777E"/>
    <w:rsid w:val="2AA035FF"/>
    <w:rsid w:val="2AA04B4D"/>
    <w:rsid w:val="2AA44928"/>
    <w:rsid w:val="2AAA7FA5"/>
    <w:rsid w:val="2AAB3DEC"/>
    <w:rsid w:val="2AAE7666"/>
    <w:rsid w:val="2AB27CF0"/>
    <w:rsid w:val="2ABA0E6A"/>
    <w:rsid w:val="2ABA1007"/>
    <w:rsid w:val="2ABF4D3F"/>
    <w:rsid w:val="2AC0793A"/>
    <w:rsid w:val="2AC45F13"/>
    <w:rsid w:val="2AC74243"/>
    <w:rsid w:val="2ACC1B4B"/>
    <w:rsid w:val="2ACE086E"/>
    <w:rsid w:val="2AD003E2"/>
    <w:rsid w:val="2AD21E75"/>
    <w:rsid w:val="2AD62453"/>
    <w:rsid w:val="2AD7157A"/>
    <w:rsid w:val="2AD746E8"/>
    <w:rsid w:val="2AD7588E"/>
    <w:rsid w:val="2AD7661D"/>
    <w:rsid w:val="2AD76C35"/>
    <w:rsid w:val="2AD8237B"/>
    <w:rsid w:val="2AD973CF"/>
    <w:rsid w:val="2AE127B9"/>
    <w:rsid w:val="2AE22EE1"/>
    <w:rsid w:val="2AE42C57"/>
    <w:rsid w:val="2AE46520"/>
    <w:rsid w:val="2AEA6493"/>
    <w:rsid w:val="2AEB75FD"/>
    <w:rsid w:val="2AEC07BE"/>
    <w:rsid w:val="2AEC6D59"/>
    <w:rsid w:val="2AEE3856"/>
    <w:rsid w:val="2AF4410B"/>
    <w:rsid w:val="2AF65B96"/>
    <w:rsid w:val="2B010E5D"/>
    <w:rsid w:val="2B017B98"/>
    <w:rsid w:val="2B080509"/>
    <w:rsid w:val="2B0A78A5"/>
    <w:rsid w:val="2B0D6D4C"/>
    <w:rsid w:val="2B0E28C1"/>
    <w:rsid w:val="2B0E56BD"/>
    <w:rsid w:val="2B133726"/>
    <w:rsid w:val="2B17230D"/>
    <w:rsid w:val="2B19096D"/>
    <w:rsid w:val="2B190A26"/>
    <w:rsid w:val="2B191691"/>
    <w:rsid w:val="2B1D538D"/>
    <w:rsid w:val="2B233F25"/>
    <w:rsid w:val="2B234B95"/>
    <w:rsid w:val="2B2427FE"/>
    <w:rsid w:val="2B251C52"/>
    <w:rsid w:val="2B25517A"/>
    <w:rsid w:val="2B27195E"/>
    <w:rsid w:val="2B277081"/>
    <w:rsid w:val="2B2A471E"/>
    <w:rsid w:val="2B2E4B18"/>
    <w:rsid w:val="2B2F2A67"/>
    <w:rsid w:val="2B3032E2"/>
    <w:rsid w:val="2B316B73"/>
    <w:rsid w:val="2B372767"/>
    <w:rsid w:val="2B3C651B"/>
    <w:rsid w:val="2B3E4E50"/>
    <w:rsid w:val="2B3E7759"/>
    <w:rsid w:val="2B3F087F"/>
    <w:rsid w:val="2B423AFA"/>
    <w:rsid w:val="2B446E9A"/>
    <w:rsid w:val="2B485102"/>
    <w:rsid w:val="2B494720"/>
    <w:rsid w:val="2B4B71EB"/>
    <w:rsid w:val="2B51446A"/>
    <w:rsid w:val="2B527D80"/>
    <w:rsid w:val="2B5319C0"/>
    <w:rsid w:val="2B576CE1"/>
    <w:rsid w:val="2B590EF7"/>
    <w:rsid w:val="2B5C2A6C"/>
    <w:rsid w:val="2B5D0A9C"/>
    <w:rsid w:val="2B5F0D18"/>
    <w:rsid w:val="2B6271B2"/>
    <w:rsid w:val="2B627845"/>
    <w:rsid w:val="2B663F9B"/>
    <w:rsid w:val="2B6838C9"/>
    <w:rsid w:val="2B695BDB"/>
    <w:rsid w:val="2B6B48F0"/>
    <w:rsid w:val="2B6D60FC"/>
    <w:rsid w:val="2B6E7188"/>
    <w:rsid w:val="2B72266F"/>
    <w:rsid w:val="2B7668B6"/>
    <w:rsid w:val="2B7A088B"/>
    <w:rsid w:val="2B7C2510"/>
    <w:rsid w:val="2B7C6B6B"/>
    <w:rsid w:val="2B7F0729"/>
    <w:rsid w:val="2B8140DB"/>
    <w:rsid w:val="2B82358E"/>
    <w:rsid w:val="2B8532D7"/>
    <w:rsid w:val="2B890A54"/>
    <w:rsid w:val="2B8C406B"/>
    <w:rsid w:val="2B900EBB"/>
    <w:rsid w:val="2B9312C3"/>
    <w:rsid w:val="2B961330"/>
    <w:rsid w:val="2BA46900"/>
    <w:rsid w:val="2BA47281"/>
    <w:rsid w:val="2BA54E49"/>
    <w:rsid w:val="2BA75065"/>
    <w:rsid w:val="2BAA478F"/>
    <w:rsid w:val="2BAB1796"/>
    <w:rsid w:val="2BAC15E8"/>
    <w:rsid w:val="2BAC275F"/>
    <w:rsid w:val="2BB517BF"/>
    <w:rsid w:val="2BBD6B33"/>
    <w:rsid w:val="2BBF1CFB"/>
    <w:rsid w:val="2BC17D94"/>
    <w:rsid w:val="2BC439A8"/>
    <w:rsid w:val="2BC43DDA"/>
    <w:rsid w:val="2BC47EE7"/>
    <w:rsid w:val="2BCA2C26"/>
    <w:rsid w:val="2BCE3E37"/>
    <w:rsid w:val="2BCE4718"/>
    <w:rsid w:val="2BD53EAB"/>
    <w:rsid w:val="2BDA2129"/>
    <w:rsid w:val="2BDB6E4E"/>
    <w:rsid w:val="2BDD1AD0"/>
    <w:rsid w:val="2BDD6138"/>
    <w:rsid w:val="2BE05B09"/>
    <w:rsid w:val="2BE23677"/>
    <w:rsid w:val="2BE42EA5"/>
    <w:rsid w:val="2BE72C2D"/>
    <w:rsid w:val="2BEA6177"/>
    <w:rsid w:val="2BEB64B5"/>
    <w:rsid w:val="2BEC0D70"/>
    <w:rsid w:val="2BED58AE"/>
    <w:rsid w:val="2BED7CFA"/>
    <w:rsid w:val="2BEF5457"/>
    <w:rsid w:val="2BF44AB7"/>
    <w:rsid w:val="2BF6690E"/>
    <w:rsid w:val="2BFA239D"/>
    <w:rsid w:val="2BFE2DAE"/>
    <w:rsid w:val="2C0231BB"/>
    <w:rsid w:val="2C03205A"/>
    <w:rsid w:val="2C080A3A"/>
    <w:rsid w:val="2C0B5515"/>
    <w:rsid w:val="2C0C0B07"/>
    <w:rsid w:val="2C127978"/>
    <w:rsid w:val="2C137ED6"/>
    <w:rsid w:val="2C145561"/>
    <w:rsid w:val="2C1555A8"/>
    <w:rsid w:val="2C164CC1"/>
    <w:rsid w:val="2C1B5488"/>
    <w:rsid w:val="2C1C42F0"/>
    <w:rsid w:val="2C1E47E9"/>
    <w:rsid w:val="2C1E672E"/>
    <w:rsid w:val="2C2221BB"/>
    <w:rsid w:val="2C2463DF"/>
    <w:rsid w:val="2C246F5A"/>
    <w:rsid w:val="2C2505C5"/>
    <w:rsid w:val="2C2556BB"/>
    <w:rsid w:val="2C255712"/>
    <w:rsid w:val="2C26133A"/>
    <w:rsid w:val="2C295510"/>
    <w:rsid w:val="2C31265F"/>
    <w:rsid w:val="2C3211BF"/>
    <w:rsid w:val="2C335EEA"/>
    <w:rsid w:val="2C35518A"/>
    <w:rsid w:val="2C382602"/>
    <w:rsid w:val="2C3A3212"/>
    <w:rsid w:val="2C3C1B8D"/>
    <w:rsid w:val="2C3C617D"/>
    <w:rsid w:val="2C3E12BF"/>
    <w:rsid w:val="2C450FE3"/>
    <w:rsid w:val="2C4D6683"/>
    <w:rsid w:val="2C4E2294"/>
    <w:rsid w:val="2C51553A"/>
    <w:rsid w:val="2C5470ED"/>
    <w:rsid w:val="2C567473"/>
    <w:rsid w:val="2C57222B"/>
    <w:rsid w:val="2C5F5B48"/>
    <w:rsid w:val="2C6625BE"/>
    <w:rsid w:val="2C6747B5"/>
    <w:rsid w:val="2C6C27EB"/>
    <w:rsid w:val="2C6E4CF4"/>
    <w:rsid w:val="2C713719"/>
    <w:rsid w:val="2C71688D"/>
    <w:rsid w:val="2C753EBA"/>
    <w:rsid w:val="2C767D4E"/>
    <w:rsid w:val="2C7A2E65"/>
    <w:rsid w:val="2C7C619F"/>
    <w:rsid w:val="2C7D2253"/>
    <w:rsid w:val="2C80731D"/>
    <w:rsid w:val="2C82254C"/>
    <w:rsid w:val="2C82746C"/>
    <w:rsid w:val="2C8454B5"/>
    <w:rsid w:val="2C8A4E29"/>
    <w:rsid w:val="2C8D538F"/>
    <w:rsid w:val="2C8E64D2"/>
    <w:rsid w:val="2C8F5C29"/>
    <w:rsid w:val="2C936AB4"/>
    <w:rsid w:val="2C9426E8"/>
    <w:rsid w:val="2C9925F2"/>
    <w:rsid w:val="2C9E6AF2"/>
    <w:rsid w:val="2CA20064"/>
    <w:rsid w:val="2CA27C42"/>
    <w:rsid w:val="2CA32126"/>
    <w:rsid w:val="2CA60119"/>
    <w:rsid w:val="2CA95731"/>
    <w:rsid w:val="2CAE4926"/>
    <w:rsid w:val="2CB2036E"/>
    <w:rsid w:val="2CB623C3"/>
    <w:rsid w:val="2CB67454"/>
    <w:rsid w:val="2CB707C7"/>
    <w:rsid w:val="2CBA36B1"/>
    <w:rsid w:val="2CBB7AAF"/>
    <w:rsid w:val="2CBC68A3"/>
    <w:rsid w:val="2CBD0812"/>
    <w:rsid w:val="2CBE7BE9"/>
    <w:rsid w:val="2CC11D0A"/>
    <w:rsid w:val="2CC62855"/>
    <w:rsid w:val="2CC74571"/>
    <w:rsid w:val="2CCD30F5"/>
    <w:rsid w:val="2CCD64C1"/>
    <w:rsid w:val="2CD21F54"/>
    <w:rsid w:val="2CD636BB"/>
    <w:rsid w:val="2CD83F97"/>
    <w:rsid w:val="2CDA29F2"/>
    <w:rsid w:val="2CDE33E0"/>
    <w:rsid w:val="2CE0268E"/>
    <w:rsid w:val="2CE02863"/>
    <w:rsid w:val="2CE105AA"/>
    <w:rsid w:val="2CE52897"/>
    <w:rsid w:val="2CE87139"/>
    <w:rsid w:val="2CEB2667"/>
    <w:rsid w:val="2CEB6237"/>
    <w:rsid w:val="2CF1078E"/>
    <w:rsid w:val="2CF33BCB"/>
    <w:rsid w:val="2CF34947"/>
    <w:rsid w:val="2CF356D2"/>
    <w:rsid w:val="2CF405F1"/>
    <w:rsid w:val="2CF4179D"/>
    <w:rsid w:val="2CFA6FFA"/>
    <w:rsid w:val="2CFB2A6E"/>
    <w:rsid w:val="2CFB7531"/>
    <w:rsid w:val="2CFE5E26"/>
    <w:rsid w:val="2D09269D"/>
    <w:rsid w:val="2D0E7131"/>
    <w:rsid w:val="2D0F1399"/>
    <w:rsid w:val="2D0F1694"/>
    <w:rsid w:val="2D1108EA"/>
    <w:rsid w:val="2D144041"/>
    <w:rsid w:val="2D154212"/>
    <w:rsid w:val="2D1626A5"/>
    <w:rsid w:val="2D167B9D"/>
    <w:rsid w:val="2D1907E7"/>
    <w:rsid w:val="2D1A60D3"/>
    <w:rsid w:val="2D1B0CFF"/>
    <w:rsid w:val="2D1C00C9"/>
    <w:rsid w:val="2D1C02DA"/>
    <w:rsid w:val="2D1D65AD"/>
    <w:rsid w:val="2D1E10E1"/>
    <w:rsid w:val="2D1E247E"/>
    <w:rsid w:val="2D1F624C"/>
    <w:rsid w:val="2D2A31EA"/>
    <w:rsid w:val="2D2B652E"/>
    <w:rsid w:val="2D2D262C"/>
    <w:rsid w:val="2D2E6DE0"/>
    <w:rsid w:val="2D2F26C2"/>
    <w:rsid w:val="2D3006A1"/>
    <w:rsid w:val="2D335EC1"/>
    <w:rsid w:val="2D3948AB"/>
    <w:rsid w:val="2D397643"/>
    <w:rsid w:val="2D3A6F3D"/>
    <w:rsid w:val="2D3D463B"/>
    <w:rsid w:val="2D415D24"/>
    <w:rsid w:val="2D466E81"/>
    <w:rsid w:val="2D47334A"/>
    <w:rsid w:val="2D4C04C1"/>
    <w:rsid w:val="2D577C69"/>
    <w:rsid w:val="2D5A7789"/>
    <w:rsid w:val="2D5C14F4"/>
    <w:rsid w:val="2D5C7A3F"/>
    <w:rsid w:val="2D602C59"/>
    <w:rsid w:val="2D626AB2"/>
    <w:rsid w:val="2D63500D"/>
    <w:rsid w:val="2D653148"/>
    <w:rsid w:val="2D6A0EC5"/>
    <w:rsid w:val="2D6C3872"/>
    <w:rsid w:val="2D715FAC"/>
    <w:rsid w:val="2D732880"/>
    <w:rsid w:val="2D733880"/>
    <w:rsid w:val="2D7D3158"/>
    <w:rsid w:val="2D7E1EDE"/>
    <w:rsid w:val="2D7E22B6"/>
    <w:rsid w:val="2D877E64"/>
    <w:rsid w:val="2D886AE3"/>
    <w:rsid w:val="2D891CD0"/>
    <w:rsid w:val="2D893CC3"/>
    <w:rsid w:val="2D8A2239"/>
    <w:rsid w:val="2D8B2AFB"/>
    <w:rsid w:val="2D8D62A0"/>
    <w:rsid w:val="2D8D6BF9"/>
    <w:rsid w:val="2D8F2E93"/>
    <w:rsid w:val="2D8F4792"/>
    <w:rsid w:val="2D8F4ED6"/>
    <w:rsid w:val="2D90280B"/>
    <w:rsid w:val="2D94422E"/>
    <w:rsid w:val="2D974742"/>
    <w:rsid w:val="2D995790"/>
    <w:rsid w:val="2D9B5999"/>
    <w:rsid w:val="2D9D3E0C"/>
    <w:rsid w:val="2D9D555D"/>
    <w:rsid w:val="2D9D70B7"/>
    <w:rsid w:val="2DA51B35"/>
    <w:rsid w:val="2DA8782C"/>
    <w:rsid w:val="2DAD60B0"/>
    <w:rsid w:val="2DB818D6"/>
    <w:rsid w:val="2DB910AE"/>
    <w:rsid w:val="2DB92D7D"/>
    <w:rsid w:val="2DBD2509"/>
    <w:rsid w:val="2DBE28C9"/>
    <w:rsid w:val="2DBF585E"/>
    <w:rsid w:val="2DC0000B"/>
    <w:rsid w:val="2DC23E9B"/>
    <w:rsid w:val="2DC366FB"/>
    <w:rsid w:val="2DC44DC0"/>
    <w:rsid w:val="2DC55A80"/>
    <w:rsid w:val="2DC944F0"/>
    <w:rsid w:val="2DCA131D"/>
    <w:rsid w:val="2DCA397C"/>
    <w:rsid w:val="2DCB4A5D"/>
    <w:rsid w:val="2DCC090C"/>
    <w:rsid w:val="2DCC7A26"/>
    <w:rsid w:val="2DCD019A"/>
    <w:rsid w:val="2DD23EF4"/>
    <w:rsid w:val="2DD37A7C"/>
    <w:rsid w:val="2DD41AEA"/>
    <w:rsid w:val="2DD561C5"/>
    <w:rsid w:val="2DD758F5"/>
    <w:rsid w:val="2DDC404D"/>
    <w:rsid w:val="2DDC7ECD"/>
    <w:rsid w:val="2DE00C12"/>
    <w:rsid w:val="2DE02C40"/>
    <w:rsid w:val="2DE23E44"/>
    <w:rsid w:val="2DE521BD"/>
    <w:rsid w:val="2DE522AF"/>
    <w:rsid w:val="2DE6386E"/>
    <w:rsid w:val="2DE74393"/>
    <w:rsid w:val="2DEB29EF"/>
    <w:rsid w:val="2DEF4831"/>
    <w:rsid w:val="2DF34514"/>
    <w:rsid w:val="2DF87963"/>
    <w:rsid w:val="2DFA0FC0"/>
    <w:rsid w:val="2DFA56AE"/>
    <w:rsid w:val="2DFD2978"/>
    <w:rsid w:val="2E015F26"/>
    <w:rsid w:val="2E025980"/>
    <w:rsid w:val="2E061F52"/>
    <w:rsid w:val="2E091210"/>
    <w:rsid w:val="2E095BCD"/>
    <w:rsid w:val="2E0A2402"/>
    <w:rsid w:val="2E0B0844"/>
    <w:rsid w:val="2E0F433D"/>
    <w:rsid w:val="2E10242F"/>
    <w:rsid w:val="2E1042D0"/>
    <w:rsid w:val="2E110237"/>
    <w:rsid w:val="2E112CFF"/>
    <w:rsid w:val="2E123DE8"/>
    <w:rsid w:val="2E126576"/>
    <w:rsid w:val="2E1337AC"/>
    <w:rsid w:val="2E152E2F"/>
    <w:rsid w:val="2E1767F9"/>
    <w:rsid w:val="2E18605F"/>
    <w:rsid w:val="2E194A42"/>
    <w:rsid w:val="2E1C7701"/>
    <w:rsid w:val="2E1C7C65"/>
    <w:rsid w:val="2E232B87"/>
    <w:rsid w:val="2E237C35"/>
    <w:rsid w:val="2E241025"/>
    <w:rsid w:val="2E2744FD"/>
    <w:rsid w:val="2E29288F"/>
    <w:rsid w:val="2E29312B"/>
    <w:rsid w:val="2E2E1022"/>
    <w:rsid w:val="2E3C7C27"/>
    <w:rsid w:val="2E44226D"/>
    <w:rsid w:val="2E457372"/>
    <w:rsid w:val="2E462777"/>
    <w:rsid w:val="2E481BE3"/>
    <w:rsid w:val="2E4829E6"/>
    <w:rsid w:val="2E493671"/>
    <w:rsid w:val="2E4A651D"/>
    <w:rsid w:val="2E4E6F14"/>
    <w:rsid w:val="2E514A9D"/>
    <w:rsid w:val="2E550F92"/>
    <w:rsid w:val="2E595121"/>
    <w:rsid w:val="2E5B1642"/>
    <w:rsid w:val="2E5C4269"/>
    <w:rsid w:val="2E5F2CFC"/>
    <w:rsid w:val="2E60214F"/>
    <w:rsid w:val="2E607F2C"/>
    <w:rsid w:val="2E65273E"/>
    <w:rsid w:val="2E656A17"/>
    <w:rsid w:val="2E6627EE"/>
    <w:rsid w:val="2E6845E5"/>
    <w:rsid w:val="2E6A0FD3"/>
    <w:rsid w:val="2E6A170E"/>
    <w:rsid w:val="2E6A198B"/>
    <w:rsid w:val="2E6A453A"/>
    <w:rsid w:val="2E6C5B35"/>
    <w:rsid w:val="2E6D5221"/>
    <w:rsid w:val="2E7144F0"/>
    <w:rsid w:val="2E745B46"/>
    <w:rsid w:val="2E7721FD"/>
    <w:rsid w:val="2E79584D"/>
    <w:rsid w:val="2E7C1E85"/>
    <w:rsid w:val="2E7F5807"/>
    <w:rsid w:val="2E7F7D9A"/>
    <w:rsid w:val="2E820D5D"/>
    <w:rsid w:val="2E831CAC"/>
    <w:rsid w:val="2E8424B6"/>
    <w:rsid w:val="2E845ACA"/>
    <w:rsid w:val="2E8569C2"/>
    <w:rsid w:val="2E8C130C"/>
    <w:rsid w:val="2E8D4F2F"/>
    <w:rsid w:val="2E8E73F8"/>
    <w:rsid w:val="2E905124"/>
    <w:rsid w:val="2E923C74"/>
    <w:rsid w:val="2E956833"/>
    <w:rsid w:val="2E977B44"/>
    <w:rsid w:val="2E9925D9"/>
    <w:rsid w:val="2E9A0138"/>
    <w:rsid w:val="2E9C0258"/>
    <w:rsid w:val="2E9D5B3B"/>
    <w:rsid w:val="2E9E3A53"/>
    <w:rsid w:val="2EA01138"/>
    <w:rsid w:val="2EA71339"/>
    <w:rsid w:val="2EA72A95"/>
    <w:rsid w:val="2EAA465C"/>
    <w:rsid w:val="2EAD0F04"/>
    <w:rsid w:val="2EB50E54"/>
    <w:rsid w:val="2EB5169B"/>
    <w:rsid w:val="2EB60E60"/>
    <w:rsid w:val="2EB75294"/>
    <w:rsid w:val="2EC11F22"/>
    <w:rsid w:val="2EC67956"/>
    <w:rsid w:val="2ED13FCC"/>
    <w:rsid w:val="2ED854E0"/>
    <w:rsid w:val="2EDA4FB0"/>
    <w:rsid w:val="2EDB0A38"/>
    <w:rsid w:val="2EDB1425"/>
    <w:rsid w:val="2EE2534E"/>
    <w:rsid w:val="2EE342DC"/>
    <w:rsid w:val="2EE41C49"/>
    <w:rsid w:val="2EE62C15"/>
    <w:rsid w:val="2EEB0B69"/>
    <w:rsid w:val="2EEB16E0"/>
    <w:rsid w:val="2EED0ABA"/>
    <w:rsid w:val="2EEF59F2"/>
    <w:rsid w:val="2EEF73D3"/>
    <w:rsid w:val="2EF042AD"/>
    <w:rsid w:val="2EF61B07"/>
    <w:rsid w:val="2EF76910"/>
    <w:rsid w:val="2F00457D"/>
    <w:rsid w:val="2F042122"/>
    <w:rsid w:val="2F073E7F"/>
    <w:rsid w:val="2F084F76"/>
    <w:rsid w:val="2F151525"/>
    <w:rsid w:val="2F155BE9"/>
    <w:rsid w:val="2F17055B"/>
    <w:rsid w:val="2F177ECC"/>
    <w:rsid w:val="2F1F5A87"/>
    <w:rsid w:val="2F2568D6"/>
    <w:rsid w:val="2F261D87"/>
    <w:rsid w:val="2F263A8E"/>
    <w:rsid w:val="2F2C165B"/>
    <w:rsid w:val="2F2C71BD"/>
    <w:rsid w:val="2F321281"/>
    <w:rsid w:val="2F347869"/>
    <w:rsid w:val="2F363CA6"/>
    <w:rsid w:val="2F3765E6"/>
    <w:rsid w:val="2F3921EF"/>
    <w:rsid w:val="2F3D3DF5"/>
    <w:rsid w:val="2F407A66"/>
    <w:rsid w:val="2F4259E8"/>
    <w:rsid w:val="2F427BD8"/>
    <w:rsid w:val="2F45170B"/>
    <w:rsid w:val="2F47225E"/>
    <w:rsid w:val="2F480E6D"/>
    <w:rsid w:val="2F4C36C2"/>
    <w:rsid w:val="2F4D0835"/>
    <w:rsid w:val="2F500EB4"/>
    <w:rsid w:val="2F565522"/>
    <w:rsid w:val="2F566628"/>
    <w:rsid w:val="2F5B1DDC"/>
    <w:rsid w:val="2F5D4F84"/>
    <w:rsid w:val="2F5E3353"/>
    <w:rsid w:val="2F601C67"/>
    <w:rsid w:val="2F6200B8"/>
    <w:rsid w:val="2F6721D5"/>
    <w:rsid w:val="2F6D255C"/>
    <w:rsid w:val="2F70485D"/>
    <w:rsid w:val="2F761902"/>
    <w:rsid w:val="2F772F21"/>
    <w:rsid w:val="2F774060"/>
    <w:rsid w:val="2F7A16B1"/>
    <w:rsid w:val="2F7A3960"/>
    <w:rsid w:val="2F7B0E44"/>
    <w:rsid w:val="2F7B155C"/>
    <w:rsid w:val="2F7C16A5"/>
    <w:rsid w:val="2F7C63DF"/>
    <w:rsid w:val="2F7D02A8"/>
    <w:rsid w:val="2F7F3169"/>
    <w:rsid w:val="2F8068DE"/>
    <w:rsid w:val="2F8068F5"/>
    <w:rsid w:val="2F87650A"/>
    <w:rsid w:val="2F8D5462"/>
    <w:rsid w:val="2F923394"/>
    <w:rsid w:val="2F955E8E"/>
    <w:rsid w:val="2F9650E7"/>
    <w:rsid w:val="2F976BCA"/>
    <w:rsid w:val="2F981AC5"/>
    <w:rsid w:val="2F9D7E1C"/>
    <w:rsid w:val="2FA10AF2"/>
    <w:rsid w:val="2FA53DC9"/>
    <w:rsid w:val="2FA677FF"/>
    <w:rsid w:val="2FA946EB"/>
    <w:rsid w:val="2FAB79C7"/>
    <w:rsid w:val="2FAD25F0"/>
    <w:rsid w:val="2FAD70E0"/>
    <w:rsid w:val="2FB4064E"/>
    <w:rsid w:val="2FB426EE"/>
    <w:rsid w:val="2FB95E81"/>
    <w:rsid w:val="2FBD6356"/>
    <w:rsid w:val="2FBE5099"/>
    <w:rsid w:val="2FBE53FF"/>
    <w:rsid w:val="2FC01F9A"/>
    <w:rsid w:val="2FC20119"/>
    <w:rsid w:val="2FC256A6"/>
    <w:rsid w:val="2FC63307"/>
    <w:rsid w:val="2FC8146C"/>
    <w:rsid w:val="2FD32491"/>
    <w:rsid w:val="2FD3524B"/>
    <w:rsid w:val="2FD37B67"/>
    <w:rsid w:val="2FD74FCF"/>
    <w:rsid w:val="2FD82986"/>
    <w:rsid w:val="2FD8318C"/>
    <w:rsid w:val="2FD85BF4"/>
    <w:rsid w:val="2FDA1813"/>
    <w:rsid w:val="2FDA182A"/>
    <w:rsid w:val="2FDE1EAF"/>
    <w:rsid w:val="2FDF33BA"/>
    <w:rsid w:val="2FE314B3"/>
    <w:rsid w:val="2FE32A5E"/>
    <w:rsid w:val="2FE3711D"/>
    <w:rsid w:val="2FE37329"/>
    <w:rsid w:val="2FF110B1"/>
    <w:rsid w:val="2FF165F1"/>
    <w:rsid w:val="2FF62BF6"/>
    <w:rsid w:val="2FF82F46"/>
    <w:rsid w:val="2FF86BB0"/>
    <w:rsid w:val="2FFE052F"/>
    <w:rsid w:val="300060AC"/>
    <w:rsid w:val="3002510B"/>
    <w:rsid w:val="30041EB7"/>
    <w:rsid w:val="3006597E"/>
    <w:rsid w:val="30083F49"/>
    <w:rsid w:val="300A5CDA"/>
    <w:rsid w:val="300C3BE0"/>
    <w:rsid w:val="300E45D3"/>
    <w:rsid w:val="301054BC"/>
    <w:rsid w:val="30106846"/>
    <w:rsid w:val="3015224B"/>
    <w:rsid w:val="301C49BB"/>
    <w:rsid w:val="30207651"/>
    <w:rsid w:val="30231738"/>
    <w:rsid w:val="30250EFD"/>
    <w:rsid w:val="30265C5E"/>
    <w:rsid w:val="30272692"/>
    <w:rsid w:val="302870B8"/>
    <w:rsid w:val="302C6C63"/>
    <w:rsid w:val="30336194"/>
    <w:rsid w:val="30354475"/>
    <w:rsid w:val="303B019E"/>
    <w:rsid w:val="303F2ABB"/>
    <w:rsid w:val="303F690F"/>
    <w:rsid w:val="30425B99"/>
    <w:rsid w:val="30460B60"/>
    <w:rsid w:val="304B4C28"/>
    <w:rsid w:val="304D43F6"/>
    <w:rsid w:val="304D5AD3"/>
    <w:rsid w:val="304F3DCA"/>
    <w:rsid w:val="304F4432"/>
    <w:rsid w:val="305113EF"/>
    <w:rsid w:val="30524205"/>
    <w:rsid w:val="30570D4B"/>
    <w:rsid w:val="30584165"/>
    <w:rsid w:val="3059687B"/>
    <w:rsid w:val="305D26B0"/>
    <w:rsid w:val="305E6871"/>
    <w:rsid w:val="305E7E6D"/>
    <w:rsid w:val="30612C67"/>
    <w:rsid w:val="30617A95"/>
    <w:rsid w:val="306225D1"/>
    <w:rsid w:val="30634EEC"/>
    <w:rsid w:val="30647C17"/>
    <w:rsid w:val="307105DF"/>
    <w:rsid w:val="30721FF1"/>
    <w:rsid w:val="30722327"/>
    <w:rsid w:val="30757345"/>
    <w:rsid w:val="307730EE"/>
    <w:rsid w:val="307839C7"/>
    <w:rsid w:val="30784310"/>
    <w:rsid w:val="30796F47"/>
    <w:rsid w:val="30797D99"/>
    <w:rsid w:val="307A77F0"/>
    <w:rsid w:val="307B0C21"/>
    <w:rsid w:val="307C4D96"/>
    <w:rsid w:val="307E560E"/>
    <w:rsid w:val="30811843"/>
    <w:rsid w:val="30824B4A"/>
    <w:rsid w:val="30827967"/>
    <w:rsid w:val="30896E67"/>
    <w:rsid w:val="308A333B"/>
    <w:rsid w:val="308C18AB"/>
    <w:rsid w:val="308C340D"/>
    <w:rsid w:val="30911828"/>
    <w:rsid w:val="30920AAE"/>
    <w:rsid w:val="309414F4"/>
    <w:rsid w:val="3094390B"/>
    <w:rsid w:val="30946D29"/>
    <w:rsid w:val="30960EC3"/>
    <w:rsid w:val="309612D6"/>
    <w:rsid w:val="30970E57"/>
    <w:rsid w:val="30993F65"/>
    <w:rsid w:val="309B6579"/>
    <w:rsid w:val="30A05D93"/>
    <w:rsid w:val="30A70F09"/>
    <w:rsid w:val="30A96699"/>
    <w:rsid w:val="30B23CD0"/>
    <w:rsid w:val="30B8789A"/>
    <w:rsid w:val="30BA0288"/>
    <w:rsid w:val="30BE4D9E"/>
    <w:rsid w:val="30C42528"/>
    <w:rsid w:val="30C46E2C"/>
    <w:rsid w:val="30C96B78"/>
    <w:rsid w:val="30CB6D10"/>
    <w:rsid w:val="30CC2FA5"/>
    <w:rsid w:val="30D46B6C"/>
    <w:rsid w:val="30D53F3E"/>
    <w:rsid w:val="30D63A43"/>
    <w:rsid w:val="30D7482B"/>
    <w:rsid w:val="30D869EC"/>
    <w:rsid w:val="30D955D8"/>
    <w:rsid w:val="30DA1063"/>
    <w:rsid w:val="30DA7838"/>
    <w:rsid w:val="30DA7F82"/>
    <w:rsid w:val="30DC0C67"/>
    <w:rsid w:val="30DC4EB5"/>
    <w:rsid w:val="30DD0D88"/>
    <w:rsid w:val="30DF02C1"/>
    <w:rsid w:val="30E544C0"/>
    <w:rsid w:val="30EA369A"/>
    <w:rsid w:val="30EA69EE"/>
    <w:rsid w:val="30ED4891"/>
    <w:rsid w:val="30F22925"/>
    <w:rsid w:val="30F255B3"/>
    <w:rsid w:val="30F3778F"/>
    <w:rsid w:val="30F479A2"/>
    <w:rsid w:val="30F762E0"/>
    <w:rsid w:val="30F764A5"/>
    <w:rsid w:val="30F83127"/>
    <w:rsid w:val="30FE34C1"/>
    <w:rsid w:val="31030E80"/>
    <w:rsid w:val="31052F62"/>
    <w:rsid w:val="310826C0"/>
    <w:rsid w:val="31087465"/>
    <w:rsid w:val="310A4C64"/>
    <w:rsid w:val="310D53E9"/>
    <w:rsid w:val="310E1F65"/>
    <w:rsid w:val="311409BC"/>
    <w:rsid w:val="31196D68"/>
    <w:rsid w:val="311B0055"/>
    <w:rsid w:val="311E5C21"/>
    <w:rsid w:val="311F1943"/>
    <w:rsid w:val="31225386"/>
    <w:rsid w:val="31232EBD"/>
    <w:rsid w:val="312F7877"/>
    <w:rsid w:val="31313D8C"/>
    <w:rsid w:val="313140C0"/>
    <w:rsid w:val="3137088C"/>
    <w:rsid w:val="313D3628"/>
    <w:rsid w:val="313E0104"/>
    <w:rsid w:val="3140208C"/>
    <w:rsid w:val="31426A5D"/>
    <w:rsid w:val="31465B6A"/>
    <w:rsid w:val="314761BF"/>
    <w:rsid w:val="31487EDC"/>
    <w:rsid w:val="314E52BD"/>
    <w:rsid w:val="3151384E"/>
    <w:rsid w:val="31592C60"/>
    <w:rsid w:val="315970CE"/>
    <w:rsid w:val="31597D3D"/>
    <w:rsid w:val="315B077D"/>
    <w:rsid w:val="315B74F1"/>
    <w:rsid w:val="315E16F6"/>
    <w:rsid w:val="315E6891"/>
    <w:rsid w:val="3164722A"/>
    <w:rsid w:val="316C6DD8"/>
    <w:rsid w:val="316C7612"/>
    <w:rsid w:val="316D4F1A"/>
    <w:rsid w:val="316D7166"/>
    <w:rsid w:val="316E61B3"/>
    <w:rsid w:val="317215FD"/>
    <w:rsid w:val="317218CD"/>
    <w:rsid w:val="31752736"/>
    <w:rsid w:val="31760B20"/>
    <w:rsid w:val="317669B6"/>
    <w:rsid w:val="317864A7"/>
    <w:rsid w:val="31796244"/>
    <w:rsid w:val="317C3105"/>
    <w:rsid w:val="317C5742"/>
    <w:rsid w:val="317C77EB"/>
    <w:rsid w:val="317D0708"/>
    <w:rsid w:val="317D3BD5"/>
    <w:rsid w:val="317E0B68"/>
    <w:rsid w:val="317E4225"/>
    <w:rsid w:val="31826D6C"/>
    <w:rsid w:val="318759F4"/>
    <w:rsid w:val="31882E8F"/>
    <w:rsid w:val="318B2B47"/>
    <w:rsid w:val="318B4F49"/>
    <w:rsid w:val="318E2171"/>
    <w:rsid w:val="31933D31"/>
    <w:rsid w:val="319501E2"/>
    <w:rsid w:val="31957A76"/>
    <w:rsid w:val="31971494"/>
    <w:rsid w:val="319812DC"/>
    <w:rsid w:val="31985A42"/>
    <w:rsid w:val="319A40D9"/>
    <w:rsid w:val="319A6FCA"/>
    <w:rsid w:val="31A40232"/>
    <w:rsid w:val="31A51501"/>
    <w:rsid w:val="31A84EB7"/>
    <w:rsid w:val="31AE6F4E"/>
    <w:rsid w:val="31B13EBD"/>
    <w:rsid w:val="31B243E0"/>
    <w:rsid w:val="31BA21B2"/>
    <w:rsid w:val="31BD3C1D"/>
    <w:rsid w:val="31C02088"/>
    <w:rsid w:val="31C13485"/>
    <w:rsid w:val="31C162A0"/>
    <w:rsid w:val="31C563D9"/>
    <w:rsid w:val="31C65AA7"/>
    <w:rsid w:val="31C92C51"/>
    <w:rsid w:val="31CA28F9"/>
    <w:rsid w:val="31CF1F1C"/>
    <w:rsid w:val="31D25EF4"/>
    <w:rsid w:val="31D33250"/>
    <w:rsid w:val="31D46648"/>
    <w:rsid w:val="31D50270"/>
    <w:rsid w:val="31D65A82"/>
    <w:rsid w:val="31D90CEE"/>
    <w:rsid w:val="31D97556"/>
    <w:rsid w:val="31DB2698"/>
    <w:rsid w:val="31DF0DF8"/>
    <w:rsid w:val="31E139E7"/>
    <w:rsid w:val="31E15659"/>
    <w:rsid w:val="31E47F28"/>
    <w:rsid w:val="31E50F5B"/>
    <w:rsid w:val="31E5614A"/>
    <w:rsid w:val="31E8386C"/>
    <w:rsid w:val="31E9460E"/>
    <w:rsid w:val="31F1340E"/>
    <w:rsid w:val="31F13E06"/>
    <w:rsid w:val="31F1464B"/>
    <w:rsid w:val="31F35051"/>
    <w:rsid w:val="31F54C05"/>
    <w:rsid w:val="31F85BD4"/>
    <w:rsid w:val="31F864F8"/>
    <w:rsid w:val="31FF54B4"/>
    <w:rsid w:val="32025EE8"/>
    <w:rsid w:val="3204305A"/>
    <w:rsid w:val="32054CEA"/>
    <w:rsid w:val="320E7B71"/>
    <w:rsid w:val="321139BA"/>
    <w:rsid w:val="321366FF"/>
    <w:rsid w:val="32165DC3"/>
    <w:rsid w:val="321E782B"/>
    <w:rsid w:val="322817F9"/>
    <w:rsid w:val="322A3382"/>
    <w:rsid w:val="322B08FB"/>
    <w:rsid w:val="322F18D9"/>
    <w:rsid w:val="32316A54"/>
    <w:rsid w:val="32327BA4"/>
    <w:rsid w:val="323D05B8"/>
    <w:rsid w:val="32464190"/>
    <w:rsid w:val="32474655"/>
    <w:rsid w:val="324747E5"/>
    <w:rsid w:val="32490A97"/>
    <w:rsid w:val="324A542E"/>
    <w:rsid w:val="324B17C2"/>
    <w:rsid w:val="324B7441"/>
    <w:rsid w:val="324C5888"/>
    <w:rsid w:val="32563A12"/>
    <w:rsid w:val="325D13DB"/>
    <w:rsid w:val="32614EAB"/>
    <w:rsid w:val="326360C8"/>
    <w:rsid w:val="32637114"/>
    <w:rsid w:val="32651FF7"/>
    <w:rsid w:val="326625AC"/>
    <w:rsid w:val="326B7F3F"/>
    <w:rsid w:val="326E3F01"/>
    <w:rsid w:val="326F2486"/>
    <w:rsid w:val="32700637"/>
    <w:rsid w:val="327350A6"/>
    <w:rsid w:val="32744630"/>
    <w:rsid w:val="327B10D3"/>
    <w:rsid w:val="327E512E"/>
    <w:rsid w:val="327E5B7B"/>
    <w:rsid w:val="3288625B"/>
    <w:rsid w:val="328B22B4"/>
    <w:rsid w:val="328E300C"/>
    <w:rsid w:val="32920776"/>
    <w:rsid w:val="32925602"/>
    <w:rsid w:val="329357B6"/>
    <w:rsid w:val="3296276F"/>
    <w:rsid w:val="329728CA"/>
    <w:rsid w:val="32977363"/>
    <w:rsid w:val="32993809"/>
    <w:rsid w:val="329957EC"/>
    <w:rsid w:val="329971CB"/>
    <w:rsid w:val="32997860"/>
    <w:rsid w:val="329B795F"/>
    <w:rsid w:val="329F25E3"/>
    <w:rsid w:val="32A17868"/>
    <w:rsid w:val="32A3400B"/>
    <w:rsid w:val="32A84E33"/>
    <w:rsid w:val="32AB1DBB"/>
    <w:rsid w:val="32B30CB6"/>
    <w:rsid w:val="32B96666"/>
    <w:rsid w:val="32BB497C"/>
    <w:rsid w:val="32BC71D5"/>
    <w:rsid w:val="32C23D1C"/>
    <w:rsid w:val="32C838C5"/>
    <w:rsid w:val="32C842C9"/>
    <w:rsid w:val="32C87CAC"/>
    <w:rsid w:val="32D17632"/>
    <w:rsid w:val="32D51D7B"/>
    <w:rsid w:val="32DC45AA"/>
    <w:rsid w:val="32DF174B"/>
    <w:rsid w:val="32DF19B4"/>
    <w:rsid w:val="32E237AA"/>
    <w:rsid w:val="32E85CA4"/>
    <w:rsid w:val="32EE7EF2"/>
    <w:rsid w:val="32EF4ABA"/>
    <w:rsid w:val="32F15967"/>
    <w:rsid w:val="32F177C3"/>
    <w:rsid w:val="32F27473"/>
    <w:rsid w:val="32F53BC6"/>
    <w:rsid w:val="32FA7B4E"/>
    <w:rsid w:val="32FC15F6"/>
    <w:rsid w:val="32FC6795"/>
    <w:rsid w:val="32FD6CAB"/>
    <w:rsid w:val="32FF73D1"/>
    <w:rsid w:val="330052B5"/>
    <w:rsid w:val="33031807"/>
    <w:rsid w:val="33050401"/>
    <w:rsid w:val="3306788A"/>
    <w:rsid w:val="3309294F"/>
    <w:rsid w:val="330B2F97"/>
    <w:rsid w:val="330B3DEA"/>
    <w:rsid w:val="330C3F2C"/>
    <w:rsid w:val="330E121F"/>
    <w:rsid w:val="33134890"/>
    <w:rsid w:val="33134E9D"/>
    <w:rsid w:val="33135CFC"/>
    <w:rsid w:val="3315559C"/>
    <w:rsid w:val="331A3673"/>
    <w:rsid w:val="331C4499"/>
    <w:rsid w:val="331C7987"/>
    <w:rsid w:val="331F0493"/>
    <w:rsid w:val="3320368B"/>
    <w:rsid w:val="332821B7"/>
    <w:rsid w:val="332C1565"/>
    <w:rsid w:val="332C6969"/>
    <w:rsid w:val="3336224D"/>
    <w:rsid w:val="333766D7"/>
    <w:rsid w:val="33381B25"/>
    <w:rsid w:val="333830B1"/>
    <w:rsid w:val="3338450D"/>
    <w:rsid w:val="333B2D51"/>
    <w:rsid w:val="333C777A"/>
    <w:rsid w:val="333E2DA8"/>
    <w:rsid w:val="333F0A7C"/>
    <w:rsid w:val="3341682E"/>
    <w:rsid w:val="33441630"/>
    <w:rsid w:val="33444013"/>
    <w:rsid w:val="3345645F"/>
    <w:rsid w:val="334730D0"/>
    <w:rsid w:val="3348709A"/>
    <w:rsid w:val="33493E5F"/>
    <w:rsid w:val="334F352E"/>
    <w:rsid w:val="3351684E"/>
    <w:rsid w:val="335A6C57"/>
    <w:rsid w:val="335E618A"/>
    <w:rsid w:val="335E7D78"/>
    <w:rsid w:val="33611494"/>
    <w:rsid w:val="33646A83"/>
    <w:rsid w:val="33647B2F"/>
    <w:rsid w:val="33684902"/>
    <w:rsid w:val="336861FE"/>
    <w:rsid w:val="336C25F4"/>
    <w:rsid w:val="336C31E5"/>
    <w:rsid w:val="33731A2B"/>
    <w:rsid w:val="33770BCD"/>
    <w:rsid w:val="337800B9"/>
    <w:rsid w:val="337820C9"/>
    <w:rsid w:val="337A01CA"/>
    <w:rsid w:val="337B3608"/>
    <w:rsid w:val="337F358A"/>
    <w:rsid w:val="337F3CBB"/>
    <w:rsid w:val="337F4479"/>
    <w:rsid w:val="3380029F"/>
    <w:rsid w:val="33820A53"/>
    <w:rsid w:val="33843679"/>
    <w:rsid w:val="33865E1C"/>
    <w:rsid w:val="338D1219"/>
    <w:rsid w:val="33901911"/>
    <w:rsid w:val="339121DD"/>
    <w:rsid w:val="339178F2"/>
    <w:rsid w:val="33934869"/>
    <w:rsid w:val="339C0014"/>
    <w:rsid w:val="339D73F8"/>
    <w:rsid w:val="339E1D6A"/>
    <w:rsid w:val="33A36A4D"/>
    <w:rsid w:val="33A45D9F"/>
    <w:rsid w:val="33A51217"/>
    <w:rsid w:val="33A66A1B"/>
    <w:rsid w:val="33A72637"/>
    <w:rsid w:val="33A82889"/>
    <w:rsid w:val="33A85D71"/>
    <w:rsid w:val="33AC5A84"/>
    <w:rsid w:val="33AD5B73"/>
    <w:rsid w:val="33AF5B8B"/>
    <w:rsid w:val="33B04E4E"/>
    <w:rsid w:val="33B1587B"/>
    <w:rsid w:val="33B20EAF"/>
    <w:rsid w:val="33B54F0E"/>
    <w:rsid w:val="33B65F33"/>
    <w:rsid w:val="33B94560"/>
    <w:rsid w:val="33BD0E9B"/>
    <w:rsid w:val="33BE6A79"/>
    <w:rsid w:val="33BF7424"/>
    <w:rsid w:val="33C26B61"/>
    <w:rsid w:val="33C330CC"/>
    <w:rsid w:val="33C3361E"/>
    <w:rsid w:val="33C4259A"/>
    <w:rsid w:val="33C54841"/>
    <w:rsid w:val="33C64BA6"/>
    <w:rsid w:val="33CD6C36"/>
    <w:rsid w:val="33CF7104"/>
    <w:rsid w:val="33D04857"/>
    <w:rsid w:val="33D06E5C"/>
    <w:rsid w:val="33D2582E"/>
    <w:rsid w:val="33D46F8E"/>
    <w:rsid w:val="33D57ED0"/>
    <w:rsid w:val="33D82649"/>
    <w:rsid w:val="33D90604"/>
    <w:rsid w:val="33DA6214"/>
    <w:rsid w:val="33DC396D"/>
    <w:rsid w:val="33DF1F08"/>
    <w:rsid w:val="33E00D50"/>
    <w:rsid w:val="33E04264"/>
    <w:rsid w:val="33EB53F3"/>
    <w:rsid w:val="33F011AC"/>
    <w:rsid w:val="33F37C88"/>
    <w:rsid w:val="33FC009D"/>
    <w:rsid w:val="3404638A"/>
    <w:rsid w:val="340554EF"/>
    <w:rsid w:val="340738BC"/>
    <w:rsid w:val="340803EC"/>
    <w:rsid w:val="34114EEB"/>
    <w:rsid w:val="34164F43"/>
    <w:rsid w:val="341C0E33"/>
    <w:rsid w:val="341C64D4"/>
    <w:rsid w:val="341E30BB"/>
    <w:rsid w:val="341F2746"/>
    <w:rsid w:val="341F61A9"/>
    <w:rsid w:val="34202448"/>
    <w:rsid w:val="342336B5"/>
    <w:rsid w:val="34236519"/>
    <w:rsid w:val="342B1CA6"/>
    <w:rsid w:val="342C08F4"/>
    <w:rsid w:val="343126DD"/>
    <w:rsid w:val="343143D6"/>
    <w:rsid w:val="343861B9"/>
    <w:rsid w:val="3439027E"/>
    <w:rsid w:val="343C2AE3"/>
    <w:rsid w:val="344C34B1"/>
    <w:rsid w:val="344D0FD0"/>
    <w:rsid w:val="344E61AB"/>
    <w:rsid w:val="344F102A"/>
    <w:rsid w:val="344F2833"/>
    <w:rsid w:val="3457698B"/>
    <w:rsid w:val="3458762D"/>
    <w:rsid w:val="345D5F34"/>
    <w:rsid w:val="34696B64"/>
    <w:rsid w:val="346B78A7"/>
    <w:rsid w:val="346E4A7B"/>
    <w:rsid w:val="34702E90"/>
    <w:rsid w:val="3471527B"/>
    <w:rsid w:val="34720B0A"/>
    <w:rsid w:val="347A0BF0"/>
    <w:rsid w:val="347F14A7"/>
    <w:rsid w:val="34802294"/>
    <w:rsid w:val="348072C2"/>
    <w:rsid w:val="34815266"/>
    <w:rsid w:val="348825E6"/>
    <w:rsid w:val="34893DA7"/>
    <w:rsid w:val="348E5D76"/>
    <w:rsid w:val="34903874"/>
    <w:rsid w:val="34975302"/>
    <w:rsid w:val="34AB1E07"/>
    <w:rsid w:val="34B20365"/>
    <w:rsid w:val="34B4122D"/>
    <w:rsid w:val="34C169BA"/>
    <w:rsid w:val="34C479F5"/>
    <w:rsid w:val="34C72E01"/>
    <w:rsid w:val="34CA7FDA"/>
    <w:rsid w:val="34CC5F5C"/>
    <w:rsid w:val="34CD0ABE"/>
    <w:rsid w:val="34D811CE"/>
    <w:rsid w:val="34DA7BF5"/>
    <w:rsid w:val="34DE1AC3"/>
    <w:rsid w:val="34E11A3F"/>
    <w:rsid w:val="34EC26FF"/>
    <w:rsid w:val="34EF05B2"/>
    <w:rsid w:val="34F05153"/>
    <w:rsid w:val="34F1092D"/>
    <w:rsid w:val="34F310F6"/>
    <w:rsid w:val="34F44A15"/>
    <w:rsid w:val="350545E2"/>
    <w:rsid w:val="350559C3"/>
    <w:rsid w:val="350866F1"/>
    <w:rsid w:val="350958F9"/>
    <w:rsid w:val="35112B09"/>
    <w:rsid w:val="351203C8"/>
    <w:rsid w:val="351731B0"/>
    <w:rsid w:val="35183A32"/>
    <w:rsid w:val="35191599"/>
    <w:rsid w:val="35194852"/>
    <w:rsid w:val="351A5ADF"/>
    <w:rsid w:val="351B4206"/>
    <w:rsid w:val="351C44B8"/>
    <w:rsid w:val="351E1C11"/>
    <w:rsid w:val="351E2280"/>
    <w:rsid w:val="351E31AD"/>
    <w:rsid w:val="3520512C"/>
    <w:rsid w:val="35233037"/>
    <w:rsid w:val="352479D4"/>
    <w:rsid w:val="352521BE"/>
    <w:rsid w:val="35254858"/>
    <w:rsid w:val="352E4871"/>
    <w:rsid w:val="352E6AAC"/>
    <w:rsid w:val="35327E81"/>
    <w:rsid w:val="353313AD"/>
    <w:rsid w:val="3533635B"/>
    <w:rsid w:val="35354B6E"/>
    <w:rsid w:val="35354DF1"/>
    <w:rsid w:val="353729EA"/>
    <w:rsid w:val="353D64D8"/>
    <w:rsid w:val="35403634"/>
    <w:rsid w:val="354373C1"/>
    <w:rsid w:val="354514D9"/>
    <w:rsid w:val="35457A5A"/>
    <w:rsid w:val="35474404"/>
    <w:rsid w:val="354D6F68"/>
    <w:rsid w:val="35504F52"/>
    <w:rsid w:val="355668FD"/>
    <w:rsid w:val="35590192"/>
    <w:rsid w:val="35593592"/>
    <w:rsid w:val="35595705"/>
    <w:rsid w:val="355A04C6"/>
    <w:rsid w:val="355E5CD7"/>
    <w:rsid w:val="355F0376"/>
    <w:rsid w:val="355F6659"/>
    <w:rsid w:val="356176BC"/>
    <w:rsid w:val="356323E4"/>
    <w:rsid w:val="35696B22"/>
    <w:rsid w:val="356C1884"/>
    <w:rsid w:val="356F77BD"/>
    <w:rsid w:val="35722717"/>
    <w:rsid w:val="357679BB"/>
    <w:rsid w:val="357C0A17"/>
    <w:rsid w:val="357E6E33"/>
    <w:rsid w:val="3581110D"/>
    <w:rsid w:val="35835BAA"/>
    <w:rsid w:val="35854B85"/>
    <w:rsid w:val="35877F91"/>
    <w:rsid w:val="358875CD"/>
    <w:rsid w:val="358A0525"/>
    <w:rsid w:val="358F6F86"/>
    <w:rsid w:val="3592487E"/>
    <w:rsid w:val="3596552C"/>
    <w:rsid w:val="359E6509"/>
    <w:rsid w:val="35A345C1"/>
    <w:rsid w:val="35A7004B"/>
    <w:rsid w:val="35AA232A"/>
    <w:rsid w:val="35AD4A9A"/>
    <w:rsid w:val="35B523B8"/>
    <w:rsid w:val="35B52829"/>
    <w:rsid w:val="35B55000"/>
    <w:rsid w:val="35B64CD6"/>
    <w:rsid w:val="35B81045"/>
    <w:rsid w:val="35B826BA"/>
    <w:rsid w:val="35BB1858"/>
    <w:rsid w:val="35C14B51"/>
    <w:rsid w:val="35D83CB8"/>
    <w:rsid w:val="35D857CC"/>
    <w:rsid w:val="35DA5576"/>
    <w:rsid w:val="35DA6742"/>
    <w:rsid w:val="35DB08E3"/>
    <w:rsid w:val="35DB3F59"/>
    <w:rsid w:val="35DC41F8"/>
    <w:rsid w:val="35DE412A"/>
    <w:rsid w:val="35E0715E"/>
    <w:rsid w:val="35E50379"/>
    <w:rsid w:val="35E524DD"/>
    <w:rsid w:val="35E52C80"/>
    <w:rsid w:val="35E91A5F"/>
    <w:rsid w:val="35EA01B7"/>
    <w:rsid w:val="35EA373F"/>
    <w:rsid w:val="35EB5A43"/>
    <w:rsid w:val="35EC58B8"/>
    <w:rsid w:val="35EE030C"/>
    <w:rsid w:val="35EF236A"/>
    <w:rsid w:val="35F065BC"/>
    <w:rsid w:val="35F12ED7"/>
    <w:rsid w:val="35F96B08"/>
    <w:rsid w:val="35FA1CBF"/>
    <w:rsid w:val="35FB29EF"/>
    <w:rsid w:val="3601379B"/>
    <w:rsid w:val="36013D23"/>
    <w:rsid w:val="3601757A"/>
    <w:rsid w:val="36044EFF"/>
    <w:rsid w:val="36045786"/>
    <w:rsid w:val="360725D0"/>
    <w:rsid w:val="36094089"/>
    <w:rsid w:val="360C2AD4"/>
    <w:rsid w:val="360C4270"/>
    <w:rsid w:val="360D0330"/>
    <w:rsid w:val="360F64BE"/>
    <w:rsid w:val="361167A7"/>
    <w:rsid w:val="36123A31"/>
    <w:rsid w:val="361348CB"/>
    <w:rsid w:val="36161415"/>
    <w:rsid w:val="36177588"/>
    <w:rsid w:val="36191DCD"/>
    <w:rsid w:val="361949D5"/>
    <w:rsid w:val="361D0A09"/>
    <w:rsid w:val="361D312A"/>
    <w:rsid w:val="361D3F3B"/>
    <w:rsid w:val="3625277E"/>
    <w:rsid w:val="36255C37"/>
    <w:rsid w:val="36275320"/>
    <w:rsid w:val="36284E04"/>
    <w:rsid w:val="362C06AB"/>
    <w:rsid w:val="3630427C"/>
    <w:rsid w:val="36353D2D"/>
    <w:rsid w:val="36356D0E"/>
    <w:rsid w:val="36357C5F"/>
    <w:rsid w:val="363A73E1"/>
    <w:rsid w:val="363D333E"/>
    <w:rsid w:val="363D5974"/>
    <w:rsid w:val="363E6091"/>
    <w:rsid w:val="364334A3"/>
    <w:rsid w:val="36490127"/>
    <w:rsid w:val="36495B94"/>
    <w:rsid w:val="364F777F"/>
    <w:rsid w:val="3650635F"/>
    <w:rsid w:val="36506E3C"/>
    <w:rsid w:val="365142BD"/>
    <w:rsid w:val="365529E5"/>
    <w:rsid w:val="36592234"/>
    <w:rsid w:val="365D0FB9"/>
    <w:rsid w:val="365E287D"/>
    <w:rsid w:val="36610DB5"/>
    <w:rsid w:val="36613676"/>
    <w:rsid w:val="366328AE"/>
    <w:rsid w:val="366335B1"/>
    <w:rsid w:val="36646A17"/>
    <w:rsid w:val="36663C00"/>
    <w:rsid w:val="36691DDC"/>
    <w:rsid w:val="366B2434"/>
    <w:rsid w:val="366B550F"/>
    <w:rsid w:val="366C1FE3"/>
    <w:rsid w:val="366E3D27"/>
    <w:rsid w:val="36712A84"/>
    <w:rsid w:val="36770C4B"/>
    <w:rsid w:val="36771E8B"/>
    <w:rsid w:val="36774EE8"/>
    <w:rsid w:val="36782362"/>
    <w:rsid w:val="36782917"/>
    <w:rsid w:val="36784677"/>
    <w:rsid w:val="3678637C"/>
    <w:rsid w:val="367A78C6"/>
    <w:rsid w:val="367A7F42"/>
    <w:rsid w:val="367B3195"/>
    <w:rsid w:val="367F7937"/>
    <w:rsid w:val="36801E8C"/>
    <w:rsid w:val="36810D82"/>
    <w:rsid w:val="36816B4C"/>
    <w:rsid w:val="3682551B"/>
    <w:rsid w:val="36827509"/>
    <w:rsid w:val="36856437"/>
    <w:rsid w:val="36863871"/>
    <w:rsid w:val="36873022"/>
    <w:rsid w:val="3688191A"/>
    <w:rsid w:val="36892B7E"/>
    <w:rsid w:val="36896023"/>
    <w:rsid w:val="368A7C99"/>
    <w:rsid w:val="368E5B47"/>
    <w:rsid w:val="368F72C0"/>
    <w:rsid w:val="36950406"/>
    <w:rsid w:val="3695586D"/>
    <w:rsid w:val="3696598D"/>
    <w:rsid w:val="369678AA"/>
    <w:rsid w:val="3698107E"/>
    <w:rsid w:val="36983B65"/>
    <w:rsid w:val="36997C10"/>
    <w:rsid w:val="369E697B"/>
    <w:rsid w:val="36A0179F"/>
    <w:rsid w:val="36A16042"/>
    <w:rsid w:val="36A96D97"/>
    <w:rsid w:val="36AC48BB"/>
    <w:rsid w:val="36AF4F97"/>
    <w:rsid w:val="36B12E3D"/>
    <w:rsid w:val="36B525F6"/>
    <w:rsid w:val="36B5453D"/>
    <w:rsid w:val="36B66837"/>
    <w:rsid w:val="36B82062"/>
    <w:rsid w:val="36BB120B"/>
    <w:rsid w:val="36BD290B"/>
    <w:rsid w:val="36C87B79"/>
    <w:rsid w:val="36CC1B1A"/>
    <w:rsid w:val="36D209D3"/>
    <w:rsid w:val="36D50EF1"/>
    <w:rsid w:val="36DA14BB"/>
    <w:rsid w:val="36DC18A6"/>
    <w:rsid w:val="36E15B75"/>
    <w:rsid w:val="36E3314C"/>
    <w:rsid w:val="36E52F38"/>
    <w:rsid w:val="36E70B72"/>
    <w:rsid w:val="36EA6434"/>
    <w:rsid w:val="36EB6739"/>
    <w:rsid w:val="36ED5018"/>
    <w:rsid w:val="36F144DB"/>
    <w:rsid w:val="36F2260B"/>
    <w:rsid w:val="36F24E26"/>
    <w:rsid w:val="36F64583"/>
    <w:rsid w:val="36FA2460"/>
    <w:rsid w:val="36FC156A"/>
    <w:rsid w:val="36FE0B2C"/>
    <w:rsid w:val="36FE4F19"/>
    <w:rsid w:val="37011917"/>
    <w:rsid w:val="37023900"/>
    <w:rsid w:val="3704431F"/>
    <w:rsid w:val="37067EB0"/>
    <w:rsid w:val="37077D2F"/>
    <w:rsid w:val="370C7E6F"/>
    <w:rsid w:val="37166BDB"/>
    <w:rsid w:val="37172089"/>
    <w:rsid w:val="371D07DD"/>
    <w:rsid w:val="371E268F"/>
    <w:rsid w:val="372026D8"/>
    <w:rsid w:val="37220271"/>
    <w:rsid w:val="37236B52"/>
    <w:rsid w:val="37244F75"/>
    <w:rsid w:val="37247E46"/>
    <w:rsid w:val="37297C9E"/>
    <w:rsid w:val="372D2645"/>
    <w:rsid w:val="372F63A6"/>
    <w:rsid w:val="373064FF"/>
    <w:rsid w:val="37307660"/>
    <w:rsid w:val="37336A3B"/>
    <w:rsid w:val="373433EC"/>
    <w:rsid w:val="373450BA"/>
    <w:rsid w:val="3734747E"/>
    <w:rsid w:val="37355882"/>
    <w:rsid w:val="37372E22"/>
    <w:rsid w:val="373D39EF"/>
    <w:rsid w:val="373F5C56"/>
    <w:rsid w:val="37403A56"/>
    <w:rsid w:val="37445AA2"/>
    <w:rsid w:val="37453F8A"/>
    <w:rsid w:val="37474B97"/>
    <w:rsid w:val="3755144B"/>
    <w:rsid w:val="37554E38"/>
    <w:rsid w:val="3758006B"/>
    <w:rsid w:val="375D37CD"/>
    <w:rsid w:val="375E2327"/>
    <w:rsid w:val="37615EAC"/>
    <w:rsid w:val="376626FB"/>
    <w:rsid w:val="3767318A"/>
    <w:rsid w:val="376A20F7"/>
    <w:rsid w:val="376D6D88"/>
    <w:rsid w:val="376F571D"/>
    <w:rsid w:val="377B15E2"/>
    <w:rsid w:val="377C3464"/>
    <w:rsid w:val="378040C0"/>
    <w:rsid w:val="37812537"/>
    <w:rsid w:val="37823A6A"/>
    <w:rsid w:val="3782413B"/>
    <w:rsid w:val="37826A36"/>
    <w:rsid w:val="3783385A"/>
    <w:rsid w:val="37865697"/>
    <w:rsid w:val="37866274"/>
    <w:rsid w:val="3787544D"/>
    <w:rsid w:val="378E7886"/>
    <w:rsid w:val="378F0403"/>
    <w:rsid w:val="3791618D"/>
    <w:rsid w:val="37952A9C"/>
    <w:rsid w:val="379764B4"/>
    <w:rsid w:val="3798677A"/>
    <w:rsid w:val="379A497E"/>
    <w:rsid w:val="379C56A2"/>
    <w:rsid w:val="379E35CE"/>
    <w:rsid w:val="379F04D9"/>
    <w:rsid w:val="37A608B7"/>
    <w:rsid w:val="37B161E6"/>
    <w:rsid w:val="37B26C2A"/>
    <w:rsid w:val="37B323C8"/>
    <w:rsid w:val="37B664CD"/>
    <w:rsid w:val="37B66FEA"/>
    <w:rsid w:val="37B964FB"/>
    <w:rsid w:val="37B97628"/>
    <w:rsid w:val="37C14E1A"/>
    <w:rsid w:val="37C51029"/>
    <w:rsid w:val="37C7051E"/>
    <w:rsid w:val="37C86081"/>
    <w:rsid w:val="37C86B1D"/>
    <w:rsid w:val="37CA63F5"/>
    <w:rsid w:val="37CC662D"/>
    <w:rsid w:val="37CF31E4"/>
    <w:rsid w:val="37D06C28"/>
    <w:rsid w:val="37D30417"/>
    <w:rsid w:val="37D60E9B"/>
    <w:rsid w:val="37DC088F"/>
    <w:rsid w:val="37DC25A1"/>
    <w:rsid w:val="37E0027C"/>
    <w:rsid w:val="37E073F0"/>
    <w:rsid w:val="37E3029B"/>
    <w:rsid w:val="37E33E3E"/>
    <w:rsid w:val="37E842F2"/>
    <w:rsid w:val="37EA7AFC"/>
    <w:rsid w:val="37ED3339"/>
    <w:rsid w:val="37EE0006"/>
    <w:rsid w:val="37F241C2"/>
    <w:rsid w:val="37F24FCF"/>
    <w:rsid w:val="37FC41B5"/>
    <w:rsid w:val="38005759"/>
    <w:rsid w:val="38005F9A"/>
    <w:rsid w:val="38013D31"/>
    <w:rsid w:val="38043FC9"/>
    <w:rsid w:val="38066FBD"/>
    <w:rsid w:val="380B2D2C"/>
    <w:rsid w:val="380C254A"/>
    <w:rsid w:val="380F1CDD"/>
    <w:rsid w:val="381208F9"/>
    <w:rsid w:val="38176FBD"/>
    <w:rsid w:val="381B3878"/>
    <w:rsid w:val="381F61E4"/>
    <w:rsid w:val="38200CD1"/>
    <w:rsid w:val="38252270"/>
    <w:rsid w:val="38253B90"/>
    <w:rsid w:val="38256FA6"/>
    <w:rsid w:val="382624F8"/>
    <w:rsid w:val="38262ED1"/>
    <w:rsid w:val="3828482C"/>
    <w:rsid w:val="38296AFF"/>
    <w:rsid w:val="382D3514"/>
    <w:rsid w:val="382E55F7"/>
    <w:rsid w:val="38356CA9"/>
    <w:rsid w:val="383619E9"/>
    <w:rsid w:val="383B4CF6"/>
    <w:rsid w:val="383F59DF"/>
    <w:rsid w:val="38403F85"/>
    <w:rsid w:val="38410212"/>
    <w:rsid w:val="38432962"/>
    <w:rsid w:val="38466452"/>
    <w:rsid w:val="38477B7E"/>
    <w:rsid w:val="38492178"/>
    <w:rsid w:val="38495082"/>
    <w:rsid w:val="38497E15"/>
    <w:rsid w:val="384D7F4D"/>
    <w:rsid w:val="38505603"/>
    <w:rsid w:val="38537E2E"/>
    <w:rsid w:val="38545FD6"/>
    <w:rsid w:val="3857180F"/>
    <w:rsid w:val="38585BF2"/>
    <w:rsid w:val="38597A7C"/>
    <w:rsid w:val="385A6A83"/>
    <w:rsid w:val="385C2693"/>
    <w:rsid w:val="385E68B7"/>
    <w:rsid w:val="38673980"/>
    <w:rsid w:val="386906DF"/>
    <w:rsid w:val="386B6187"/>
    <w:rsid w:val="386E669B"/>
    <w:rsid w:val="387214A8"/>
    <w:rsid w:val="38727685"/>
    <w:rsid w:val="38741B13"/>
    <w:rsid w:val="3877022D"/>
    <w:rsid w:val="387935A7"/>
    <w:rsid w:val="387B450D"/>
    <w:rsid w:val="387B600D"/>
    <w:rsid w:val="388115DF"/>
    <w:rsid w:val="388123F3"/>
    <w:rsid w:val="3883336B"/>
    <w:rsid w:val="388501E8"/>
    <w:rsid w:val="3886462B"/>
    <w:rsid w:val="388674AE"/>
    <w:rsid w:val="38885CB6"/>
    <w:rsid w:val="388A11DC"/>
    <w:rsid w:val="388C2DC3"/>
    <w:rsid w:val="388C342A"/>
    <w:rsid w:val="388F3476"/>
    <w:rsid w:val="38903EA9"/>
    <w:rsid w:val="38916727"/>
    <w:rsid w:val="38944864"/>
    <w:rsid w:val="38982017"/>
    <w:rsid w:val="389B566B"/>
    <w:rsid w:val="389E5FA7"/>
    <w:rsid w:val="38A24D7B"/>
    <w:rsid w:val="38A6354B"/>
    <w:rsid w:val="38A81186"/>
    <w:rsid w:val="38A95E3B"/>
    <w:rsid w:val="38AA79DD"/>
    <w:rsid w:val="38B0089C"/>
    <w:rsid w:val="38B1075B"/>
    <w:rsid w:val="38B22B00"/>
    <w:rsid w:val="38B57070"/>
    <w:rsid w:val="38B67AC1"/>
    <w:rsid w:val="38B9335F"/>
    <w:rsid w:val="38BB6F2A"/>
    <w:rsid w:val="38BC4C4C"/>
    <w:rsid w:val="38BE2127"/>
    <w:rsid w:val="38BE7FEC"/>
    <w:rsid w:val="38CA3720"/>
    <w:rsid w:val="38CB0087"/>
    <w:rsid w:val="38CB3F90"/>
    <w:rsid w:val="38CD3011"/>
    <w:rsid w:val="38CE0037"/>
    <w:rsid w:val="38CF6B83"/>
    <w:rsid w:val="38D1497D"/>
    <w:rsid w:val="38D638E8"/>
    <w:rsid w:val="38D63B21"/>
    <w:rsid w:val="38D737FA"/>
    <w:rsid w:val="38D87F0C"/>
    <w:rsid w:val="38DF0955"/>
    <w:rsid w:val="38E108D4"/>
    <w:rsid w:val="38E315D0"/>
    <w:rsid w:val="38E71A3B"/>
    <w:rsid w:val="38E86D4F"/>
    <w:rsid w:val="38EC239A"/>
    <w:rsid w:val="38EC522E"/>
    <w:rsid w:val="38EE5515"/>
    <w:rsid w:val="38F13B45"/>
    <w:rsid w:val="38F2270C"/>
    <w:rsid w:val="38F56605"/>
    <w:rsid w:val="38F638E3"/>
    <w:rsid w:val="38F8393A"/>
    <w:rsid w:val="38FA71F5"/>
    <w:rsid w:val="38FC0BA2"/>
    <w:rsid w:val="3901798C"/>
    <w:rsid w:val="39026A15"/>
    <w:rsid w:val="39044889"/>
    <w:rsid w:val="39076DB8"/>
    <w:rsid w:val="390A077A"/>
    <w:rsid w:val="390D0CAF"/>
    <w:rsid w:val="390F0906"/>
    <w:rsid w:val="39134E61"/>
    <w:rsid w:val="391A4C43"/>
    <w:rsid w:val="391B6ECA"/>
    <w:rsid w:val="39201884"/>
    <w:rsid w:val="39217191"/>
    <w:rsid w:val="39223576"/>
    <w:rsid w:val="392319CA"/>
    <w:rsid w:val="3927226E"/>
    <w:rsid w:val="392B21AF"/>
    <w:rsid w:val="392D49CA"/>
    <w:rsid w:val="392E1085"/>
    <w:rsid w:val="39307225"/>
    <w:rsid w:val="39316943"/>
    <w:rsid w:val="39367CD1"/>
    <w:rsid w:val="393B4087"/>
    <w:rsid w:val="394170E3"/>
    <w:rsid w:val="394745DE"/>
    <w:rsid w:val="394947F5"/>
    <w:rsid w:val="394E0854"/>
    <w:rsid w:val="394E0B6A"/>
    <w:rsid w:val="394F5B04"/>
    <w:rsid w:val="39506F92"/>
    <w:rsid w:val="395B519D"/>
    <w:rsid w:val="396372CE"/>
    <w:rsid w:val="39641DA9"/>
    <w:rsid w:val="3969235F"/>
    <w:rsid w:val="396C7BF2"/>
    <w:rsid w:val="39726FB0"/>
    <w:rsid w:val="397C6517"/>
    <w:rsid w:val="397D1B10"/>
    <w:rsid w:val="397E76BE"/>
    <w:rsid w:val="39837333"/>
    <w:rsid w:val="39862538"/>
    <w:rsid w:val="39866205"/>
    <w:rsid w:val="39870DB2"/>
    <w:rsid w:val="39880E67"/>
    <w:rsid w:val="39882C73"/>
    <w:rsid w:val="398908F8"/>
    <w:rsid w:val="398A70B6"/>
    <w:rsid w:val="398C40AB"/>
    <w:rsid w:val="398D0E12"/>
    <w:rsid w:val="398D3222"/>
    <w:rsid w:val="398F6A12"/>
    <w:rsid w:val="39904AB9"/>
    <w:rsid w:val="3992727D"/>
    <w:rsid w:val="399542C9"/>
    <w:rsid w:val="399E2D49"/>
    <w:rsid w:val="39A75725"/>
    <w:rsid w:val="39A82A21"/>
    <w:rsid w:val="39AE6728"/>
    <w:rsid w:val="39AE7CDE"/>
    <w:rsid w:val="39B45D4A"/>
    <w:rsid w:val="39B670CF"/>
    <w:rsid w:val="39B71739"/>
    <w:rsid w:val="39B94A6B"/>
    <w:rsid w:val="39C00E88"/>
    <w:rsid w:val="39C52255"/>
    <w:rsid w:val="39C61B98"/>
    <w:rsid w:val="39C716BB"/>
    <w:rsid w:val="39CE6E99"/>
    <w:rsid w:val="39CE7845"/>
    <w:rsid w:val="39CF17AD"/>
    <w:rsid w:val="39D007D4"/>
    <w:rsid w:val="39D70321"/>
    <w:rsid w:val="39D94B2F"/>
    <w:rsid w:val="39DA7095"/>
    <w:rsid w:val="39DB3727"/>
    <w:rsid w:val="39E1316E"/>
    <w:rsid w:val="39E31149"/>
    <w:rsid w:val="39E724EC"/>
    <w:rsid w:val="39EA645E"/>
    <w:rsid w:val="39ED234D"/>
    <w:rsid w:val="39ED24F6"/>
    <w:rsid w:val="39ED7136"/>
    <w:rsid w:val="39F2057B"/>
    <w:rsid w:val="39F23346"/>
    <w:rsid w:val="39F571F5"/>
    <w:rsid w:val="39F73788"/>
    <w:rsid w:val="39FB49F9"/>
    <w:rsid w:val="39FE12DE"/>
    <w:rsid w:val="39FE2A41"/>
    <w:rsid w:val="39FF4CC2"/>
    <w:rsid w:val="3A0305C9"/>
    <w:rsid w:val="3A045C08"/>
    <w:rsid w:val="3A04627B"/>
    <w:rsid w:val="3A0743EF"/>
    <w:rsid w:val="3A081EF8"/>
    <w:rsid w:val="3A096957"/>
    <w:rsid w:val="3A0D0578"/>
    <w:rsid w:val="3A0D0756"/>
    <w:rsid w:val="3A0F2549"/>
    <w:rsid w:val="3A0F5753"/>
    <w:rsid w:val="3A142303"/>
    <w:rsid w:val="3A160CCF"/>
    <w:rsid w:val="3A165124"/>
    <w:rsid w:val="3A1A4F02"/>
    <w:rsid w:val="3A1B0BFD"/>
    <w:rsid w:val="3A24082E"/>
    <w:rsid w:val="3A251E6B"/>
    <w:rsid w:val="3A2B3A6C"/>
    <w:rsid w:val="3A320CC3"/>
    <w:rsid w:val="3A32730D"/>
    <w:rsid w:val="3A341FE3"/>
    <w:rsid w:val="3A344D96"/>
    <w:rsid w:val="3A386E14"/>
    <w:rsid w:val="3A3A0FA6"/>
    <w:rsid w:val="3A3A1311"/>
    <w:rsid w:val="3A3A6082"/>
    <w:rsid w:val="3A3D26EE"/>
    <w:rsid w:val="3A3F1FEA"/>
    <w:rsid w:val="3A40208D"/>
    <w:rsid w:val="3A437C1C"/>
    <w:rsid w:val="3A443FB3"/>
    <w:rsid w:val="3A4443E5"/>
    <w:rsid w:val="3A444B10"/>
    <w:rsid w:val="3A462BF3"/>
    <w:rsid w:val="3A467648"/>
    <w:rsid w:val="3A496C6E"/>
    <w:rsid w:val="3A4B06F3"/>
    <w:rsid w:val="3A4B2362"/>
    <w:rsid w:val="3A4D13B2"/>
    <w:rsid w:val="3A4D579C"/>
    <w:rsid w:val="3A4F0E3E"/>
    <w:rsid w:val="3A512D79"/>
    <w:rsid w:val="3A526D4C"/>
    <w:rsid w:val="3A532EFB"/>
    <w:rsid w:val="3A546454"/>
    <w:rsid w:val="3A553D7A"/>
    <w:rsid w:val="3A557DD9"/>
    <w:rsid w:val="3A577C0A"/>
    <w:rsid w:val="3A5A128B"/>
    <w:rsid w:val="3A5A53A2"/>
    <w:rsid w:val="3A5B398C"/>
    <w:rsid w:val="3A5C3CE4"/>
    <w:rsid w:val="3A5D2E37"/>
    <w:rsid w:val="3A650B1F"/>
    <w:rsid w:val="3A66614F"/>
    <w:rsid w:val="3A675557"/>
    <w:rsid w:val="3A686EE3"/>
    <w:rsid w:val="3A697045"/>
    <w:rsid w:val="3A6B0B82"/>
    <w:rsid w:val="3A6B2ECC"/>
    <w:rsid w:val="3A6C0F85"/>
    <w:rsid w:val="3A720E8A"/>
    <w:rsid w:val="3A721707"/>
    <w:rsid w:val="3A721AB1"/>
    <w:rsid w:val="3A72580C"/>
    <w:rsid w:val="3A791256"/>
    <w:rsid w:val="3A7B0866"/>
    <w:rsid w:val="3A7B292A"/>
    <w:rsid w:val="3A7C1D73"/>
    <w:rsid w:val="3A7D2FE2"/>
    <w:rsid w:val="3A8148A0"/>
    <w:rsid w:val="3A820B61"/>
    <w:rsid w:val="3A877DED"/>
    <w:rsid w:val="3A880969"/>
    <w:rsid w:val="3A8875C0"/>
    <w:rsid w:val="3A8939DD"/>
    <w:rsid w:val="3A987CD2"/>
    <w:rsid w:val="3A99514B"/>
    <w:rsid w:val="3A9A094E"/>
    <w:rsid w:val="3A9B08AB"/>
    <w:rsid w:val="3A9C6442"/>
    <w:rsid w:val="3A9D5699"/>
    <w:rsid w:val="3A9E76DA"/>
    <w:rsid w:val="3A9F6AD4"/>
    <w:rsid w:val="3AA216C2"/>
    <w:rsid w:val="3AA24D0B"/>
    <w:rsid w:val="3AA51F2E"/>
    <w:rsid w:val="3AA576DE"/>
    <w:rsid w:val="3AAA19E0"/>
    <w:rsid w:val="3AAB2B71"/>
    <w:rsid w:val="3AAE7D55"/>
    <w:rsid w:val="3AB3373D"/>
    <w:rsid w:val="3ABC704B"/>
    <w:rsid w:val="3ABF0EDD"/>
    <w:rsid w:val="3AC034E1"/>
    <w:rsid w:val="3AC314CC"/>
    <w:rsid w:val="3ACB5E14"/>
    <w:rsid w:val="3AD0651D"/>
    <w:rsid w:val="3AD24A7F"/>
    <w:rsid w:val="3AD34A94"/>
    <w:rsid w:val="3AD45E37"/>
    <w:rsid w:val="3AD477F8"/>
    <w:rsid w:val="3AD7197E"/>
    <w:rsid w:val="3AD74D39"/>
    <w:rsid w:val="3ADB1B8E"/>
    <w:rsid w:val="3ADB36CE"/>
    <w:rsid w:val="3ADE526B"/>
    <w:rsid w:val="3AE05C2E"/>
    <w:rsid w:val="3AE267B5"/>
    <w:rsid w:val="3AE36228"/>
    <w:rsid w:val="3AE364BF"/>
    <w:rsid w:val="3AE80C2B"/>
    <w:rsid w:val="3AE8590E"/>
    <w:rsid w:val="3AED055E"/>
    <w:rsid w:val="3AF23750"/>
    <w:rsid w:val="3AF263C4"/>
    <w:rsid w:val="3B016192"/>
    <w:rsid w:val="3B032D33"/>
    <w:rsid w:val="3B070427"/>
    <w:rsid w:val="3B093CA6"/>
    <w:rsid w:val="3B097581"/>
    <w:rsid w:val="3B0B73BA"/>
    <w:rsid w:val="3B0F4982"/>
    <w:rsid w:val="3B100B72"/>
    <w:rsid w:val="3B1830E7"/>
    <w:rsid w:val="3B1A7BCD"/>
    <w:rsid w:val="3B1B1E67"/>
    <w:rsid w:val="3B1B3A10"/>
    <w:rsid w:val="3B1C16CD"/>
    <w:rsid w:val="3B1F47BA"/>
    <w:rsid w:val="3B253969"/>
    <w:rsid w:val="3B290AD3"/>
    <w:rsid w:val="3B2A451C"/>
    <w:rsid w:val="3B2B431F"/>
    <w:rsid w:val="3B2F21FB"/>
    <w:rsid w:val="3B2F7CC5"/>
    <w:rsid w:val="3B313583"/>
    <w:rsid w:val="3B3161E1"/>
    <w:rsid w:val="3B320F7F"/>
    <w:rsid w:val="3B336F40"/>
    <w:rsid w:val="3B3627B7"/>
    <w:rsid w:val="3B384904"/>
    <w:rsid w:val="3B3A761C"/>
    <w:rsid w:val="3B3D0F88"/>
    <w:rsid w:val="3B41479A"/>
    <w:rsid w:val="3B4E0444"/>
    <w:rsid w:val="3B537BCE"/>
    <w:rsid w:val="3B546228"/>
    <w:rsid w:val="3B564F1D"/>
    <w:rsid w:val="3B581247"/>
    <w:rsid w:val="3B5855A2"/>
    <w:rsid w:val="3B586C3F"/>
    <w:rsid w:val="3B5969EE"/>
    <w:rsid w:val="3B5A4A33"/>
    <w:rsid w:val="3B5A4BAD"/>
    <w:rsid w:val="3B5C5AE6"/>
    <w:rsid w:val="3B5D23FC"/>
    <w:rsid w:val="3B5D479D"/>
    <w:rsid w:val="3B5F4881"/>
    <w:rsid w:val="3B645939"/>
    <w:rsid w:val="3B68009C"/>
    <w:rsid w:val="3B686ECF"/>
    <w:rsid w:val="3B687EDD"/>
    <w:rsid w:val="3B70401C"/>
    <w:rsid w:val="3B713202"/>
    <w:rsid w:val="3B715B0A"/>
    <w:rsid w:val="3B721029"/>
    <w:rsid w:val="3B735968"/>
    <w:rsid w:val="3B7562DE"/>
    <w:rsid w:val="3B7623DB"/>
    <w:rsid w:val="3B7810E3"/>
    <w:rsid w:val="3B7C50FD"/>
    <w:rsid w:val="3B807C2C"/>
    <w:rsid w:val="3B85620F"/>
    <w:rsid w:val="3B8B340E"/>
    <w:rsid w:val="3B8F1820"/>
    <w:rsid w:val="3B9125E2"/>
    <w:rsid w:val="3B980E50"/>
    <w:rsid w:val="3B9910D0"/>
    <w:rsid w:val="3B997AD0"/>
    <w:rsid w:val="3B9B6256"/>
    <w:rsid w:val="3B9F6B9E"/>
    <w:rsid w:val="3BA04C74"/>
    <w:rsid w:val="3BA430DD"/>
    <w:rsid w:val="3BA73123"/>
    <w:rsid w:val="3BA9504E"/>
    <w:rsid w:val="3BA97812"/>
    <w:rsid w:val="3BAD1A34"/>
    <w:rsid w:val="3BAD715F"/>
    <w:rsid w:val="3BAF0569"/>
    <w:rsid w:val="3BB0489F"/>
    <w:rsid w:val="3BB32DFE"/>
    <w:rsid w:val="3BB673A3"/>
    <w:rsid w:val="3BBC48E7"/>
    <w:rsid w:val="3BBE4F90"/>
    <w:rsid w:val="3BBE7162"/>
    <w:rsid w:val="3BBF53BA"/>
    <w:rsid w:val="3BBF7DAB"/>
    <w:rsid w:val="3BC24649"/>
    <w:rsid w:val="3BC30E31"/>
    <w:rsid w:val="3BC94377"/>
    <w:rsid w:val="3BCD22FC"/>
    <w:rsid w:val="3BCF3769"/>
    <w:rsid w:val="3BD22949"/>
    <w:rsid w:val="3BD27B23"/>
    <w:rsid w:val="3BD43FF9"/>
    <w:rsid w:val="3BD8658D"/>
    <w:rsid w:val="3BDC3481"/>
    <w:rsid w:val="3BE406B7"/>
    <w:rsid w:val="3BE51100"/>
    <w:rsid w:val="3BE841D4"/>
    <w:rsid w:val="3BEA6519"/>
    <w:rsid w:val="3BEE4E6D"/>
    <w:rsid w:val="3BEF09DA"/>
    <w:rsid w:val="3BF7305F"/>
    <w:rsid w:val="3BF85C54"/>
    <w:rsid w:val="3BF93652"/>
    <w:rsid w:val="3BFD7BCF"/>
    <w:rsid w:val="3C001DBC"/>
    <w:rsid w:val="3C0113C3"/>
    <w:rsid w:val="3C061529"/>
    <w:rsid w:val="3C06701B"/>
    <w:rsid w:val="3C0C1A69"/>
    <w:rsid w:val="3C0D75CA"/>
    <w:rsid w:val="3C0E25F6"/>
    <w:rsid w:val="3C0E30EE"/>
    <w:rsid w:val="3C0F5992"/>
    <w:rsid w:val="3C1225FB"/>
    <w:rsid w:val="3C133E05"/>
    <w:rsid w:val="3C17028C"/>
    <w:rsid w:val="3C1B1142"/>
    <w:rsid w:val="3C1C3144"/>
    <w:rsid w:val="3C1E3DB7"/>
    <w:rsid w:val="3C260F1F"/>
    <w:rsid w:val="3C273F56"/>
    <w:rsid w:val="3C275DAC"/>
    <w:rsid w:val="3C280E31"/>
    <w:rsid w:val="3C2B484D"/>
    <w:rsid w:val="3C2C78F1"/>
    <w:rsid w:val="3C2E5265"/>
    <w:rsid w:val="3C300674"/>
    <w:rsid w:val="3C323059"/>
    <w:rsid w:val="3C3352A1"/>
    <w:rsid w:val="3C344CA2"/>
    <w:rsid w:val="3C3A2417"/>
    <w:rsid w:val="3C3A6473"/>
    <w:rsid w:val="3C3B7B5C"/>
    <w:rsid w:val="3C422CD0"/>
    <w:rsid w:val="3C4744C5"/>
    <w:rsid w:val="3C4C04BC"/>
    <w:rsid w:val="3C510BC3"/>
    <w:rsid w:val="3C51509F"/>
    <w:rsid w:val="3C5154A5"/>
    <w:rsid w:val="3C5163C5"/>
    <w:rsid w:val="3C575D07"/>
    <w:rsid w:val="3C5811FA"/>
    <w:rsid w:val="3C587DF9"/>
    <w:rsid w:val="3C590AD2"/>
    <w:rsid w:val="3C595ADD"/>
    <w:rsid w:val="3C5B0C96"/>
    <w:rsid w:val="3C5B59C3"/>
    <w:rsid w:val="3C5E7706"/>
    <w:rsid w:val="3C6114DD"/>
    <w:rsid w:val="3C6908EE"/>
    <w:rsid w:val="3C6A1CB5"/>
    <w:rsid w:val="3C6A534E"/>
    <w:rsid w:val="3C6B7A0A"/>
    <w:rsid w:val="3C6C45AC"/>
    <w:rsid w:val="3C6D573F"/>
    <w:rsid w:val="3C727116"/>
    <w:rsid w:val="3C7774E2"/>
    <w:rsid w:val="3C781D97"/>
    <w:rsid w:val="3C7B49A0"/>
    <w:rsid w:val="3C7F4F3D"/>
    <w:rsid w:val="3C800865"/>
    <w:rsid w:val="3C816B2A"/>
    <w:rsid w:val="3C847C71"/>
    <w:rsid w:val="3C867D50"/>
    <w:rsid w:val="3C870798"/>
    <w:rsid w:val="3C8731B1"/>
    <w:rsid w:val="3C916672"/>
    <w:rsid w:val="3C994849"/>
    <w:rsid w:val="3C9A6DE8"/>
    <w:rsid w:val="3CA26BF1"/>
    <w:rsid w:val="3CA55767"/>
    <w:rsid w:val="3CA7622E"/>
    <w:rsid w:val="3CA77594"/>
    <w:rsid w:val="3CAB33E9"/>
    <w:rsid w:val="3CAB3C0C"/>
    <w:rsid w:val="3CB06010"/>
    <w:rsid w:val="3CBA4578"/>
    <w:rsid w:val="3CBC3B79"/>
    <w:rsid w:val="3CC01618"/>
    <w:rsid w:val="3CC1339E"/>
    <w:rsid w:val="3CC45B7C"/>
    <w:rsid w:val="3CC5609A"/>
    <w:rsid w:val="3CC83680"/>
    <w:rsid w:val="3CCC0A06"/>
    <w:rsid w:val="3CCC2C3E"/>
    <w:rsid w:val="3CCC36D7"/>
    <w:rsid w:val="3CCD7ABA"/>
    <w:rsid w:val="3CD065AC"/>
    <w:rsid w:val="3CD378EC"/>
    <w:rsid w:val="3CD44BBD"/>
    <w:rsid w:val="3CD753CA"/>
    <w:rsid w:val="3CD9748B"/>
    <w:rsid w:val="3CDF43ED"/>
    <w:rsid w:val="3CE14BD3"/>
    <w:rsid w:val="3CE4072A"/>
    <w:rsid w:val="3CE44E40"/>
    <w:rsid w:val="3CEE6723"/>
    <w:rsid w:val="3CF15DA3"/>
    <w:rsid w:val="3CF871D6"/>
    <w:rsid w:val="3CF91DF0"/>
    <w:rsid w:val="3CFC342C"/>
    <w:rsid w:val="3CFC3EB4"/>
    <w:rsid w:val="3CFC5971"/>
    <w:rsid w:val="3D033088"/>
    <w:rsid w:val="3D095FB9"/>
    <w:rsid w:val="3D0A07CE"/>
    <w:rsid w:val="3D112AAE"/>
    <w:rsid w:val="3D1200C2"/>
    <w:rsid w:val="3D136403"/>
    <w:rsid w:val="3D181885"/>
    <w:rsid w:val="3D1A4B0B"/>
    <w:rsid w:val="3D1F735F"/>
    <w:rsid w:val="3D1F7734"/>
    <w:rsid w:val="3D246BC8"/>
    <w:rsid w:val="3D246DBB"/>
    <w:rsid w:val="3D255466"/>
    <w:rsid w:val="3D2B0F46"/>
    <w:rsid w:val="3D2C67EB"/>
    <w:rsid w:val="3D324A9C"/>
    <w:rsid w:val="3D365168"/>
    <w:rsid w:val="3D372B14"/>
    <w:rsid w:val="3D3912BF"/>
    <w:rsid w:val="3D3F3AB6"/>
    <w:rsid w:val="3D402E57"/>
    <w:rsid w:val="3D40364F"/>
    <w:rsid w:val="3D481E0B"/>
    <w:rsid w:val="3D485459"/>
    <w:rsid w:val="3D49663B"/>
    <w:rsid w:val="3D530E0A"/>
    <w:rsid w:val="3D5740BD"/>
    <w:rsid w:val="3D5A7B66"/>
    <w:rsid w:val="3D5A7C0F"/>
    <w:rsid w:val="3D5D7E62"/>
    <w:rsid w:val="3D5E7DE0"/>
    <w:rsid w:val="3D5F317E"/>
    <w:rsid w:val="3D6307D9"/>
    <w:rsid w:val="3D647C26"/>
    <w:rsid w:val="3D6818A9"/>
    <w:rsid w:val="3D6822B7"/>
    <w:rsid w:val="3D6E1EE5"/>
    <w:rsid w:val="3D71369A"/>
    <w:rsid w:val="3D750B82"/>
    <w:rsid w:val="3D7629B9"/>
    <w:rsid w:val="3D772AD7"/>
    <w:rsid w:val="3D774E10"/>
    <w:rsid w:val="3D785409"/>
    <w:rsid w:val="3D7E6879"/>
    <w:rsid w:val="3D7E687B"/>
    <w:rsid w:val="3D7E6E79"/>
    <w:rsid w:val="3D815A70"/>
    <w:rsid w:val="3D831EF3"/>
    <w:rsid w:val="3D840A34"/>
    <w:rsid w:val="3D8440EA"/>
    <w:rsid w:val="3D87601F"/>
    <w:rsid w:val="3D8C7DE6"/>
    <w:rsid w:val="3D8F3357"/>
    <w:rsid w:val="3D8F7091"/>
    <w:rsid w:val="3D945B76"/>
    <w:rsid w:val="3DA05215"/>
    <w:rsid w:val="3DA17134"/>
    <w:rsid w:val="3DA56614"/>
    <w:rsid w:val="3DA66C69"/>
    <w:rsid w:val="3DA72EFF"/>
    <w:rsid w:val="3DA91A16"/>
    <w:rsid w:val="3DA9333D"/>
    <w:rsid w:val="3DA94A66"/>
    <w:rsid w:val="3DAB3AE3"/>
    <w:rsid w:val="3DAD10BD"/>
    <w:rsid w:val="3DAF7390"/>
    <w:rsid w:val="3DB53F6C"/>
    <w:rsid w:val="3DB748E2"/>
    <w:rsid w:val="3DB74FB0"/>
    <w:rsid w:val="3DBC48B3"/>
    <w:rsid w:val="3DBE7D9F"/>
    <w:rsid w:val="3DBF156A"/>
    <w:rsid w:val="3DC63564"/>
    <w:rsid w:val="3DCB317F"/>
    <w:rsid w:val="3DCF3DED"/>
    <w:rsid w:val="3DD4785D"/>
    <w:rsid w:val="3DD5077C"/>
    <w:rsid w:val="3DD65F37"/>
    <w:rsid w:val="3DD6612D"/>
    <w:rsid w:val="3DD90BD6"/>
    <w:rsid w:val="3DE46744"/>
    <w:rsid w:val="3DED3A1B"/>
    <w:rsid w:val="3DEE705A"/>
    <w:rsid w:val="3DEF41A9"/>
    <w:rsid w:val="3DEF7D5A"/>
    <w:rsid w:val="3DF0216F"/>
    <w:rsid w:val="3DF14193"/>
    <w:rsid w:val="3DF50156"/>
    <w:rsid w:val="3DFC6175"/>
    <w:rsid w:val="3DFE1F98"/>
    <w:rsid w:val="3E000C4F"/>
    <w:rsid w:val="3E0341A3"/>
    <w:rsid w:val="3E0536FD"/>
    <w:rsid w:val="3E05740C"/>
    <w:rsid w:val="3E070FF0"/>
    <w:rsid w:val="3E09011F"/>
    <w:rsid w:val="3E0A2C70"/>
    <w:rsid w:val="3E0A4A13"/>
    <w:rsid w:val="3E0F11A2"/>
    <w:rsid w:val="3E155035"/>
    <w:rsid w:val="3E166235"/>
    <w:rsid w:val="3E1A0CB1"/>
    <w:rsid w:val="3E1A7264"/>
    <w:rsid w:val="3E1B1D66"/>
    <w:rsid w:val="3E1F256E"/>
    <w:rsid w:val="3E1F63AB"/>
    <w:rsid w:val="3E2012FB"/>
    <w:rsid w:val="3E205AA8"/>
    <w:rsid w:val="3E21517F"/>
    <w:rsid w:val="3E230500"/>
    <w:rsid w:val="3E256D17"/>
    <w:rsid w:val="3E26249D"/>
    <w:rsid w:val="3E2742E8"/>
    <w:rsid w:val="3E290577"/>
    <w:rsid w:val="3E2A2632"/>
    <w:rsid w:val="3E2A74DF"/>
    <w:rsid w:val="3E2B15D4"/>
    <w:rsid w:val="3E2C08C8"/>
    <w:rsid w:val="3E2C314A"/>
    <w:rsid w:val="3E352401"/>
    <w:rsid w:val="3E365EEC"/>
    <w:rsid w:val="3E381D9C"/>
    <w:rsid w:val="3E3C6E10"/>
    <w:rsid w:val="3E3E74BF"/>
    <w:rsid w:val="3E407D47"/>
    <w:rsid w:val="3E415503"/>
    <w:rsid w:val="3E4315EB"/>
    <w:rsid w:val="3E4379A1"/>
    <w:rsid w:val="3E4505A8"/>
    <w:rsid w:val="3E4969B7"/>
    <w:rsid w:val="3E4B5B99"/>
    <w:rsid w:val="3E4D4D7B"/>
    <w:rsid w:val="3E567B18"/>
    <w:rsid w:val="3E582FF3"/>
    <w:rsid w:val="3E5D49C7"/>
    <w:rsid w:val="3E627753"/>
    <w:rsid w:val="3E656A4F"/>
    <w:rsid w:val="3E6632AD"/>
    <w:rsid w:val="3E67209B"/>
    <w:rsid w:val="3E676EEE"/>
    <w:rsid w:val="3E685C7F"/>
    <w:rsid w:val="3E6879B3"/>
    <w:rsid w:val="3E693261"/>
    <w:rsid w:val="3E694446"/>
    <w:rsid w:val="3E6B3C9A"/>
    <w:rsid w:val="3E6D5748"/>
    <w:rsid w:val="3E6E367E"/>
    <w:rsid w:val="3E701131"/>
    <w:rsid w:val="3E7161A6"/>
    <w:rsid w:val="3E725401"/>
    <w:rsid w:val="3E76711C"/>
    <w:rsid w:val="3E770853"/>
    <w:rsid w:val="3E781082"/>
    <w:rsid w:val="3E79074C"/>
    <w:rsid w:val="3E7A352C"/>
    <w:rsid w:val="3E7B1A4C"/>
    <w:rsid w:val="3E7D30B2"/>
    <w:rsid w:val="3E843B41"/>
    <w:rsid w:val="3E8657F3"/>
    <w:rsid w:val="3E87619B"/>
    <w:rsid w:val="3E893B3A"/>
    <w:rsid w:val="3E8B3134"/>
    <w:rsid w:val="3E906892"/>
    <w:rsid w:val="3E935A6B"/>
    <w:rsid w:val="3E982495"/>
    <w:rsid w:val="3E9A3C09"/>
    <w:rsid w:val="3E9E144F"/>
    <w:rsid w:val="3E9F1207"/>
    <w:rsid w:val="3EA42233"/>
    <w:rsid w:val="3EA4672F"/>
    <w:rsid w:val="3EA52306"/>
    <w:rsid w:val="3EA66FDA"/>
    <w:rsid w:val="3EA95D68"/>
    <w:rsid w:val="3EAF6349"/>
    <w:rsid w:val="3EB366B8"/>
    <w:rsid w:val="3EB50307"/>
    <w:rsid w:val="3EB70BB0"/>
    <w:rsid w:val="3EB86F59"/>
    <w:rsid w:val="3EB9089F"/>
    <w:rsid w:val="3EBE68FF"/>
    <w:rsid w:val="3EC01F06"/>
    <w:rsid w:val="3EC414D2"/>
    <w:rsid w:val="3EC501D7"/>
    <w:rsid w:val="3EC60E38"/>
    <w:rsid w:val="3EC64CA0"/>
    <w:rsid w:val="3EC7430B"/>
    <w:rsid w:val="3EC97384"/>
    <w:rsid w:val="3ECB563F"/>
    <w:rsid w:val="3ECC45F4"/>
    <w:rsid w:val="3ECF2112"/>
    <w:rsid w:val="3ED135B9"/>
    <w:rsid w:val="3ED5312D"/>
    <w:rsid w:val="3EDD4AFF"/>
    <w:rsid w:val="3EDD6659"/>
    <w:rsid w:val="3EDE324B"/>
    <w:rsid w:val="3EE04228"/>
    <w:rsid w:val="3EE10921"/>
    <w:rsid w:val="3EE212EC"/>
    <w:rsid w:val="3EE22CFF"/>
    <w:rsid w:val="3EE444B4"/>
    <w:rsid w:val="3EE51DC9"/>
    <w:rsid w:val="3EE737B8"/>
    <w:rsid w:val="3EE737D3"/>
    <w:rsid w:val="3EE920C3"/>
    <w:rsid w:val="3EEA2DA3"/>
    <w:rsid w:val="3EEC7362"/>
    <w:rsid w:val="3EF13A21"/>
    <w:rsid w:val="3F004254"/>
    <w:rsid w:val="3F005E1E"/>
    <w:rsid w:val="3F015A22"/>
    <w:rsid w:val="3F04449C"/>
    <w:rsid w:val="3F055A5C"/>
    <w:rsid w:val="3F062AD9"/>
    <w:rsid w:val="3F07413D"/>
    <w:rsid w:val="3F09381D"/>
    <w:rsid w:val="3F09757E"/>
    <w:rsid w:val="3F0975A5"/>
    <w:rsid w:val="3F0A29ED"/>
    <w:rsid w:val="3F181611"/>
    <w:rsid w:val="3F1821F9"/>
    <w:rsid w:val="3F1D5DE0"/>
    <w:rsid w:val="3F1E7F42"/>
    <w:rsid w:val="3F2365CF"/>
    <w:rsid w:val="3F265F75"/>
    <w:rsid w:val="3F267D83"/>
    <w:rsid w:val="3F2951E8"/>
    <w:rsid w:val="3F2D437A"/>
    <w:rsid w:val="3F2F2659"/>
    <w:rsid w:val="3F326A50"/>
    <w:rsid w:val="3F38107C"/>
    <w:rsid w:val="3F382E2B"/>
    <w:rsid w:val="3F3F02A3"/>
    <w:rsid w:val="3F411625"/>
    <w:rsid w:val="3F41485D"/>
    <w:rsid w:val="3F416C44"/>
    <w:rsid w:val="3F440361"/>
    <w:rsid w:val="3F4D7696"/>
    <w:rsid w:val="3F4E2771"/>
    <w:rsid w:val="3F504D6F"/>
    <w:rsid w:val="3F51725E"/>
    <w:rsid w:val="3F554918"/>
    <w:rsid w:val="3F5E28B5"/>
    <w:rsid w:val="3F642F36"/>
    <w:rsid w:val="3F6D6D90"/>
    <w:rsid w:val="3F721133"/>
    <w:rsid w:val="3F7B343F"/>
    <w:rsid w:val="3F7D1A35"/>
    <w:rsid w:val="3F7E013A"/>
    <w:rsid w:val="3F8403BE"/>
    <w:rsid w:val="3F8A4D07"/>
    <w:rsid w:val="3F8A6DBC"/>
    <w:rsid w:val="3F8B669D"/>
    <w:rsid w:val="3F8B6F50"/>
    <w:rsid w:val="3F917E36"/>
    <w:rsid w:val="3F9537A5"/>
    <w:rsid w:val="3FA244A2"/>
    <w:rsid w:val="3FA305D9"/>
    <w:rsid w:val="3FA75FBB"/>
    <w:rsid w:val="3FA85E68"/>
    <w:rsid w:val="3FAA7432"/>
    <w:rsid w:val="3FAE7833"/>
    <w:rsid w:val="3FAF73A9"/>
    <w:rsid w:val="3FB857D7"/>
    <w:rsid w:val="3FBC54D8"/>
    <w:rsid w:val="3FBD14D3"/>
    <w:rsid w:val="3FBE5012"/>
    <w:rsid w:val="3FC0598E"/>
    <w:rsid w:val="3FC25444"/>
    <w:rsid w:val="3FC41485"/>
    <w:rsid w:val="3FC41C4C"/>
    <w:rsid w:val="3FC5145E"/>
    <w:rsid w:val="3FC75779"/>
    <w:rsid w:val="3FC954D1"/>
    <w:rsid w:val="3FCB4728"/>
    <w:rsid w:val="3FCE1E47"/>
    <w:rsid w:val="3FD60819"/>
    <w:rsid w:val="3FD74AA4"/>
    <w:rsid w:val="3FD95D25"/>
    <w:rsid w:val="3FDC0C7F"/>
    <w:rsid w:val="3FDC0EE7"/>
    <w:rsid w:val="3FDF4400"/>
    <w:rsid w:val="3FE06F9C"/>
    <w:rsid w:val="3FE12357"/>
    <w:rsid w:val="3FE40616"/>
    <w:rsid w:val="3FE7150D"/>
    <w:rsid w:val="3FE854B3"/>
    <w:rsid w:val="3FED18B1"/>
    <w:rsid w:val="3FEF7A36"/>
    <w:rsid w:val="3FF16BA3"/>
    <w:rsid w:val="3FF17DA6"/>
    <w:rsid w:val="3FF2328E"/>
    <w:rsid w:val="3FF35E6F"/>
    <w:rsid w:val="3FF464B3"/>
    <w:rsid w:val="3FFC6759"/>
    <w:rsid w:val="3FFD2E17"/>
    <w:rsid w:val="3FFD4C02"/>
    <w:rsid w:val="3FFD587D"/>
    <w:rsid w:val="3FFD7147"/>
    <w:rsid w:val="3FFE1C66"/>
    <w:rsid w:val="3FFF4D7D"/>
    <w:rsid w:val="40006CFC"/>
    <w:rsid w:val="40023970"/>
    <w:rsid w:val="400432E9"/>
    <w:rsid w:val="400470B7"/>
    <w:rsid w:val="4005591A"/>
    <w:rsid w:val="40060942"/>
    <w:rsid w:val="400B540E"/>
    <w:rsid w:val="40100055"/>
    <w:rsid w:val="40144EB3"/>
    <w:rsid w:val="401861AE"/>
    <w:rsid w:val="40192EE8"/>
    <w:rsid w:val="401E6D83"/>
    <w:rsid w:val="401F3237"/>
    <w:rsid w:val="402745B7"/>
    <w:rsid w:val="402C6212"/>
    <w:rsid w:val="40324B97"/>
    <w:rsid w:val="40340AE6"/>
    <w:rsid w:val="40343E82"/>
    <w:rsid w:val="403B51CC"/>
    <w:rsid w:val="403C13E6"/>
    <w:rsid w:val="403E76E8"/>
    <w:rsid w:val="40400404"/>
    <w:rsid w:val="404100B5"/>
    <w:rsid w:val="40410C41"/>
    <w:rsid w:val="40417684"/>
    <w:rsid w:val="4048111C"/>
    <w:rsid w:val="404C21A6"/>
    <w:rsid w:val="404E7A73"/>
    <w:rsid w:val="40542496"/>
    <w:rsid w:val="40542FE0"/>
    <w:rsid w:val="4056720B"/>
    <w:rsid w:val="405943D1"/>
    <w:rsid w:val="40595465"/>
    <w:rsid w:val="405C0687"/>
    <w:rsid w:val="405F30FC"/>
    <w:rsid w:val="40627EE9"/>
    <w:rsid w:val="406314E3"/>
    <w:rsid w:val="406703CE"/>
    <w:rsid w:val="40705630"/>
    <w:rsid w:val="40716C81"/>
    <w:rsid w:val="407177C9"/>
    <w:rsid w:val="40723435"/>
    <w:rsid w:val="40746F53"/>
    <w:rsid w:val="4075673D"/>
    <w:rsid w:val="4076678C"/>
    <w:rsid w:val="4077560C"/>
    <w:rsid w:val="4078152F"/>
    <w:rsid w:val="407B5F5E"/>
    <w:rsid w:val="407B79D5"/>
    <w:rsid w:val="407C0204"/>
    <w:rsid w:val="407C6E2B"/>
    <w:rsid w:val="408362A6"/>
    <w:rsid w:val="40854485"/>
    <w:rsid w:val="40856677"/>
    <w:rsid w:val="40860AB2"/>
    <w:rsid w:val="40873E38"/>
    <w:rsid w:val="408803E8"/>
    <w:rsid w:val="408E0531"/>
    <w:rsid w:val="40912950"/>
    <w:rsid w:val="40917A04"/>
    <w:rsid w:val="40917F6A"/>
    <w:rsid w:val="40941B27"/>
    <w:rsid w:val="409456CB"/>
    <w:rsid w:val="409E5B7B"/>
    <w:rsid w:val="40A204DE"/>
    <w:rsid w:val="40A25BED"/>
    <w:rsid w:val="40A27D3F"/>
    <w:rsid w:val="40A462F8"/>
    <w:rsid w:val="40A81FF2"/>
    <w:rsid w:val="40AA43EA"/>
    <w:rsid w:val="40AD63DF"/>
    <w:rsid w:val="40AE0935"/>
    <w:rsid w:val="40B3232C"/>
    <w:rsid w:val="40B33DC5"/>
    <w:rsid w:val="40B90FE3"/>
    <w:rsid w:val="40BB4B91"/>
    <w:rsid w:val="40BD259E"/>
    <w:rsid w:val="40BD2A23"/>
    <w:rsid w:val="40BE202B"/>
    <w:rsid w:val="40C25B19"/>
    <w:rsid w:val="40C3144D"/>
    <w:rsid w:val="40C36B94"/>
    <w:rsid w:val="40C762C3"/>
    <w:rsid w:val="40C921B9"/>
    <w:rsid w:val="40CB4B2A"/>
    <w:rsid w:val="40CF1884"/>
    <w:rsid w:val="40D1499D"/>
    <w:rsid w:val="40D30C1E"/>
    <w:rsid w:val="40D377B5"/>
    <w:rsid w:val="40D54101"/>
    <w:rsid w:val="40D823F5"/>
    <w:rsid w:val="40D85191"/>
    <w:rsid w:val="40DC10D3"/>
    <w:rsid w:val="40DC3F87"/>
    <w:rsid w:val="40DD1792"/>
    <w:rsid w:val="40E15729"/>
    <w:rsid w:val="40E25EB8"/>
    <w:rsid w:val="40E42B60"/>
    <w:rsid w:val="40E9275C"/>
    <w:rsid w:val="40EB08A7"/>
    <w:rsid w:val="40EC4931"/>
    <w:rsid w:val="40ED44D3"/>
    <w:rsid w:val="40F45B07"/>
    <w:rsid w:val="40FC1BF3"/>
    <w:rsid w:val="40FE3EEF"/>
    <w:rsid w:val="410152EC"/>
    <w:rsid w:val="41027683"/>
    <w:rsid w:val="41073E1B"/>
    <w:rsid w:val="41074BB4"/>
    <w:rsid w:val="410A2CEA"/>
    <w:rsid w:val="410E2CF7"/>
    <w:rsid w:val="411121C8"/>
    <w:rsid w:val="41125B31"/>
    <w:rsid w:val="41130705"/>
    <w:rsid w:val="41151A93"/>
    <w:rsid w:val="41154F56"/>
    <w:rsid w:val="411555A0"/>
    <w:rsid w:val="41170D44"/>
    <w:rsid w:val="411929D4"/>
    <w:rsid w:val="411A6B85"/>
    <w:rsid w:val="411B2D99"/>
    <w:rsid w:val="411C6AD0"/>
    <w:rsid w:val="411D7FF0"/>
    <w:rsid w:val="411F61BA"/>
    <w:rsid w:val="41201097"/>
    <w:rsid w:val="41290473"/>
    <w:rsid w:val="41293241"/>
    <w:rsid w:val="412B5E8D"/>
    <w:rsid w:val="412D4A70"/>
    <w:rsid w:val="412F41D4"/>
    <w:rsid w:val="412F6670"/>
    <w:rsid w:val="413072DD"/>
    <w:rsid w:val="4131501E"/>
    <w:rsid w:val="41351853"/>
    <w:rsid w:val="413849AD"/>
    <w:rsid w:val="4139554A"/>
    <w:rsid w:val="413C3F75"/>
    <w:rsid w:val="413D505B"/>
    <w:rsid w:val="4141780A"/>
    <w:rsid w:val="41426521"/>
    <w:rsid w:val="414A6B18"/>
    <w:rsid w:val="414D114F"/>
    <w:rsid w:val="414D693C"/>
    <w:rsid w:val="414E68CA"/>
    <w:rsid w:val="415136C5"/>
    <w:rsid w:val="4158052B"/>
    <w:rsid w:val="41586C19"/>
    <w:rsid w:val="415A338F"/>
    <w:rsid w:val="415A77F8"/>
    <w:rsid w:val="415B5327"/>
    <w:rsid w:val="41675AFF"/>
    <w:rsid w:val="41693B1D"/>
    <w:rsid w:val="416C44A7"/>
    <w:rsid w:val="41744F7B"/>
    <w:rsid w:val="417A499D"/>
    <w:rsid w:val="417D2092"/>
    <w:rsid w:val="417D65B0"/>
    <w:rsid w:val="417D7C7A"/>
    <w:rsid w:val="417F3E10"/>
    <w:rsid w:val="41801FA1"/>
    <w:rsid w:val="41823803"/>
    <w:rsid w:val="418461C5"/>
    <w:rsid w:val="418708F9"/>
    <w:rsid w:val="418853FD"/>
    <w:rsid w:val="41890F33"/>
    <w:rsid w:val="418972B2"/>
    <w:rsid w:val="418A65CC"/>
    <w:rsid w:val="418C5FE2"/>
    <w:rsid w:val="418D2DEB"/>
    <w:rsid w:val="418D5EB3"/>
    <w:rsid w:val="41916B55"/>
    <w:rsid w:val="41921A57"/>
    <w:rsid w:val="41926307"/>
    <w:rsid w:val="41937AB9"/>
    <w:rsid w:val="41953F29"/>
    <w:rsid w:val="419831C2"/>
    <w:rsid w:val="419D5E1B"/>
    <w:rsid w:val="41A611E5"/>
    <w:rsid w:val="41AA30A5"/>
    <w:rsid w:val="41AC1D05"/>
    <w:rsid w:val="41B4260F"/>
    <w:rsid w:val="41B74076"/>
    <w:rsid w:val="41C12608"/>
    <w:rsid w:val="41C37B79"/>
    <w:rsid w:val="41C42757"/>
    <w:rsid w:val="41C6144E"/>
    <w:rsid w:val="41C64758"/>
    <w:rsid w:val="41C873A4"/>
    <w:rsid w:val="41CE3457"/>
    <w:rsid w:val="41D2598C"/>
    <w:rsid w:val="41D545C0"/>
    <w:rsid w:val="41D66624"/>
    <w:rsid w:val="41D83656"/>
    <w:rsid w:val="41DB6F54"/>
    <w:rsid w:val="41DC195A"/>
    <w:rsid w:val="41DF3860"/>
    <w:rsid w:val="41EC677B"/>
    <w:rsid w:val="41ED73F1"/>
    <w:rsid w:val="41F120CF"/>
    <w:rsid w:val="41F61A4B"/>
    <w:rsid w:val="41F8316C"/>
    <w:rsid w:val="41F84BAF"/>
    <w:rsid w:val="41FE1ED7"/>
    <w:rsid w:val="420869C3"/>
    <w:rsid w:val="42143C33"/>
    <w:rsid w:val="42171E04"/>
    <w:rsid w:val="42231640"/>
    <w:rsid w:val="4224678F"/>
    <w:rsid w:val="422E5024"/>
    <w:rsid w:val="422E5976"/>
    <w:rsid w:val="423229D2"/>
    <w:rsid w:val="42324D33"/>
    <w:rsid w:val="42325AA3"/>
    <w:rsid w:val="42376E7B"/>
    <w:rsid w:val="42395085"/>
    <w:rsid w:val="423A784B"/>
    <w:rsid w:val="423B44F0"/>
    <w:rsid w:val="42430B79"/>
    <w:rsid w:val="424534E7"/>
    <w:rsid w:val="42453E3A"/>
    <w:rsid w:val="4248082C"/>
    <w:rsid w:val="424B4925"/>
    <w:rsid w:val="424D04BD"/>
    <w:rsid w:val="424D2FAC"/>
    <w:rsid w:val="424E728C"/>
    <w:rsid w:val="42533C02"/>
    <w:rsid w:val="42543A0F"/>
    <w:rsid w:val="4258475D"/>
    <w:rsid w:val="42631CB3"/>
    <w:rsid w:val="42633BF2"/>
    <w:rsid w:val="426B535B"/>
    <w:rsid w:val="427559D2"/>
    <w:rsid w:val="42772D82"/>
    <w:rsid w:val="427C5AD8"/>
    <w:rsid w:val="427E4850"/>
    <w:rsid w:val="427E4DA5"/>
    <w:rsid w:val="427F1598"/>
    <w:rsid w:val="42842B10"/>
    <w:rsid w:val="428943E8"/>
    <w:rsid w:val="428A79B5"/>
    <w:rsid w:val="428C1E7C"/>
    <w:rsid w:val="428D73B7"/>
    <w:rsid w:val="42925390"/>
    <w:rsid w:val="4293437E"/>
    <w:rsid w:val="42936DC0"/>
    <w:rsid w:val="429523B0"/>
    <w:rsid w:val="4296387A"/>
    <w:rsid w:val="42992C44"/>
    <w:rsid w:val="429D78C2"/>
    <w:rsid w:val="429F16EB"/>
    <w:rsid w:val="42A329A0"/>
    <w:rsid w:val="42A369C7"/>
    <w:rsid w:val="42AD2483"/>
    <w:rsid w:val="42AE0A70"/>
    <w:rsid w:val="42B10E82"/>
    <w:rsid w:val="42B72813"/>
    <w:rsid w:val="42B82535"/>
    <w:rsid w:val="42B82BAE"/>
    <w:rsid w:val="42B951C3"/>
    <w:rsid w:val="42B97FC8"/>
    <w:rsid w:val="42C36BC2"/>
    <w:rsid w:val="42C70B0D"/>
    <w:rsid w:val="42C72004"/>
    <w:rsid w:val="42C74754"/>
    <w:rsid w:val="42C939B7"/>
    <w:rsid w:val="42C9790F"/>
    <w:rsid w:val="42CA0828"/>
    <w:rsid w:val="42CB60B7"/>
    <w:rsid w:val="42CD26A2"/>
    <w:rsid w:val="42CD2837"/>
    <w:rsid w:val="42D22C89"/>
    <w:rsid w:val="42DA1CFE"/>
    <w:rsid w:val="42DD3A82"/>
    <w:rsid w:val="42E44AA6"/>
    <w:rsid w:val="42E56867"/>
    <w:rsid w:val="42E86130"/>
    <w:rsid w:val="42E9174E"/>
    <w:rsid w:val="42EA6481"/>
    <w:rsid w:val="42EB7A37"/>
    <w:rsid w:val="42EC475B"/>
    <w:rsid w:val="42EF4EC4"/>
    <w:rsid w:val="42F60499"/>
    <w:rsid w:val="42F64DF0"/>
    <w:rsid w:val="42F87D27"/>
    <w:rsid w:val="42FE4C54"/>
    <w:rsid w:val="42FE778D"/>
    <w:rsid w:val="43017076"/>
    <w:rsid w:val="430446D2"/>
    <w:rsid w:val="43067FD9"/>
    <w:rsid w:val="43086A05"/>
    <w:rsid w:val="430C7C77"/>
    <w:rsid w:val="430E54EE"/>
    <w:rsid w:val="43124793"/>
    <w:rsid w:val="43142D50"/>
    <w:rsid w:val="43150DF8"/>
    <w:rsid w:val="43174DEF"/>
    <w:rsid w:val="431D4F90"/>
    <w:rsid w:val="43221C19"/>
    <w:rsid w:val="432259AE"/>
    <w:rsid w:val="43231979"/>
    <w:rsid w:val="43266896"/>
    <w:rsid w:val="43287FE8"/>
    <w:rsid w:val="432A1CE8"/>
    <w:rsid w:val="432A74B7"/>
    <w:rsid w:val="432C50BD"/>
    <w:rsid w:val="432F57FD"/>
    <w:rsid w:val="4332631B"/>
    <w:rsid w:val="4334460B"/>
    <w:rsid w:val="433536E3"/>
    <w:rsid w:val="433858A1"/>
    <w:rsid w:val="43392776"/>
    <w:rsid w:val="433E19D1"/>
    <w:rsid w:val="433E64EF"/>
    <w:rsid w:val="433F0170"/>
    <w:rsid w:val="43413AD8"/>
    <w:rsid w:val="43421C36"/>
    <w:rsid w:val="43422F5A"/>
    <w:rsid w:val="434616E4"/>
    <w:rsid w:val="434C7199"/>
    <w:rsid w:val="43527706"/>
    <w:rsid w:val="43530772"/>
    <w:rsid w:val="43547655"/>
    <w:rsid w:val="435827C7"/>
    <w:rsid w:val="43590657"/>
    <w:rsid w:val="435A7803"/>
    <w:rsid w:val="435C050C"/>
    <w:rsid w:val="435C67DD"/>
    <w:rsid w:val="435D095D"/>
    <w:rsid w:val="43610D11"/>
    <w:rsid w:val="4361752E"/>
    <w:rsid w:val="43631C4B"/>
    <w:rsid w:val="436429F7"/>
    <w:rsid w:val="43647CCC"/>
    <w:rsid w:val="4369328B"/>
    <w:rsid w:val="43694F42"/>
    <w:rsid w:val="436D309F"/>
    <w:rsid w:val="4378513B"/>
    <w:rsid w:val="437A641E"/>
    <w:rsid w:val="437E3BFF"/>
    <w:rsid w:val="437E7BA2"/>
    <w:rsid w:val="43804199"/>
    <w:rsid w:val="43817922"/>
    <w:rsid w:val="43832B20"/>
    <w:rsid w:val="43844A51"/>
    <w:rsid w:val="43862233"/>
    <w:rsid w:val="43875109"/>
    <w:rsid w:val="438A4320"/>
    <w:rsid w:val="438C1D1E"/>
    <w:rsid w:val="438C3C4A"/>
    <w:rsid w:val="4391104C"/>
    <w:rsid w:val="439439BA"/>
    <w:rsid w:val="43997857"/>
    <w:rsid w:val="43997B41"/>
    <w:rsid w:val="439C7DF9"/>
    <w:rsid w:val="439F6090"/>
    <w:rsid w:val="43A0042D"/>
    <w:rsid w:val="43A26BEF"/>
    <w:rsid w:val="43A45283"/>
    <w:rsid w:val="43A744B6"/>
    <w:rsid w:val="43AE039A"/>
    <w:rsid w:val="43AE03C7"/>
    <w:rsid w:val="43AE7956"/>
    <w:rsid w:val="43B04693"/>
    <w:rsid w:val="43B22D06"/>
    <w:rsid w:val="43B37869"/>
    <w:rsid w:val="43B46E4E"/>
    <w:rsid w:val="43B73CD0"/>
    <w:rsid w:val="43B75783"/>
    <w:rsid w:val="43BA0A3D"/>
    <w:rsid w:val="43BC479E"/>
    <w:rsid w:val="43BD5427"/>
    <w:rsid w:val="43BF4BAD"/>
    <w:rsid w:val="43C24416"/>
    <w:rsid w:val="43C8526C"/>
    <w:rsid w:val="43C87ECD"/>
    <w:rsid w:val="43C916BC"/>
    <w:rsid w:val="43C978E4"/>
    <w:rsid w:val="43CC6113"/>
    <w:rsid w:val="43CC7553"/>
    <w:rsid w:val="43D51778"/>
    <w:rsid w:val="43D52257"/>
    <w:rsid w:val="43D77975"/>
    <w:rsid w:val="43D9038F"/>
    <w:rsid w:val="43DC50F2"/>
    <w:rsid w:val="43DD1C10"/>
    <w:rsid w:val="43DF2923"/>
    <w:rsid w:val="43E10F67"/>
    <w:rsid w:val="43E93A0A"/>
    <w:rsid w:val="43EB621E"/>
    <w:rsid w:val="43ED750B"/>
    <w:rsid w:val="43EF311E"/>
    <w:rsid w:val="43F11F10"/>
    <w:rsid w:val="43F83138"/>
    <w:rsid w:val="43FA6AAD"/>
    <w:rsid w:val="4401456F"/>
    <w:rsid w:val="44025631"/>
    <w:rsid w:val="440559D3"/>
    <w:rsid w:val="44087E6F"/>
    <w:rsid w:val="440C7835"/>
    <w:rsid w:val="440D5B70"/>
    <w:rsid w:val="440F507F"/>
    <w:rsid w:val="441064C1"/>
    <w:rsid w:val="44112FD3"/>
    <w:rsid w:val="44181078"/>
    <w:rsid w:val="441971DF"/>
    <w:rsid w:val="441A601B"/>
    <w:rsid w:val="441F163C"/>
    <w:rsid w:val="44255C55"/>
    <w:rsid w:val="44267087"/>
    <w:rsid w:val="442A1923"/>
    <w:rsid w:val="442A7587"/>
    <w:rsid w:val="442D3D38"/>
    <w:rsid w:val="44337036"/>
    <w:rsid w:val="443A2606"/>
    <w:rsid w:val="443B5AEF"/>
    <w:rsid w:val="443C2AF4"/>
    <w:rsid w:val="44400321"/>
    <w:rsid w:val="4441698F"/>
    <w:rsid w:val="44465076"/>
    <w:rsid w:val="44472191"/>
    <w:rsid w:val="444945FE"/>
    <w:rsid w:val="444D6B22"/>
    <w:rsid w:val="444E432D"/>
    <w:rsid w:val="445554E6"/>
    <w:rsid w:val="44571714"/>
    <w:rsid w:val="44601B60"/>
    <w:rsid w:val="44632ACB"/>
    <w:rsid w:val="44652AD3"/>
    <w:rsid w:val="44673133"/>
    <w:rsid w:val="446947A0"/>
    <w:rsid w:val="446A7364"/>
    <w:rsid w:val="446B0417"/>
    <w:rsid w:val="446C5CFA"/>
    <w:rsid w:val="446D3892"/>
    <w:rsid w:val="446D7891"/>
    <w:rsid w:val="446F30D5"/>
    <w:rsid w:val="446F51FA"/>
    <w:rsid w:val="44741564"/>
    <w:rsid w:val="447543AA"/>
    <w:rsid w:val="447A222B"/>
    <w:rsid w:val="447C6903"/>
    <w:rsid w:val="44833E8F"/>
    <w:rsid w:val="44844DAC"/>
    <w:rsid w:val="44871CF2"/>
    <w:rsid w:val="44873642"/>
    <w:rsid w:val="448A0292"/>
    <w:rsid w:val="448C1A23"/>
    <w:rsid w:val="44916961"/>
    <w:rsid w:val="449D7AC7"/>
    <w:rsid w:val="449E6342"/>
    <w:rsid w:val="449E7C20"/>
    <w:rsid w:val="44A15B17"/>
    <w:rsid w:val="44A669E7"/>
    <w:rsid w:val="44A81DDC"/>
    <w:rsid w:val="44AD3541"/>
    <w:rsid w:val="44B0680F"/>
    <w:rsid w:val="44B13AB3"/>
    <w:rsid w:val="44B14701"/>
    <w:rsid w:val="44B30D59"/>
    <w:rsid w:val="44C00E34"/>
    <w:rsid w:val="44C426D8"/>
    <w:rsid w:val="44C87111"/>
    <w:rsid w:val="44C87744"/>
    <w:rsid w:val="44D00D7B"/>
    <w:rsid w:val="44D12DB6"/>
    <w:rsid w:val="44D353EB"/>
    <w:rsid w:val="44DA4DA8"/>
    <w:rsid w:val="44DC537F"/>
    <w:rsid w:val="44E35346"/>
    <w:rsid w:val="44E914BB"/>
    <w:rsid w:val="44EA247F"/>
    <w:rsid w:val="44EB50EB"/>
    <w:rsid w:val="44F402FE"/>
    <w:rsid w:val="44F50E83"/>
    <w:rsid w:val="44F644BA"/>
    <w:rsid w:val="44F7658A"/>
    <w:rsid w:val="44FA7C80"/>
    <w:rsid w:val="4500156D"/>
    <w:rsid w:val="450609C4"/>
    <w:rsid w:val="4507757E"/>
    <w:rsid w:val="450B4879"/>
    <w:rsid w:val="450B792E"/>
    <w:rsid w:val="45123AD7"/>
    <w:rsid w:val="451A0687"/>
    <w:rsid w:val="451E7D80"/>
    <w:rsid w:val="45207ADD"/>
    <w:rsid w:val="4529430F"/>
    <w:rsid w:val="452A3FC9"/>
    <w:rsid w:val="452C2A36"/>
    <w:rsid w:val="452E712D"/>
    <w:rsid w:val="4531208F"/>
    <w:rsid w:val="45354B57"/>
    <w:rsid w:val="4536408B"/>
    <w:rsid w:val="453E6629"/>
    <w:rsid w:val="45411508"/>
    <w:rsid w:val="45440C99"/>
    <w:rsid w:val="4545085F"/>
    <w:rsid w:val="45475925"/>
    <w:rsid w:val="454C4F66"/>
    <w:rsid w:val="454D653F"/>
    <w:rsid w:val="45516E87"/>
    <w:rsid w:val="455177F9"/>
    <w:rsid w:val="45560DC4"/>
    <w:rsid w:val="455A70A9"/>
    <w:rsid w:val="455A7C74"/>
    <w:rsid w:val="455B0A4E"/>
    <w:rsid w:val="455D618E"/>
    <w:rsid w:val="455F1266"/>
    <w:rsid w:val="456550DD"/>
    <w:rsid w:val="45705A2D"/>
    <w:rsid w:val="457416EF"/>
    <w:rsid w:val="45760B57"/>
    <w:rsid w:val="4579236F"/>
    <w:rsid w:val="457949A9"/>
    <w:rsid w:val="457E553F"/>
    <w:rsid w:val="457E69F2"/>
    <w:rsid w:val="457E7B39"/>
    <w:rsid w:val="457F3F1C"/>
    <w:rsid w:val="45800BAF"/>
    <w:rsid w:val="45832B37"/>
    <w:rsid w:val="45853965"/>
    <w:rsid w:val="45864172"/>
    <w:rsid w:val="458F5EA4"/>
    <w:rsid w:val="458F798B"/>
    <w:rsid w:val="45910A41"/>
    <w:rsid w:val="459269B2"/>
    <w:rsid w:val="4597697C"/>
    <w:rsid w:val="459938C0"/>
    <w:rsid w:val="459A6403"/>
    <w:rsid w:val="459C03A9"/>
    <w:rsid w:val="459E52CE"/>
    <w:rsid w:val="45A03625"/>
    <w:rsid w:val="45A95C90"/>
    <w:rsid w:val="45AA6917"/>
    <w:rsid w:val="45AA69B4"/>
    <w:rsid w:val="45AE5B96"/>
    <w:rsid w:val="45B172AF"/>
    <w:rsid w:val="45B537F5"/>
    <w:rsid w:val="45B602D3"/>
    <w:rsid w:val="45B636F0"/>
    <w:rsid w:val="45B652D7"/>
    <w:rsid w:val="45BB1E73"/>
    <w:rsid w:val="45BB29F6"/>
    <w:rsid w:val="45BB75B3"/>
    <w:rsid w:val="45BC00D9"/>
    <w:rsid w:val="45C362EB"/>
    <w:rsid w:val="45C63286"/>
    <w:rsid w:val="45C93B72"/>
    <w:rsid w:val="45C95686"/>
    <w:rsid w:val="45CB05CE"/>
    <w:rsid w:val="45CF5E84"/>
    <w:rsid w:val="45CF66A1"/>
    <w:rsid w:val="45D22BB7"/>
    <w:rsid w:val="45DB0545"/>
    <w:rsid w:val="45DB6CEE"/>
    <w:rsid w:val="45DC7A0D"/>
    <w:rsid w:val="45DF0D87"/>
    <w:rsid w:val="45DF67E9"/>
    <w:rsid w:val="45E86E93"/>
    <w:rsid w:val="45E956E3"/>
    <w:rsid w:val="45EC49D9"/>
    <w:rsid w:val="45EF6139"/>
    <w:rsid w:val="45F35A7B"/>
    <w:rsid w:val="45F649CB"/>
    <w:rsid w:val="45F9627B"/>
    <w:rsid w:val="45FB2124"/>
    <w:rsid w:val="45FC190F"/>
    <w:rsid w:val="460C098E"/>
    <w:rsid w:val="460D1C3B"/>
    <w:rsid w:val="460D524F"/>
    <w:rsid w:val="460E1C84"/>
    <w:rsid w:val="46111803"/>
    <w:rsid w:val="46146C32"/>
    <w:rsid w:val="46151D4B"/>
    <w:rsid w:val="461709CE"/>
    <w:rsid w:val="461D7A6C"/>
    <w:rsid w:val="46221CBB"/>
    <w:rsid w:val="46261A65"/>
    <w:rsid w:val="462C4ACD"/>
    <w:rsid w:val="462D24FE"/>
    <w:rsid w:val="462E0B3F"/>
    <w:rsid w:val="46301602"/>
    <w:rsid w:val="46304E35"/>
    <w:rsid w:val="46333982"/>
    <w:rsid w:val="46337814"/>
    <w:rsid w:val="46341E17"/>
    <w:rsid w:val="46356C6C"/>
    <w:rsid w:val="463577DF"/>
    <w:rsid w:val="46380A15"/>
    <w:rsid w:val="46423D41"/>
    <w:rsid w:val="46437FD8"/>
    <w:rsid w:val="46456DD4"/>
    <w:rsid w:val="46486D7D"/>
    <w:rsid w:val="464917CC"/>
    <w:rsid w:val="464A203E"/>
    <w:rsid w:val="464C7010"/>
    <w:rsid w:val="464F013A"/>
    <w:rsid w:val="46526A03"/>
    <w:rsid w:val="465476F5"/>
    <w:rsid w:val="46556639"/>
    <w:rsid w:val="465728AC"/>
    <w:rsid w:val="465860D2"/>
    <w:rsid w:val="465B0CA8"/>
    <w:rsid w:val="465B2CB1"/>
    <w:rsid w:val="465E0AEA"/>
    <w:rsid w:val="466266E5"/>
    <w:rsid w:val="46655CC4"/>
    <w:rsid w:val="46671FBA"/>
    <w:rsid w:val="466E139E"/>
    <w:rsid w:val="466E4C9E"/>
    <w:rsid w:val="466F13F9"/>
    <w:rsid w:val="46760A52"/>
    <w:rsid w:val="46783171"/>
    <w:rsid w:val="467D5551"/>
    <w:rsid w:val="46800257"/>
    <w:rsid w:val="4681202A"/>
    <w:rsid w:val="46857467"/>
    <w:rsid w:val="46884CA1"/>
    <w:rsid w:val="468D3180"/>
    <w:rsid w:val="468E4B24"/>
    <w:rsid w:val="468F7081"/>
    <w:rsid w:val="469017B9"/>
    <w:rsid w:val="46912C58"/>
    <w:rsid w:val="46950661"/>
    <w:rsid w:val="469568DC"/>
    <w:rsid w:val="46963CB4"/>
    <w:rsid w:val="46974983"/>
    <w:rsid w:val="469E1ABA"/>
    <w:rsid w:val="469F5443"/>
    <w:rsid w:val="46A0616C"/>
    <w:rsid w:val="46A6573D"/>
    <w:rsid w:val="46B00B98"/>
    <w:rsid w:val="46B457EA"/>
    <w:rsid w:val="46B72179"/>
    <w:rsid w:val="46B95C45"/>
    <w:rsid w:val="46BB779D"/>
    <w:rsid w:val="46BC5438"/>
    <w:rsid w:val="46C14C3E"/>
    <w:rsid w:val="46C271DD"/>
    <w:rsid w:val="46C55479"/>
    <w:rsid w:val="46CB5119"/>
    <w:rsid w:val="46D0318C"/>
    <w:rsid w:val="46D216AA"/>
    <w:rsid w:val="46D33EC4"/>
    <w:rsid w:val="46DA178D"/>
    <w:rsid w:val="46DB0683"/>
    <w:rsid w:val="46DC355E"/>
    <w:rsid w:val="46E0117E"/>
    <w:rsid w:val="46E03C76"/>
    <w:rsid w:val="46E14970"/>
    <w:rsid w:val="46E253EE"/>
    <w:rsid w:val="46E3647F"/>
    <w:rsid w:val="46E612DF"/>
    <w:rsid w:val="46E70D6D"/>
    <w:rsid w:val="46E71376"/>
    <w:rsid w:val="46ED1FA9"/>
    <w:rsid w:val="46F07310"/>
    <w:rsid w:val="46F3334D"/>
    <w:rsid w:val="46F8187D"/>
    <w:rsid w:val="46F91715"/>
    <w:rsid w:val="46FA4019"/>
    <w:rsid w:val="46FB4D97"/>
    <w:rsid w:val="46FE4C24"/>
    <w:rsid w:val="47002243"/>
    <w:rsid w:val="4705737D"/>
    <w:rsid w:val="470C12EB"/>
    <w:rsid w:val="470D3EB7"/>
    <w:rsid w:val="470E6A06"/>
    <w:rsid w:val="470F296C"/>
    <w:rsid w:val="471744DC"/>
    <w:rsid w:val="4719490B"/>
    <w:rsid w:val="471D1142"/>
    <w:rsid w:val="471F52A2"/>
    <w:rsid w:val="47252F1E"/>
    <w:rsid w:val="47276CD3"/>
    <w:rsid w:val="47281F17"/>
    <w:rsid w:val="472872BE"/>
    <w:rsid w:val="472C480D"/>
    <w:rsid w:val="47300B0E"/>
    <w:rsid w:val="47316D0C"/>
    <w:rsid w:val="47374541"/>
    <w:rsid w:val="473A016B"/>
    <w:rsid w:val="473C12C0"/>
    <w:rsid w:val="473E05E8"/>
    <w:rsid w:val="47402395"/>
    <w:rsid w:val="474418B1"/>
    <w:rsid w:val="474F0D5A"/>
    <w:rsid w:val="47506810"/>
    <w:rsid w:val="47510CE7"/>
    <w:rsid w:val="475C6673"/>
    <w:rsid w:val="475D1C8D"/>
    <w:rsid w:val="475F4AFD"/>
    <w:rsid w:val="47660527"/>
    <w:rsid w:val="47693223"/>
    <w:rsid w:val="476A61B6"/>
    <w:rsid w:val="476B41AD"/>
    <w:rsid w:val="476E4F66"/>
    <w:rsid w:val="4774722B"/>
    <w:rsid w:val="47815F2A"/>
    <w:rsid w:val="478231E7"/>
    <w:rsid w:val="47840166"/>
    <w:rsid w:val="47867007"/>
    <w:rsid w:val="478A1B44"/>
    <w:rsid w:val="478B23E5"/>
    <w:rsid w:val="478D091B"/>
    <w:rsid w:val="478D4CE7"/>
    <w:rsid w:val="47923B21"/>
    <w:rsid w:val="47943E45"/>
    <w:rsid w:val="47946DD9"/>
    <w:rsid w:val="47950BCB"/>
    <w:rsid w:val="47991A5D"/>
    <w:rsid w:val="479E124B"/>
    <w:rsid w:val="479E4618"/>
    <w:rsid w:val="47A033A0"/>
    <w:rsid w:val="47A422FB"/>
    <w:rsid w:val="47A879AF"/>
    <w:rsid w:val="47A9425C"/>
    <w:rsid w:val="47A94378"/>
    <w:rsid w:val="47AD18FD"/>
    <w:rsid w:val="47AF3BF5"/>
    <w:rsid w:val="47B433B1"/>
    <w:rsid w:val="47B50DB8"/>
    <w:rsid w:val="47B91E6F"/>
    <w:rsid w:val="47BA7FD8"/>
    <w:rsid w:val="47C16566"/>
    <w:rsid w:val="47C21032"/>
    <w:rsid w:val="47C22F15"/>
    <w:rsid w:val="47C254A4"/>
    <w:rsid w:val="47C368F5"/>
    <w:rsid w:val="47C5565B"/>
    <w:rsid w:val="47C57E75"/>
    <w:rsid w:val="47C74B2A"/>
    <w:rsid w:val="47C853DF"/>
    <w:rsid w:val="47CB16C6"/>
    <w:rsid w:val="47CE02D4"/>
    <w:rsid w:val="47CE640A"/>
    <w:rsid w:val="47D60AC1"/>
    <w:rsid w:val="47D97E00"/>
    <w:rsid w:val="47DA0A19"/>
    <w:rsid w:val="47DA4954"/>
    <w:rsid w:val="47DA59FB"/>
    <w:rsid w:val="47DE09F2"/>
    <w:rsid w:val="47DE760B"/>
    <w:rsid w:val="47E067F3"/>
    <w:rsid w:val="47E54130"/>
    <w:rsid w:val="47EB4357"/>
    <w:rsid w:val="47F3028A"/>
    <w:rsid w:val="47F36DDA"/>
    <w:rsid w:val="47F54F25"/>
    <w:rsid w:val="47F756A9"/>
    <w:rsid w:val="47F76E42"/>
    <w:rsid w:val="47F861FB"/>
    <w:rsid w:val="47FA15DA"/>
    <w:rsid w:val="47FD4F72"/>
    <w:rsid w:val="47FE016D"/>
    <w:rsid w:val="47FE6B71"/>
    <w:rsid w:val="48025B7C"/>
    <w:rsid w:val="480A0153"/>
    <w:rsid w:val="480B6357"/>
    <w:rsid w:val="480C7767"/>
    <w:rsid w:val="480F208B"/>
    <w:rsid w:val="48100EC5"/>
    <w:rsid w:val="48103B12"/>
    <w:rsid w:val="48114D76"/>
    <w:rsid w:val="4813494F"/>
    <w:rsid w:val="481509AF"/>
    <w:rsid w:val="48166D26"/>
    <w:rsid w:val="4817350C"/>
    <w:rsid w:val="481A1704"/>
    <w:rsid w:val="481B2677"/>
    <w:rsid w:val="481B4C77"/>
    <w:rsid w:val="481C7573"/>
    <w:rsid w:val="481F4219"/>
    <w:rsid w:val="48214671"/>
    <w:rsid w:val="48223C16"/>
    <w:rsid w:val="48233437"/>
    <w:rsid w:val="48234704"/>
    <w:rsid w:val="4829178C"/>
    <w:rsid w:val="48296D96"/>
    <w:rsid w:val="482A11E9"/>
    <w:rsid w:val="482D4AC5"/>
    <w:rsid w:val="482F1B36"/>
    <w:rsid w:val="48323F2A"/>
    <w:rsid w:val="48335831"/>
    <w:rsid w:val="48344A19"/>
    <w:rsid w:val="48375CE6"/>
    <w:rsid w:val="483B3AC5"/>
    <w:rsid w:val="483C6519"/>
    <w:rsid w:val="48400777"/>
    <w:rsid w:val="48404E9A"/>
    <w:rsid w:val="48407FD0"/>
    <w:rsid w:val="484241E1"/>
    <w:rsid w:val="48430FB3"/>
    <w:rsid w:val="484575B9"/>
    <w:rsid w:val="484B74E6"/>
    <w:rsid w:val="484C6516"/>
    <w:rsid w:val="484D24EE"/>
    <w:rsid w:val="484D46FA"/>
    <w:rsid w:val="484F0BEB"/>
    <w:rsid w:val="48556D3A"/>
    <w:rsid w:val="48560918"/>
    <w:rsid w:val="485759AA"/>
    <w:rsid w:val="485A5628"/>
    <w:rsid w:val="485B4221"/>
    <w:rsid w:val="485E0BB1"/>
    <w:rsid w:val="486151EC"/>
    <w:rsid w:val="48640DD4"/>
    <w:rsid w:val="486873AF"/>
    <w:rsid w:val="486F3096"/>
    <w:rsid w:val="48770711"/>
    <w:rsid w:val="48775B79"/>
    <w:rsid w:val="487B2BE9"/>
    <w:rsid w:val="487F64FC"/>
    <w:rsid w:val="4880613A"/>
    <w:rsid w:val="48815F0C"/>
    <w:rsid w:val="488922BA"/>
    <w:rsid w:val="488955B1"/>
    <w:rsid w:val="48896315"/>
    <w:rsid w:val="48926BAB"/>
    <w:rsid w:val="489315ED"/>
    <w:rsid w:val="489376D8"/>
    <w:rsid w:val="48983195"/>
    <w:rsid w:val="489C2928"/>
    <w:rsid w:val="489C439C"/>
    <w:rsid w:val="489D0A28"/>
    <w:rsid w:val="489E49A7"/>
    <w:rsid w:val="489E74B5"/>
    <w:rsid w:val="48A23F6A"/>
    <w:rsid w:val="48A84008"/>
    <w:rsid w:val="48A91465"/>
    <w:rsid w:val="48AD37B1"/>
    <w:rsid w:val="48AE00EE"/>
    <w:rsid w:val="48AE1769"/>
    <w:rsid w:val="48AE5D5A"/>
    <w:rsid w:val="48B16903"/>
    <w:rsid w:val="48B340FC"/>
    <w:rsid w:val="48B5691A"/>
    <w:rsid w:val="48B61697"/>
    <w:rsid w:val="48B67330"/>
    <w:rsid w:val="48B67C0B"/>
    <w:rsid w:val="48BB3A71"/>
    <w:rsid w:val="48C24CDB"/>
    <w:rsid w:val="48C40B74"/>
    <w:rsid w:val="48C80520"/>
    <w:rsid w:val="48CE4B61"/>
    <w:rsid w:val="48D62B93"/>
    <w:rsid w:val="48D97D83"/>
    <w:rsid w:val="48DC59F6"/>
    <w:rsid w:val="48DD7A1F"/>
    <w:rsid w:val="48E02353"/>
    <w:rsid w:val="48E045C2"/>
    <w:rsid w:val="48E25DD8"/>
    <w:rsid w:val="48E571C2"/>
    <w:rsid w:val="48E6521F"/>
    <w:rsid w:val="48EA5433"/>
    <w:rsid w:val="48ED16FC"/>
    <w:rsid w:val="48F44C5E"/>
    <w:rsid w:val="48F65997"/>
    <w:rsid w:val="48F66548"/>
    <w:rsid w:val="48F777A3"/>
    <w:rsid w:val="48FA53F6"/>
    <w:rsid w:val="4905108E"/>
    <w:rsid w:val="4905388F"/>
    <w:rsid w:val="49063969"/>
    <w:rsid w:val="490663D2"/>
    <w:rsid w:val="49067200"/>
    <w:rsid w:val="49067342"/>
    <w:rsid w:val="490B705B"/>
    <w:rsid w:val="49113228"/>
    <w:rsid w:val="49114858"/>
    <w:rsid w:val="4915522E"/>
    <w:rsid w:val="491B7F95"/>
    <w:rsid w:val="491D5BF6"/>
    <w:rsid w:val="491F2955"/>
    <w:rsid w:val="492878EA"/>
    <w:rsid w:val="49297DEA"/>
    <w:rsid w:val="492B486B"/>
    <w:rsid w:val="493442B8"/>
    <w:rsid w:val="49386FF1"/>
    <w:rsid w:val="4939045F"/>
    <w:rsid w:val="493A15C8"/>
    <w:rsid w:val="493A5959"/>
    <w:rsid w:val="493E38B2"/>
    <w:rsid w:val="493F0AD8"/>
    <w:rsid w:val="494025A6"/>
    <w:rsid w:val="4941375A"/>
    <w:rsid w:val="49457F0F"/>
    <w:rsid w:val="49480057"/>
    <w:rsid w:val="494C67C7"/>
    <w:rsid w:val="494D2C40"/>
    <w:rsid w:val="494F369E"/>
    <w:rsid w:val="49526CDC"/>
    <w:rsid w:val="49534944"/>
    <w:rsid w:val="49543830"/>
    <w:rsid w:val="49585FF7"/>
    <w:rsid w:val="49597A2B"/>
    <w:rsid w:val="4962221C"/>
    <w:rsid w:val="49625466"/>
    <w:rsid w:val="4964014B"/>
    <w:rsid w:val="496433AC"/>
    <w:rsid w:val="49655450"/>
    <w:rsid w:val="49666706"/>
    <w:rsid w:val="497116FC"/>
    <w:rsid w:val="49745968"/>
    <w:rsid w:val="49752754"/>
    <w:rsid w:val="4977488D"/>
    <w:rsid w:val="49784EF3"/>
    <w:rsid w:val="497851BB"/>
    <w:rsid w:val="49802BC9"/>
    <w:rsid w:val="498433C6"/>
    <w:rsid w:val="49890D90"/>
    <w:rsid w:val="498C1C25"/>
    <w:rsid w:val="498F3FBF"/>
    <w:rsid w:val="499019B7"/>
    <w:rsid w:val="49905E27"/>
    <w:rsid w:val="49945C66"/>
    <w:rsid w:val="499A22C3"/>
    <w:rsid w:val="499C3504"/>
    <w:rsid w:val="49A25ED0"/>
    <w:rsid w:val="49A72BC9"/>
    <w:rsid w:val="49A8141F"/>
    <w:rsid w:val="49A82945"/>
    <w:rsid w:val="49A87DA7"/>
    <w:rsid w:val="49AA1AC4"/>
    <w:rsid w:val="49AB20AC"/>
    <w:rsid w:val="49AD7778"/>
    <w:rsid w:val="49AE6615"/>
    <w:rsid w:val="49AF2B7C"/>
    <w:rsid w:val="49B30E4F"/>
    <w:rsid w:val="49B816A9"/>
    <w:rsid w:val="49BB0B50"/>
    <w:rsid w:val="49BB38A9"/>
    <w:rsid w:val="49BC6F1E"/>
    <w:rsid w:val="49BE7DA5"/>
    <w:rsid w:val="49C02AA3"/>
    <w:rsid w:val="49C31F7F"/>
    <w:rsid w:val="49C5419F"/>
    <w:rsid w:val="49CB0A71"/>
    <w:rsid w:val="49CF5DBF"/>
    <w:rsid w:val="49D2234D"/>
    <w:rsid w:val="49D34400"/>
    <w:rsid w:val="49D57ABC"/>
    <w:rsid w:val="49D922E0"/>
    <w:rsid w:val="49DA1D43"/>
    <w:rsid w:val="49DC5FDE"/>
    <w:rsid w:val="49DD5D81"/>
    <w:rsid w:val="49E10C9D"/>
    <w:rsid w:val="49E12DFC"/>
    <w:rsid w:val="49E54A6F"/>
    <w:rsid w:val="49E9073C"/>
    <w:rsid w:val="49EA16ED"/>
    <w:rsid w:val="49EA514E"/>
    <w:rsid w:val="49F166EE"/>
    <w:rsid w:val="49FA208F"/>
    <w:rsid w:val="49FB69BF"/>
    <w:rsid w:val="49FC346B"/>
    <w:rsid w:val="4A003898"/>
    <w:rsid w:val="4A007E91"/>
    <w:rsid w:val="4A0532EA"/>
    <w:rsid w:val="4A053666"/>
    <w:rsid w:val="4A06497C"/>
    <w:rsid w:val="4A076E74"/>
    <w:rsid w:val="4A094A9C"/>
    <w:rsid w:val="4A09630B"/>
    <w:rsid w:val="4A0A2C66"/>
    <w:rsid w:val="4A0A3A9B"/>
    <w:rsid w:val="4A0C29B3"/>
    <w:rsid w:val="4A0C405E"/>
    <w:rsid w:val="4A0F2E2A"/>
    <w:rsid w:val="4A1B30B9"/>
    <w:rsid w:val="4A1B49C8"/>
    <w:rsid w:val="4A1F4222"/>
    <w:rsid w:val="4A221081"/>
    <w:rsid w:val="4A227661"/>
    <w:rsid w:val="4A254BAD"/>
    <w:rsid w:val="4A28222E"/>
    <w:rsid w:val="4A2D57FF"/>
    <w:rsid w:val="4A2E6A03"/>
    <w:rsid w:val="4A2F137C"/>
    <w:rsid w:val="4A3007B2"/>
    <w:rsid w:val="4A327519"/>
    <w:rsid w:val="4A3854E0"/>
    <w:rsid w:val="4A38730E"/>
    <w:rsid w:val="4A407130"/>
    <w:rsid w:val="4A415BAA"/>
    <w:rsid w:val="4A441F1B"/>
    <w:rsid w:val="4A4638F0"/>
    <w:rsid w:val="4A4A63E3"/>
    <w:rsid w:val="4A4B6299"/>
    <w:rsid w:val="4A5332D4"/>
    <w:rsid w:val="4A58124A"/>
    <w:rsid w:val="4A5848A5"/>
    <w:rsid w:val="4A6A3543"/>
    <w:rsid w:val="4A6C5DA2"/>
    <w:rsid w:val="4A6C6858"/>
    <w:rsid w:val="4A6E170C"/>
    <w:rsid w:val="4A6F007A"/>
    <w:rsid w:val="4A70157F"/>
    <w:rsid w:val="4A723582"/>
    <w:rsid w:val="4A743D1F"/>
    <w:rsid w:val="4A751A13"/>
    <w:rsid w:val="4A756756"/>
    <w:rsid w:val="4A781469"/>
    <w:rsid w:val="4A7850CB"/>
    <w:rsid w:val="4A791277"/>
    <w:rsid w:val="4A827B0B"/>
    <w:rsid w:val="4A831A3B"/>
    <w:rsid w:val="4A8339A5"/>
    <w:rsid w:val="4A844FDA"/>
    <w:rsid w:val="4A855F23"/>
    <w:rsid w:val="4A8B62A8"/>
    <w:rsid w:val="4A8D0EA5"/>
    <w:rsid w:val="4A925B64"/>
    <w:rsid w:val="4A99504F"/>
    <w:rsid w:val="4A9B4C5C"/>
    <w:rsid w:val="4A9C160F"/>
    <w:rsid w:val="4A9D7DD0"/>
    <w:rsid w:val="4AA25D15"/>
    <w:rsid w:val="4AA77CC5"/>
    <w:rsid w:val="4AA802C5"/>
    <w:rsid w:val="4AA82B60"/>
    <w:rsid w:val="4AA8363A"/>
    <w:rsid w:val="4AAB51A7"/>
    <w:rsid w:val="4AAD642E"/>
    <w:rsid w:val="4AB46E68"/>
    <w:rsid w:val="4AB91954"/>
    <w:rsid w:val="4AB9296D"/>
    <w:rsid w:val="4ABE2A67"/>
    <w:rsid w:val="4AC10E53"/>
    <w:rsid w:val="4AC34283"/>
    <w:rsid w:val="4AC93A1A"/>
    <w:rsid w:val="4ACA43FF"/>
    <w:rsid w:val="4ACC09A7"/>
    <w:rsid w:val="4ACD7C7D"/>
    <w:rsid w:val="4ACF187E"/>
    <w:rsid w:val="4AD060B4"/>
    <w:rsid w:val="4AD2484F"/>
    <w:rsid w:val="4AD52CA6"/>
    <w:rsid w:val="4ADB3D28"/>
    <w:rsid w:val="4ADB55A9"/>
    <w:rsid w:val="4ADC39F5"/>
    <w:rsid w:val="4ADE4295"/>
    <w:rsid w:val="4ADF0724"/>
    <w:rsid w:val="4AE06209"/>
    <w:rsid w:val="4AE14EBA"/>
    <w:rsid w:val="4AE34A23"/>
    <w:rsid w:val="4AE639E0"/>
    <w:rsid w:val="4AE904C2"/>
    <w:rsid w:val="4AF05B4A"/>
    <w:rsid w:val="4AF4203A"/>
    <w:rsid w:val="4AF63B1A"/>
    <w:rsid w:val="4AF91B75"/>
    <w:rsid w:val="4AF91D29"/>
    <w:rsid w:val="4AFC2780"/>
    <w:rsid w:val="4B020817"/>
    <w:rsid w:val="4B024B13"/>
    <w:rsid w:val="4B075674"/>
    <w:rsid w:val="4B086C81"/>
    <w:rsid w:val="4B0944BC"/>
    <w:rsid w:val="4B0D3C12"/>
    <w:rsid w:val="4B1339E9"/>
    <w:rsid w:val="4B1628A1"/>
    <w:rsid w:val="4B1801CD"/>
    <w:rsid w:val="4B183A14"/>
    <w:rsid w:val="4B1967E3"/>
    <w:rsid w:val="4B1E4166"/>
    <w:rsid w:val="4B202677"/>
    <w:rsid w:val="4B21100D"/>
    <w:rsid w:val="4B222096"/>
    <w:rsid w:val="4B230B6F"/>
    <w:rsid w:val="4B25231B"/>
    <w:rsid w:val="4B2811F2"/>
    <w:rsid w:val="4B2876E0"/>
    <w:rsid w:val="4B2A3763"/>
    <w:rsid w:val="4B2F4FCC"/>
    <w:rsid w:val="4B3215B1"/>
    <w:rsid w:val="4B35239B"/>
    <w:rsid w:val="4B3667BC"/>
    <w:rsid w:val="4B384790"/>
    <w:rsid w:val="4B391950"/>
    <w:rsid w:val="4B3E3E68"/>
    <w:rsid w:val="4B3E5FFB"/>
    <w:rsid w:val="4B415405"/>
    <w:rsid w:val="4B421221"/>
    <w:rsid w:val="4B440D06"/>
    <w:rsid w:val="4B4441CD"/>
    <w:rsid w:val="4B455816"/>
    <w:rsid w:val="4B4610AD"/>
    <w:rsid w:val="4B4643A1"/>
    <w:rsid w:val="4B4B3984"/>
    <w:rsid w:val="4B4D7DCE"/>
    <w:rsid w:val="4B4E62BB"/>
    <w:rsid w:val="4B51077B"/>
    <w:rsid w:val="4B51344E"/>
    <w:rsid w:val="4B555983"/>
    <w:rsid w:val="4B573EA2"/>
    <w:rsid w:val="4B5A16B9"/>
    <w:rsid w:val="4B5C4552"/>
    <w:rsid w:val="4B620D61"/>
    <w:rsid w:val="4B642D7E"/>
    <w:rsid w:val="4B6840B6"/>
    <w:rsid w:val="4B6A0A71"/>
    <w:rsid w:val="4B6D6967"/>
    <w:rsid w:val="4B6E4990"/>
    <w:rsid w:val="4B6F3119"/>
    <w:rsid w:val="4B727CB4"/>
    <w:rsid w:val="4B7650B7"/>
    <w:rsid w:val="4B775452"/>
    <w:rsid w:val="4B79548F"/>
    <w:rsid w:val="4B7A460B"/>
    <w:rsid w:val="4B7D6CF6"/>
    <w:rsid w:val="4B8C22DF"/>
    <w:rsid w:val="4B8E6C4A"/>
    <w:rsid w:val="4B937B65"/>
    <w:rsid w:val="4B9747E2"/>
    <w:rsid w:val="4B9C1776"/>
    <w:rsid w:val="4B9E56CC"/>
    <w:rsid w:val="4BA05B1E"/>
    <w:rsid w:val="4BA63ACB"/>
    <w:rsid w:val="4BA6683D"/>
    <w:rsid w:val="4BA8796F"/>
    <w:rsid w:val="4BAA6D18"/>
    <w:rsid w:val="4BAC4572"/>
    <w:rsid w:val="4BB32950"/>
    <w:rsid w:val="4BB507AD"/>
    <w:rsid w:val="4BB81B44"/>
    <w:rsid w:val="4BBD3D52"/>
    <w:rsid w:val="4BBE0D4F"/>
    <w:rsid w:val="4BC47EAE"/>
    <w:rsid w:val="4BC671BD"/>
    <w:rsid w:val="4BCC0936"/>
    <w:rsid w:val="4BCD5C81"/>
    <w:rsid w:val="4BD0083C"/>
    <w:rsid w:val="4BD26A18"/>
    <w:rsid w:val="4BD47A84"/>
    <w:rsid w:val="4BD82F12"/>
    <w:rsid w:val="4BDC2DB7"/>
    <w:rsid w:val="4BDD2C38"/>
    <w:rsid w:val="4BE71307"/>
    <w:rsid w:val="4BE81817"/>
    <w:rsid w:val="4BEB12FF"/>
    <w:rsid w:val="4BEE645F"/>
    <w:rsid w:val="4BEF3893"/>
    <w:rsid w:val="4BF03D8E"/>
    <w:rsid w:val="4BF27B79"/>
    <w:rsid w:val="4BF42CD6"/>
    <w:rsid w:val="4BF707E5"/>
    <w:rsid w:val="4BFB1CD8"/>
    <w:rsid w:val="4BFE570B"/>
    <w:rsid w:val="4C017F5E"/>
    <w:rsid w:val="4C073BD3"/>
    <w:rsid w:val="4C0B1DD7"/>
    <w:rsid w:val="4C0C7D24"/>
    <w:rsid w:val="4C0E0C82"/>
    <w:rsid w:val="4C0E55F4"/>
    <w:rsid w:val="4C0E7F41"/>
    <w:rsid w:val="4C0F4055"/>
    <w:rsid w:val="4C154646"/>
    <w:rsid w:val="4C1D1A28"/>
    <w:rsid w:val="4C1E5F51"/>
    <w:rsid w:val="4C1F44AF"/>
    <w:rsid w:val="4C200762"/>
    <w:rsid w:val="4C291D08"/>
    <w:rsid w:val="4C2B205E"/>
    <w:rsid w:val="4C3362A1"/>
    <w:rsid w:val="4C377C0F"/>
    <w:rsid w:val="4C3859EE"/>
    <w:rsid w:val="4C3909C7"/>
    <w:rsid w:val="4C3C1429"/>
    <w:rsid w:val="4C447E04"/>
    <w:rsid w:val="4C49612D"/>
    <w:rsid w:val="4C4E4E56"/>
    <w:rsid w:val="4C4E6145"/>
    <w:rsid w:val="4C4F652B"/>
    <w:rsid w:val="4C500D95"/>
    <w:rsid w:val="4C504E69"/>
    <w:rsid w:val="4C5166D9"/>
    <w:rsid w:val="4C55235C"/>
    <w:rsid w:val="4C560E48"/>
    <w:rsid w:val="4C5F0529"/>
    <w:rsid w:val="4C6562EE"/>
    <w:rsid w:val="4C6650EC"/>
    <w:rsid w:val="4C6B0CD3"/>
    <w:rsid w:val="4C6F4DA7"/>
    <w:rsid w:val="4C7006F3"/>
    <w:rsid w:val="4C7021F1"/>
    <w:rsid w:val="4C724BE9"/>
    <w:rsid w:val="4C821A94"/>
    <w:rsid w:val="4C833919"/>
    <w:rsid w:val="4C8A5B53"/>
    <w:rsid w:val="4C912ECF"/>
    <w:rsid w:val="4C991BCB"/>
    <w:rsid w:val="4C9B1F91"/>
    <w:rsid w:val="4C9B3D40"/>
    <w:rsid w:val="4C9C03F3"/>
    <w:rsid w:val="4CA5518C"/>
    <w:rsid w:val="4CA619C7"/>
    <w:rsid w:val="4CAB07CB"/>
    <w:rsid w:val="4CB27FF4"/>
    <w:rsid w:val="4CB51845"/>
    <w:rsid w:val="4CB549AC"/>
    <w:rsid w:val="4CB55756"/>
    <w:rsid w:val="4CB60843"/>
    <w:rsid w:val="4CBA356F"/>
    <w:rsid w:val="4CBF2883"/>
    <w:rsid w:val="4CC5376F"/>
    <w:rsid w:val="4CC958BC"/>
    <w:rsid w:val="4CCB272A"/>
    <w:rsid w:val="4CCD0BD7"/>
    <w:rsid w:val="4CD24328"/>
    <w:rsid w:val="4CD321BE"/>
    <w:rsid w:val="4CD340E2"/>
    <w:rsid w:val="4CD37B9B"/>
    <w:rsid w:val="4CD5503D"/>
    <w:rsid w:val="4CD66C97"/>
    <w:rsid w:val="4CDA37E2"/>
    <w:rsid w:val="4CDA5E0E"/>
    <w:rsid w:val="4CDF4AE7"/>
    <w:rsid w:val="4CDF6965"/>
    <w:rsid w:val="4CE12C0A"/>
    <w:rsid w:val="4CE63AD2"/>
    <w:rsid w:val="4CE70826"/>
    <w:rsid w:val="4CF03CC5"/>
    <w:rsid w:val="4CF60040"/>
    <w:rsid w:val="4CF71EF0"/>
    <w:rsid w:val="4CFA2AEC"/>
    <w:rsid w:val="4CFA5803"/>
    <w:rsid w:val="4CFD2420"/>
    <w:rsid w:val="4CFD6E25"/>
    <w:rsid w:val="4CFE7ADB"/>
    <w:rsid w:val="4D005B2E"/>
    <w:rsid w:val="4D030C9C"/>
    <w:rsid w:val="4D056101"/>
    <w:rsid w:val="4D0B34B0"/>
    <w:rsid w:val="4D0C11F0"/>
    <w:rsid w:val="4D0D3721"/>
    <w:rsid w:val="4D1071A3"/>
    <w:rsid w:val="4D110E38"/>
    <w:rsid w:val="4D11452D"/>
    <w:rsid w:val="4D164A61"/>
    <w:rsid w:val="4D1940DA"/>
    <w:rsid w:val="4D194924"/>
    <w:rsid w:val="4D1B69E8"/>
    <w:rsid w:val="4D224520"/>
    <w:rsid w:val="4D225F28"/>
    <w:rsid w:val="4D226653"/>
    <w:rsid w:val="4D251461"/>
    <w:rsid w:val="4D274F53"/>
    <w:rsid w:val="4D2A68C2"/>
    <w:rsid w:val="4D2C7BB3"/>
    <w:rsid w:val="4D2D478D"/>
    <w:rsid w:val="4D2F7B9A"/>
    <w:rsid w:val="4D3102D0"/>
    <w:rsid w:val="4D313D98"/>
    <w:rsid w:val="4D381D7B"/>
    <w:rsid w:val="4D3D2149"/>
    <w:rsid w:val="4D3D6F93"/>
    <w:rsid w:val="4D3E1390"/>
    <w:rsid w:val="4D3E42C5"/>
    <w:rsid w:val="4D447576"/>
    <w:rsid w:val="4D451F40"/>
    <w:rsid w:val="4D473CA7"/>
    <w:rsid w:val="4D474418"/>
    <w:rsid w:val="4D490D14"/>
    <w:rsid w:val="4D497B0E"/>
    <w:rsid w:val="4D4A0064"/>
    <w:rsid w:val="4D4A4491"/>
    <w:rsid w:val="4D4A58B2"/>
    <w:rsid w:val="4D4B39CB"/>
    <w:rsid w:val="4D4B5F88"/>
    <w:rsid w:val="4D4C753D"/>
    <w:rsid w:val="4D4D36C0"/>
    <w:rsid w:val="4D5173E8"/>
    <w:rsid w:val="4D5279E8"/>
    <w:rsid w:val="4D5364E0"/>
    <w:rsid w:val="4D5573F9"/>
    <w:rsid w:val="4D5A597D"/>
    <w:rsid w:val="4D5B341E"/>
    <w:rsid w:val="4D5B3DBD"/>
    <w:rsid w:val="4D5F7481"/>
    <w:rsid w:val="4D622972"/>
    <w:rsid w:val="4D6B7C64"/>
    <w:rsid w:val="4D6F000F"/>
    <w:rsid w:val="4D7407A7"/>
    <w:rsid w:val="4D781B56"/>
    <w:rsid w:val="4D786BB4"/>
    <w:rsid w:val="4D7B10EB"/>
    <w:rsid w:val="4D7D2385"/>
    <w:rsid w:val="4D8277C2"/>
    <w:rsid w:val="4D842B2A"/>
    <w:rsid w:val="4D843E0F"/>
    <w:rsid w:val="4D854BF7"/>
    <w:rsid w:val="4D877ED7"/>
    <w:rsid w:val="4D8C18F8"/>
    <w:rsid w:val="4D8E640E"/>
    <w:rsid w:val="4D8F41A2"/>
    <w:rsid w:val="4D9164D1"/>
    <w:rsid w:val="4D9478FE"/>
    <w:rsid w:val="4D992765"/>
    <w:rsid w:val="4D9A6218"/>
    <w:rsid w:val="4D9C0BCC"/>
    <w:rsid w:val="4D9E34A4"/>
    <w:rsid w:val="4DA07044"/>
    <w:rsid w:val="4DA160B8"/>
    <w:rsid w:val="4DA30487"/>
    <w:rsid w:val="4DAF092D"/>
    <w:rsid w:val="4DB47D4E"/>
    <w:rsid w:val="4DB60D2A"/>
    <w:rsid w:val="4DB62C8F"/>
    <w:rsid w:val="4DB650DE"/>
    <w:rsid w:val="4DBD25DA"/>
    <w:rsid w:val="4DBD2FA4"/>
    <w:rsid w:val="4DBD32CC"/>
    <w:rsid w:val="4DC04F1C"/>
    <w:rsid w:val="4DC26072"/>
    <w:rsid w:val="4DC46B13"/>
    <w:rsid w:val="4DC61503"/>
    <w:rsid w:val="4DC82AF7"/>
    <w:rsid w:val="4DD300F5"/>
    <w:rsid w:val="4DD51A43"/>
    <w:rsid w:val="4DD94FD1"/>
    <w:rsid w:val="4DDA617A"/>
    <w:rsid w:val="4DE1099D"/>
    <w:rsid w:val="4DE748D4"/>
    <w:rsid w:val="4DE7604D"/>
    <w:rsid w:val="4DE90810"/>
    <w:rsid w:val="4DEA09B8"/>
    <w:rsid w:val="4DEA72BF"/>
    <w:rsid w:val="4DF105A4"/>
    <w:rsid w:val="4DF40C5F"/>
    <w:rsid w:val="4DF62531"/>
    <w:rsid w:val="4DF72064"/>
    <w:rsid w:val="4DFB71E0"/>
    <w:rsid w:val="4DFE7A22"/>
    <w:rsid w:val="4DFF1F9F"/>
    <w:rsid w:val="4E0E3CDD"/>
    <w:rsid w:val="4E10577D"/>
    <w:rsid w:val="4E1105A0"/>
    <w:rsid w:val="4E112F2F"/>
    <w:rsid w:val="4E1278DC"/>
    <w:rsid w:val="4E154110"/>
    <w:rsid w:val="4E155D32"/>
    <w:rsid w:val="4E171E62"/>
    <w:rsid w:val="4E171E8D"/>
    <w:rsid w:val="4E175C02"/>
    <w:rsid w:val="4E1D28FB"/>
    <w:rsid w:val="4E2028D4"/>
    <w:rsid w:val="4E206799"/>
    <w:rsid w:val="4E2865AA"/>
    <w:rsid w:val="4E296D73"/>
    <w:rsid w:val="4E2E1199"/>
    <w:rsid w:val="4E332616"/>
    <w:rsid w:val="4E360981"/>
    <w:rsid w:val="4E377665"/>
    <w:rsid w:val="4E41011E"/>
    <w:rsid w:val="4E410DBB"/>
    <w:rsid w:val="4E486752"/>
    <w:rsid w:val="4E4A1AFB"/>
    <w:rsid w:val="4E4B3C74"/>
    <w:rsid w:val="4E4C2A91"/>
    <w:rsid w:val="4E527A20"/>
    <w:rsid w:val="4E5A717F"/>
    <w:rsid w:val="4E622915"/>
    <w:rsid w:val="4E685615"/>
    <w:rsid w:val="4E6A54E0"/>
    <w:rsid w:val="4E7443C5"/>
    <w:rsid w:val="4E7B5C1E"/>
    <w:rsid w:val="4E7B6DCC"/>
    <w:rsid w:val="4E7D0ED7"/>
    <w:rsid w:val="4E7E385F"/>
    <w:rsid w:val="4E7F3DDD"/>
    <w:rsid w:val="4E8631C8"/>
    <w:rsid w:val="4E880A63"/>
    <w:rsid w:val="4E9369D8"/>
    <w:rsid w:val="4E94302E"/>
    <w:rsid w:val="4E956C24"/>
    <w:rsid w:val="4E9645E3"/>
    <w:rsid w:val="4E9F4A56"/>
    <w:rsid w:val="4EAB6BF2"/>
    <w:rsid w:val="4EB1702F"/>
    <w:rsid w:val="4EB3398A"/>
    <w:rsid w:val="4EB445B5"/>
    <w:rsid w:val="4EB739C7"/>
    <w:rsid w:val="4EB9249C"/>
    <w:rsid w:val="4EBA7B7A"/>
    <w:rsid w:val="4EBD30FE"/>
    <w:rsid w:val="4EBE1DC4"/>
    <w:rsid w:val="4EBF31DE"/>
    <w:rsid w:val="4EBF4129"/>
    <w:rsid w:val="4EC1122E"/>
    <w:rsid w:val="4EC1172A"/>
    <w:rsid w:val="4EC1768E"/>
    <w:rsid w:val="4EC24C5B"/>
    <w:rsid w:val="4EC51E51"/>
    <w:rsid w:val="4ECE6DF4"/>
    <w:rsid w:val="4ECF29FB"/>
    <w:rsid w:val="4ED00689"/>
    <w:rsid w:val="4ED01C86"/>
    <w:rsid w:val="4ED71F86"/>
    <w:rsid w:val="4EDA3F1A"/>
    <w:rsid w:val="4EDA4B7C"/>
    <w:rsid w:val="4EDB0A79"/>
    <w:rsid w:val="4EE00D3C"/>
    <w:rsid w:val="4EE10108"/>
    <w:rsid w:val="4EE16F35"/>
    <w:rsid w:val="4EE65556"/>
    <w:rsid w:val="4EE7417C"/>
    <w:rsid w:val="4EE74503"/>
    <w:rsid w:val="4EE9242D"/>
    <w:rsid w:val="4EEA40DD"/>
    <w:rsid w:val="4EED7B14"/>
    <w:rsid w:val="4EEE58F9"/>
    <w:rsid w:val="4EF010F6"/>
    <w:rsid w:val="4EF25821"/>
    <w:rsid w:val="4EF31248"/>
    <w:rsid w:val="4EF31A08"/>
    <w:rsid w:val="4EF922C9"/>
    <w:rsid w:val="4EF9450E"/>
    <w:rsid w:val="4EFC2A3E"/>
    <w:rsid w:val="4EFC6D38"/>
    <w:rsid w:val="4EFF04D3"/>
    <w:rsid w:val="4F0211CA"/>
    <w:rsid w:val="4F044B7A"/>
    <w:rsid w:val="4F053625"/>
    <w:rsid w:val="4F063B95"/>
    <w:rsid w:val="4F070614"/>
    <w:rsid w:val="4F077EB6"/>
    <w:rsid w:val="4F0A73BB"/>
    <w:rsid w:val="4F0F3C82"/>
    <w:rsid w:val="4F120F2D"/>
    <w:rsid w:val="4F123C69"/>
    <w:rsid w:val="4F136CBB"/>
    <w:rsid w:val="4F16009A"/>
    <w:rsid w:val="4F173659"/>
    <w:rsid w:val="4F174AFA"/>
    <w:rsid w:val="4F1A42F5"/>
    <w:rsid w:val="4F1B4D9D"/>
    <w:rsid w:val="4F1F4036"/>
    <w:rsid w:val="4F200C14"/>
    <w:rsid w:val="4F284BC4"/>
    <w:rsid w:val="4F2959FC"/>
    <w:rsid w:val="4F300749"/>
    <w:rsid w:val="4F31013E"/>
    <w:rsid w:val="4F326256"/>
    <w:rsid w:val="4F33294C"/>
    <w:rsid w:val="4F344815"/>
    <w:rsid w:val="4F360450"/>
    <w:rsid w:val="4F3835B8"/>
    <w:rsid w:val="4F387ECC"/>
    <w:rsid w:val="4F401E81"/>
    <w:rsid w:val="4F4505FD"/>
    <w:rsid w:val="4F4B4406"/>
    <w:rsid w:val="4F4F0637"/>
    <w:rsid w:val="4F52295A"/>
    <w:rsid w:val="4F54785E"/>
    <w:rsid w:val="4F5504B9"/>
    <w:rsid w:val="4F5E30C1"/>
    <w:rsid w:val="4F5E34B9"/>
    <w:rsid w:val="4F5E46A0"/>
    <w:rsid w:val="4F5E6206"/>
    <w:rsid w:val="4F5F5AC3"/>
    <w:rsid w:val="4F6259E0"/>
    <w:rsid w:val="4F6561DD"/>
    <w:rsid w:val="4F66429F"/>
    <w:rsid w:val="4F6708F1"/>
    <w:rsid w:val="4F6F5EC5"/>
    <w:rsid w:val="4F713DAF"/>
    <w:rsid w:val="4F741733"/>
    <w:rsid w:val="4F752E9D"/>
    <w:rsid w:val="4F757A40"/>
    <w:rsid w:val="4F7C57BD"/>
    <w:rsid w:val="4F84069F"/>
    <w:rsid w:val="4F8625DE"/>
    <w:rsid w:val="4F8809B6"/>
    <w:rsid w:val="4F8824D8"/>
    <w:rsid w:val="4F8D4761"/>
    <w:rsid w:val="4F8F4E85"/>
    <w:rsid w:val="4F9069BC"/>
    <w:rsid w:val="4F9130F3"/>
    <w:rsid w:val="4F9435FB"/>
    <w:rsid w:val="4F945773"/>
    <w:rsid w:val="4F9711A3"/>
    <w:rsid w:val="4F9A00AD"/>
    <w:rsid w:val="4F9D7856"/>
    <w:rsid w:val="4F9E38B9"/>
    <w:rsid w:val="4FA00F19"/>
    <w:rsid w:val="4FA57646"/>
    <w:rsid w:val="4FA7534C"/>
    <w:rsid w:val="4FA77DE6"/>
    <w:rsid w:val="4FAB043F"/>
    <w:rsid w:val="4FAB4D85"/>
    <w:rsid w:val="4FB31C52"/>
    <w:rsid w:val="4FB4791B"/>
    <w:rsid w:val="4FBC5D1A"/>
    <w:rsid w:val="4FBF0A8D"/>
    <w:rsid w:val="4FC3130B"/>
    <w:rsid w:val="4FC45D65"/>
    <w:rsid w:val="4FC4679D"/>
    <w:rsid w:val="4FC74844"/>
    <w:rsid w:val="4FC81BB1"/>
    <w:rsid w:val="4FCA3EB4"/>
    <w:rsid w:val="4FCA680B"/>
    <w:rsid w:val="4FCD3CDF"/>
    <w:rsid w:val="4FCD5E43"/>
    <w:rsid w:val="4FCE1C7A"/>
    <w:rsid w:val="4FD07D7E"/>
    <w:rsid w:val="4FD456B0"/>
    <w:rsid w:val="4FD50C1E"/>
    <w:rsid w:val="4FDC00B2"/>
    <w:rsid w:val="4FDC4B97"/>
    <w:rsid w:val="4FDD1591"/>
    <w:rsid w:val="4FDD5001"/>
    <w:rsid w:val="4FE06569"/>
    <w:rsid w:val="4FE07A02"/>
    <w:rsid w:val="4FE22510"/>
    <w:rsid w:val="4FE25E8C"/>
    <w:rsid w:val="4FE52B4E"/>
    <w:rsid w:val="4FEA454D"/>
    <w:rsid w:val="4FEF21FC"/>
    <w:rsid w:val="4FEF7A27"/>
    <w:rsid w:val="4FF5343D"/>
    <w:rsid w:val="4FF54502"/>
    <w:rsid w:val="4FF64803"/>
    <w:rsid w:val="4FFA3E6F"/>
    <w:rsid w:val="4FFC1954"/>
    <w:rsid w:val="4FFD2C68"/>
    <w:rsid w:val="4FFF47EB"/>
    <w:rsid w:val="4FFF58DE"/>
    <w:rsid w:val="500A2A90"/>
    <w:rsid w:val="500B1202"/>
    <w:rsid w:val="500F1526"/>
    <w:rsid w:val="5010162F"/>
    <w:rsid w:val="501118A5"/>
    <w:rsid w:val="50147846"/>
    <w:rsid w:val="50197D41"/>
    <w:rsid w:val="501C6E60"/>
    <w:rsid w:val="501D03E7"/>
    <w:rsid w:val="501D1C83"/>
    <w:rsid w:val="501E1180"/>
    <w:rsid w:val="501F3131"/>
    <w:rsid w:val="50212E9E"/>
    <w:rsid w:val="50215259"/>
    <w:rsid w:val="5027025B"/>
    <w:rsid w:val="50282846"/>
    <w:rsid w:val="502D31EE"/>
    <w:rsid w:val="502E3BB3"/>
    <w:rsid w:val="5032068C"/>
    <w:rsid w:val="5033675F"/>
    <w:rsid w:val="50375BB5"/>
    <w:rsid w:val="5038372D"/>
    <w:rsid w:val="50391167"/>
    <w:rsid w:val="50443E16"/>
    <w:rsid w:val="5047090D"/>
    <w:rsid w:val="50536682"/>
    <w:rsid w:val="505378A4"/>
    <w:rsid w:val="50556654"/>
    <w:rsid w:val="505C3594"/>
    <w:rsid w:val="505D4EB8"/>
    <w:rsid w:val="505F23B5"/>
    <w:rsid w:val="50644D8A"/>
    <w:rsid w:val="506635FD"/>
    <w:rsid w:val="506C347D"/>
    <w:rsid w:val="506F3303"/>
    <w:rsid w:val="5070329F"/>
    <w:rsid w:val="507106C5"/>
    <w:rsid w:val="50715A47"/>
    <w:rsid w:val="5072461E"/>
    <w:rsid w:val="50777E38"/>
    <w:rsid w:val="507A36E2"/>
    <w:rsid w:val="50825900"/>
    <w:rsid w:val="50836F70"/>
    <w:rsid w:val="50870A96"/>
    <w:rsid w:val="5087104E"/>
    <w:rsid w:val="50871E4F"/>
    <w:rsid w:val="508C53AF"/>
    <w:rsid w:val="508E04BE"/>
    <w:rsid w:val="50946663"/>
    <w:rsid w:val="509575F0"/>
    <w:rsid w:val="50981C4B"/>
    <w:rsid w:val="50A1247E"/>
    <w:rsid w:val="50A269C1"/>
    <w:rsid w:val="50A44E85"/>
    <w:rsid w:val="50A50AC0"/>
    <w:rsid w:val="50A8410D"/>
    <w:rsid w:val="50A964BB"/>
    <w:rsid w:val="50AA7027"/>
    <w:rsid w:val="50B30504"/>
    <w:rsid w:val="50B67B50"/>
    <w:rsid w:val="50BB1111"/>
    <w:rsid w:val="50BE1467"/>
    <w:rsid w:val="50C658D4"/>
    <w:rsid w:val="50CA09CB"/>
    <w:rsid w:val="50CA678C"/>
    <w:rsid w:val="50CC78C5"/>
    <w:rsid w:val="50D45FFD"/>
    <w:rsid w:val="50D67C5B"/>
    <w:rsid w:val="50DD72B8"/>
    <w:rsid w:val="50E75958"/>
    <w:rsid w:val="50EC0021"/>
    <w:rsid w:val="50ED4972"/>
    <w:rsid w:val="50F12EE4"/>
    <w:rsid w:val="50FB1286"/>
    <w:rsid w:val="50FC73EA"/>
    <w:rsid w:val="50FE0FEF"/>
    <w:rsid w:val="50FE4CF9"/>
    <w:rsid w:val="51016A02"/>
    <w:rsid w:val="510317EA"/>
    <w:rsid w:val="51032C0B"/>
    <w:rsid w:val="510553D5"/>
    <w:rsid w:val="51073FB4"/>
    <w:rsid w:val="5112694B"/>
    <w:rsid w:val="511356A0"/>
    <w:rsid w:val="51162C12"/>
    <w:rsid w:val="511C28E5"/>
    <w:rsid w:val="512237DB"/>
    <w:rsid w:val="5127277A"/>
    <w:rsid w:val="51292840"/>
    <w:rsid w:val="51296E6E"/>
    <w:rsid w:val="512E654D"/>
    <w:rsid w:val="512E6A9A"/>
    <w:rsid w:val="51331E1E"/>
    <w:rsid w:val="51391FD9"/>
    <w:rsid w:val="513A52DB"/>
    <w:rsid w:val="513F5A4C"/>
    <w:rsid w:val="514518A9"/>
    <w:rsid w:val="5145267C"/>
    <w:rsid w:val="51465925"/>
    <w:rsid w:val="51472AF9"/>
    <w:rsid w:val="51482279"/>
    <w:rsid w:val="514866C7"/>
    <w:rsid w:val="51490343"/>
    <w:rsid w:val="514B4B09"/>
    <w:rsid w:val="51517FD6"/>
    <w:rsid w:val="51581D24"/>
    <w:rsid w:val="515A7574"/>
    <w:rsid w:val="5168038A"/>
    <w:rsid w:val="51682E6F"/>
    <w:rsid w:val="51695DB3"/>
    <w:rsid w:val="51703548"/>
    <w:rsid w:val="51703E22"/>
    <w:rsid w:val="5173488B"/>
    <w:rsid w:val="51734934"/>
    <w:rsid w:val="51785639"/>
    <w:rsid w:val="51787627"/>
    <w:rsid w:val="517A7857"/>
    <w:rsid w:val="517C562C"/>
    <w:rsid w:val="517C6366"/>
    <w:rsid w:val="517D4DA6"/>
    <w:rsid w:val="517E4267"/>
    <w:rsid w:val="518010B6"/>
    <w:rsid w:val="518028BA"/>
    <w:rsid w:val="51820B6D"/>
    <w:rsid w:val="518243FF"/>
    <w:rsid w:val="5184611B"/>
    <w:rsid w:val="51847BB8"/>
    <w:rsid w:val="518E4590"/>
    <w:rsid w:val="519131C9"/>
    <w:rsid w:val="51922231"/>
    <w:rsid w:val="519867E7"/>
    <w:rsid w:val="519B520E"/>
    <w:rsid w:val="519B5DB9"/>
    <w:rsid w:val="51A63F10"/>
    <w:rsid w:val="51A70487"/>
    <w:rsid w:val="51A753EC"/>
    <w:rsid w:val="51AA0E82"/>
    <w:rsid w:val="51AB2E26"/>
    <w:rsid w:val="51AD6EF4"/>
    <w:rsid w:val="51B01745"/>
    <w:rsid w:val="51B04428"/>
    <w:rsid w:val="51B10868"/>
    <w:rsid w:val="51B3182F"/>
    <w:rsid w:val="51B3713E"/>
    <w:rsid w:val="51B64D5F"/>
    <w:rsid w:val="51B66B5E"/>
    <w:rsid w:val="51B76DEF"/>
    <w:rsid w:val="51BA23E6"/>
    <w:rsid w:val="51C96E5F"/>
    <w:rsid w:val="51CA4285"/>
    <w:rsid w:val="51CB782F"/>
    <w:rsid w:val="51D32775"/>
    <w:rsid w:val="51D45602"/>
    <w:rsid w:val="51D55899"/>
    <w:rsid w:val="51D81310"/>
    <w:rsid w:val="51DE5D2F"/>
    <w:rsid w:val="51E01657"/>
    <w:rsid w:val="51E27798"/>
    <w:rsid w:val="51E61A0E"/>
    <w:rsid w:val="51EB3E7E"/>
    <w:rsid w:val="51F50F6D"/>
    <w:rsid w:val="51F52C13"/>
    <w:rsid w:val="51F57814"/>
    <w:rsid w:val="51FC2AA5"/>
    <w:rsid w:val="51FE0447"/>
    <w:rsid w:val="52015257"/>
    <w:rsid w:val="52021237"/>
    <w:rsid w:val="520A0C03"/>
    <w:rsid w:val="520E1BE0"/>
    <w:rsid w:val="521540A3"/>
    <w:rsid w:val="5218363D"/>
    <w:rsid w:val="521E0E98"/>
    <w:rsid w:val="52220818"/>
    <w:rsid w:val="52236593"/>
    <w:rsid w:val="522900A9"/>
    <w:rsid w:val="52302A04"/>
    <w:rsid w:val="52322784"/>
    <w:rsid w:val="52327097"/>
    <w:rsid w:val="52383FCB"/>
    <w:rsid w:val="523B1FE5"/>
    <w:rsid w:val="523E44DF"/>
    <w:rsid w:val="523F6DFB"/>
    <w:rsid w:val="52420ABF"/>
    <w:rsid w:val="5242202A"/>
    <w:rsid w:val="5244081E"/>
    <w:rsid w:val="524B01DD"/>
    <w:rsid w:val="524B5889"/>
    <w:rsid w:val="524B7FFD"/>
    <w:rsid w:val="524F3FC1"/>
    <w:rsid w:val="524F66AB"/>
    <w:rsid w:val="52532453"/>
    <w:rsid w:val="525359E3"/>
    <w:rsid w:val="52554458"/>
    <w:rsid w:val="525E0A36"/>
    <w:rsid w:val="525E4584"/>
    <w:rsid w:val="525E5C98"/>
    <w:rsid w:val="52624A63"/>
    <w:rsid w:val="52634C59"/>
    <w:rsid w:val="52635C1D"/>
    <w:rsid w:val="52655282"/>
    <w:rsid w:val="52661C80"/>
    <w:rsid w:val="52693F64"/>
    <w:rsid w:val="526B2F5E"/>
    <w:rsid w:val="526C7702"/>
    <w:rsid w:val="526D54A3"/>
    <w:rsid w:val="526D6036"/>
    <w:rsid w:val="52701BF4"/>
    <w:rsid w:val="5274222C"/>
    <w:rsid w:val="527812E3"/>
    <w:rsid w:val="527E2D51"/>
    <w:rsid w:val="52821DF7"/>
    <w:rsid w:val="52860CB2"/>
    <w:rsid w:val="52865BE8"/>
    <w:rsid w:val="528738CE"/>
    <w:rsid w:val="528E2F4F"/>
    <w:rsid w:val="5290470E"/>
    <w:rsid w:val="52913011"/>
    <w:rsid w:val="52937021"/>
    <w:rsid w:val="529449EA"/>
    <w:rsid w:val="52947FD7"/>
    <w:rsid w:val="5298775F"/>
    <w:rsid w:val="52996579"/>
    <w:rsid w:val="52A078EF"/>
    <w:rsid w:val="52A50925"/>
    <w:rsid w:val="52A841B4"/>
    <w:rsid w:val="52AB3BFA"/>
    <w:rsid w:val="52AC19AF"/>
    <w:rsid w:val="52B33556"/>
    <w:rsid w:val="52B74470"/>
    <w:rsid w:val="52BF4BAE"/>
    <w:rsid w:val="52C25B6B"/>
    <w:rsid w:val="52C46EE0"/>
    <w:rsid w:val="52C75EAE"/>
    <w:rsid w:val="52C854FD"/>
    <w:rsid w:val="52CC17B9"/>
    <w:rsid w:val="52D069EB"/>
    <w:rsid w:val="52D13769"/>
    <w:rsid w:val="52D22476"/>
    <w:rsid w:val="52D23BB0"/>
    <w:rsid w:val="52D6407B"/>
    <w:rsid w:val="52DA283A"/>
    <w:rsid w:val="52DB0816"/>
    <w:rsid w:val="52DC295B"/>
    <w:rsid w:val="52DE110A"/>
    <w:rsid w:val="52E641FA"/>
    <w:rsid w:val="52E64DB3"/>
    <w:rsid w:val="52E966C9"/>
    <w:rsid w:val="52ED2737"/>
    <w:rsid w:val="52F14E8F"/>
    <w:rsid w:val="52F24FB3"/>
    <w:rsid w:val="52F25ED6"/>
    <w:rsid w:val="530104FC"/>
    <w:rsid w:val="53084C3B"/>
    <w:rsid w:val="530D649B"/>
    <w:rsid w:val="53141313"/>
    <w:rsid w:val="53186EBE"/>
    <w:rsid w:val="53196E61"/>
    <w:rsid w:val="531B0F50"/>
    <w:rsid w:val="531F5B01"/>
    <w:rsid w:val="532611B8"/>
    <w:rsid w:val="5326669C"/>
    <w:rsid w:val="53282D13"/>
    <w:rsid w:val="53287845"/>
    <w:rsid w:val="5329362B"/>
    <w:rsid w:val="532A2062"/>
    <w:rsid w:val="532A7D9F"/>
    <w:rsid w:val="532B1CE5"/>
    <w:rsid w:val="533219D6"/>
    <w:rsid w:val="533447E4"/>
    <w:rsid w:val="53384224"/>
    <w:rsid w:val="53404B5F"/>
    <w:rsid w:val="5342793C"/>
    <w:rsid w:val="534560F2"/>
    <w:rsid w:val="534A6BAC"/>
    <w:rsid w:val="534C071A"/>
    <w:rsid w:val="534E3C36"/>
    <w:rsid w:val="53516FFC"/>
    <w:rsid w:val="53535B1A"/>
    <w:rsid w:val="53551476"/>
    <w:rsid w:val="535516DD"/>
    <w:rsid w:val="53564AD8"/>
    <w:rsid w:val="53571BC1"/>
    <w:rsid w:val="535944E4"/>
    <w:rsid w:val="535C1749"/>
    <w:rsid w:val="535D78DC"/>
    <w:rsid w:val="535E282B"/>
    <w:rsid w:val="53630D96"/>
    <w:rsid w:val="53675EE1"/>
    <w:rsid w:val="53681703"/>
    <w:rsid w:val="53683546"/>
    <w:rsid w:val="536E4978"/>
    <w:rsid w:val="536E7C3E"/>
    <w:rsid w:val="536F0B58"/>
    <w:rsid w:val="536F2081"/>
    <w:rsid w:val="536F2462"/>
    <w:rsid w:val="537152FB"/>
    <w:rsid w:val="53733045"/>
    <w:rsid w:val="537B2A83"/>
    <w:rsid w:val="537E585D"/>
    <w:rsid w:val="53850C3F"/>
    <w:rsid w:val="5389457F"/>
    <w:rsid w:val="538A2406"/>
    <w:rsid w:val="53945D81"/>
    <w:rsid w:val="539B2A66"/>
    <w:rsid w:val="539D3B76"/>
    <w:rsid w:val="539F1D06"/>
    <w:rsid w:val="53A25FCB"/>
    <w:rsid w:val="53A53F56"/>
    <w:rsid w:val="53A600AF"/>
    <w:rsid w:val="53B04F4B"/>
    <w:rsid w:val="53B562C4"/>
    <w:rsid w:val="53B74027"/>
    <w:rsid w:val="53B77642"/>
    <w:rsid w:val="53B84243"/>
    <w:rsid w:val="53B95659"/>
    <w:rsid w:val="53BB1368"/>
    <w:rsid w:val="53BB6929"/>
    <w:rsid w:val="53BD093F"/>
    <w:rsid w:val="53C4066D"/>
    <w:rsid w:val="53C543A7"/>
    <w:rsid w:val="53C603CF"/>
    <w:rsid w:val="53C67CBD"/>
    <w:rsid w:val="53C85E01"/>
    <w:rsid w:val="53CF1CCC"/>
    <w:rsid w:val="53D1002E"/>
    <w:rsid w:val="53D161ED"/>
    <w:rsid w:val="53D83402"/>
    <w:rsid w:val="53DB75D1"/>
    <w:rsid w:val="53DC153E"/>
    <w:rsid w:val="53E5607E"/>
    <w:rsid w:val="53E85D42"/>
    <w:rsid w:val="53EA0594"/>
    <w:rsid w:val="53EC2304"/>
    <w:rsid w:val="53EF2022"/>
    <w:rsid w:val="53F327B0"/>
    <w:rsid w:val="53F60C64"/>
    <w:rsid w:val="53F75EE8"/>
    <w:rsid w:val="53FC65BA"/>
    <w:rsid w:val="53FE59C0"/>
    <w:rsid w:val="53FF07A5"/>
    <w:rsid w:val="53FF0BE3"/>
    <w:rsid w:val="540A4E96"/>
    <w:rsid w:val="540F6AB9"/>
    <w:rsid w:val="5411075C"/>
    <w:rsid w:val="54134047"/>
    <w:rsid w:val="54137382"/>
    <w:rsid w:val="54144881"/>
    <w:rsid w:val="541A4FFC"/>
    <w:rsid w:val="541B2778"/>
    <w:rsid w:val="541C32AD"/>
    <w:rsid w:val="541E3107"/>
    <w:rsid w:val="5423053C"/>
    <w:rsid w:val="542339AD"/>
    <w:rsid w:val="54233FAF"/>
    <w:rsid w:val="542938A2"/>
    <w:rsid w:val="542A077C"/>
    <w:rsid w:val="542C072D"/>
    <w:rsid w:val="542D21EA"/>
    <w:rsid w:val="543777B5"/>
    <w:rsid w:val="543A02EF"/>
    <w:rsid w:val="54421B85"/>
    <w:rsid w:val="544279BF"/>
    <w:rsid w:val="54442DAC"/>
    <w:rsid w:val="54466620"/>
    <w:rsid w:val="54471CFD"/>
    <w:rsid w:val="544A0F56"/>
    <w:rsid w:val="544B3527"/>
    <w:rsid w:val="545210C8"/>
    <w:rsid w:val="54521C9F"/>
    <w:rsid w:val="5455648F"/>
    <w:rsid w:val="545A0B42"/>
    <w:rsid w:val="545B7B1E"/>
    <w:rsid w:val="545E3B90"/>
    <w:rsid w:val="546725E9"/>
    <w:rsid w:val="54685FA1"/>
    <w:rsid w:val="546B7ACA"/>
    <w:rsid w:val="546D5E01"/>
    <w:rsid w:val="5473088B"/>
    <w:rsid w:val="54743C52"/>
    <w:rsid w:val="54744EA2"/>
    <w:rsid w:val="54785E60"/>
    <w:rsid w:val="54787F2D"/>
    <w:rsid w:val="547F5461"/>
    <w:rsid w:val="548050BF"/>
    <w:rsid w:val="5485649B"/>
    <w:rsid w:val="548617E8"/>
    <w:rsid w:val="54870BEC"/>
    <w:rsid w:val="54883749"/>
    <w:rsid w:val="5488763E"/>
    <w:rsid w:val="548922AE"/>
    <w:rsid w:val="548A7265"/>
    <w:rsid w:val="548D45FB"/>
    <w:rsid w:val="548E1AA1"/>
    <w:rsid w:val="54907593"/>
    <w:rsid w:val="54931991"/>
    <w:rsid w:val="54932E43"/>
    <w:rsid w:val="549412AC"/>
    <w:rsid w:val="549F63C8"/>
    <w:rsid w:val="54B21240"/>
    <w:rsid w:val="54B86EB2"/>
    <w:rsid w:val="54BD4A9B"/>
    <w:rsid w:val="54BE7AF9"/>
    <w:rsid w:val="54C61C6D"/>
    <w:rsid w:val="54C73360"/>
    <w:rsid w:val="54C82121"/>
    <w:rsid w:val="54CA0EFF"/>
    <w:rsid w:val="54CB782F"/>
    <w:rsid w:val="54CB7BE7"/>
    <w:rsid w:val="54CE1FB2"/>
    <w:rsid w:val="54CF73D2"/>
    <w:rsid w:val="54D21115"/>
    <w:rsid w:val="54D55BB5"/>
    <w:rsid w:val="54D62AD4"/>
    <w:rsid w:val="54DA67AF"/>
    <w:rsid w:val="54E004E3"/>
    <w:rsid w:val="54E77B0A"/>
    <w:rsid w:val="54E91731"/>
    <w:rsid w:val="54E93BAF"/>
    <w:rsid w:val="54EA536D"/>
    <w:rsid w:val="54ED7F85"/>
    <w:rsid w:val="54EE0B4B"/>
    <w:rsid w:val="54EF3ACB"/>
    <w:rsid w:val="54F27538"/>
    <w:rsid w:val="54F70188"/>
    <w:rsid w:val="54FA26B3"/>
    <w:rsid w:val="54FA5F18"/>
    <w:rsid w:val="55072A1C"/>
    <w:rsid w:val="550816CF"/>
    <w:rsid w:val="55082A2A"/>
    <w:rsid w:val="550D5CC9"/>
    <w:rsid w:val="550F121E"/>
    <w:rsid w:val="55153D33"/>
    <w:rsid w:val="551700A9"/>
    <w:rsid w:val="5518002E"/>
    <w:rsid w:val="55190DD4"/>
    <w:rsid w:val="551C46AC"/>
    <w:rsid w:val="551F0944"/>
    <w:rsid w:val="55225354"/>
    <w:rsid w:val="55243BCA"/>
    <w:rsid w:val="5529159F"/>
    <w:rsid w:val="552B29B3"/>
    <w:rsid w:val="552B46CE"/>
    <w:rsid w:val="55313712"/>
    <w:rsid w:val="55334969"/>
    <w:rsid w:val="55351AC2"/>
    <w:rsid w:val="55353F9E"/>
    <w:rsid w:val="55381227"/>
    <w:rsid w:val="55387041"/>
    <w:rsid w:val="553B0767"/>
    <w:rsid w:val="55452D6C"/>
    <w:rsid w:val="5548426A"/>
    <w:rsid w:val="55485C3E"/>
    <w:rsid w:val="554A6DA5"/>
    <w:rsid w:val="554B2156"/>
    <w:rsid w:val="554D302E"/>
    <w:rsid w:val="55526EC2"/>
    <w:rsid w:val="5556547D"/>
    <w:rsid w:val="55566E0E"/>
    <w:rsid w:val="55586856"/>
    <w:rsid w:val="555951B8"/>
    <w:rsid w:val="55597298"/>
    <w:rsid w:val="555B58DA"/>
    <w:rsid w:val="555F1028"/>
    <w:rsid w:val="5565064B"/>
    <w:rsid w:val="55671B02"/>
    <w:rsid w:val="556968D0"/>
    <w:rsid w:val="556A3DA4"/>
    <w:rsid w:val="556B6544"/>
    <w:rsid w:val="55730548"/>
    <w:rsid w:val="55751624"/>
    <w:rsid w:val="557A6131"/>
    <w:rsid w:val="557C009E"/>
    <w:rsid w:val="557D685D"/>
    <w:rsid w:val="557E1452"/>
    <w:rsid w:val="55816977"/>
    <w:rsid w:val="5589617C"/>
    <w:rsid w:val="558B0034"/>
    <w:rsid w:val="558C3782"/>
    <w:rsid w:val="558D4751"/>
    <w:rsid w:val="559075C9"/>
    <w:rsid w:val="55912CD3"/>
    <w:rsid w:val="55923499"/>
    <w:rsid w:val="55935F55"/>
    <w:rsid w:val="55961297"/>
    <w:rsid w:val="55995C81"/>
    <w:rsid w:val="559A66EF"/>
    <w:rsid w:val="559C2C8F"/>
    <w:rsid w:val="559E6726"/>
    <w:rsid w:val="55A45F32"/>
    <w:rsid w:val="55A6087B"/>
    <w:rsid w:val="55A83C27"/>
    <w:rsid w:val="55AE1581"/>
    <w:rsid w:val="55B058DA"/>
    <w:rsid w:val="55B32BD9"/>
    <w:rsid w:val="55B66381"/>
    <w:rsid w:val="55BA66B6"/>
    <w:rsid w:val="55BB1DB3"/>
    <w:rsid w:val="55BD2A43"/>
    <w:rsid w:val="55BF7215"/>
    <w:rsid w:val="55C358E7"/>
    <w:rsid w:val="55C37840"/>
    <w:rsid w:val="55D4047D"/>
    <w:rsid w:val="55DB413D"/>
    <w:rsid w:val="55DC0B65"/>
    <w:rsid w:val="55DD0280"/>
    <w:rsid w:val="55E34515"/>
    <w:rsid w:val="55F25C97"/>
    <w:rsid w:val="55F34669"/>
    <w:rsid w:val="55F44A57"/>
    <w:rsid w:val="55F475E2"/>
    <w:rsid w:val="55F62B6A"/>
    <w:rsid w:val="55F64867"/>
    <w:rsid w:val="55F813F4"/>
    <w:rsid w:val="55FD0019"/>
    <w:rsid w:val="55FD30DB"/>
    <w:rsid w:val="56001682"/>
    <w:rsid w:val="560177E0"/>
    <w:rsid w:val="56020982"/>
    <w:rsid w:val="560356D1"/>
    <w:rsid w:val="560564B2"/>
    <w:rsid w:val="560A1C7D"/>
    <w:rsid w:val="560B0DD9"/>
    <w:rsid w:val="560C040F"/>
    <w:rsid w:val="560C77FA"/>
    <w:rsid w:val="56107B48"/>
    <w:rsid w:val="56123CB0"/>
    <w:rsid w:val="561251EA"/>
    <w:rsid w:val="56140838"/>
    <w:rsid w:val="56156E7F"/>
    <w:rsid w:val="561721B1"/>
    <w:rsid w:val="561D761B"/>
    <w:rsid w:val="562078A0"/>
    <w:rsid w:val="562301FE"/>
    <w:rsid w:val="56235690"/>
    <w:rsid w:val="56246343"/>
    <w:rsid w:val="56251EA8"/>
    <w:rsid w:val="562604FE"/>
    <w:rsid w:val="562640D5"/>
    <w:rsid w:val="562911A2"/>
    <w:rsid w:val="562C17FB"/>
    <w:rsid w:val="562D7CB5"/>
    <w:rsid w:val="562F4359"/>
    <w:rsid w:val="563828A2"/>
    <w:rsid w:val="563E3229"/>
    <w:rsid w:val="5649105B"/>
    <w:rsid w:val="564A2E3B"/>
    <w:rsid w:val="564A45B8"/>
    <w:rsid w:val="564A6FC0"/>
    <w:rsid w:val="564B28D7"/>
    <w:rsid w:val="564B71CE"/>
    <w:rsid w:val="5651549F"/>
    <w:rsid w:val="565779B1"/>
    <w:rsid w:val="565919FB"/>
    <w:rsid w:val="56597FDF"/>
    <w:rsid w:val="565B19D2"/>
    <w:rsid w:val="565D32A9"/>
    <w:rsid w:val="565D6C87"/>
    <w:rsid w:val="565D77CA"/>
    <w:rsid w:val="565D7E9E"/>
    <w:rsid w:val="5660590C"/>
    <w:rsid w:val="56620AA3"/>
    <w:rsid w:val="56631CA2"/>
    <w:rsid w:val="5664599E"/>
    <w:rsid w:val="566A598D"/>
    <w:rsid w:val="566E6C65"/>
    <w:rsid w:val="567027C0"/>
    <w:rsid w:val="56706613"/>
    <w:rsid w:val="56710CA9"/>
    <w:rsid w:val="567252A0"/>
    <w:rsid w:val="567569B2"/>
    <w:rsid w:val="5676273F"/>
    <w:rsid w:val="56780E67"/>
    <w:rsid w:val="567D1F66"/>
    <w:rsid w:val="5680661C"/>
    <w:rsid w:val="5681279C"/>
    <w:rsid w:val="56814886"/>
    <w:rsid w:val="56820892"/>
    <w:rsid w:val="56832372"/>
    <w:rsid w:val="56836257"/>
    <w:rsid w:val="5685737D"/>
    <w:rsid w:val="56883EC9"/>
    <w:rsid w:val="568915C5"/>
    <w:rsid w:val="568A463E"/>
    <w:rsid w:val="568B1706"/>
    <w:rsid w:val="568C01B4"/>
    <w:rsid w:val="569B3F4E"/>
    <w:rsid w:val="56A324E8"/>
    <w:rsid w:val="56A3586D"/>
    <w:rsid w:val="56A418D7"/>
    <w:rsid w:val="56A545E4"/>
    <w:rsid w:val="56A5542A"/>
    <w:rsid w:val="56A85F2D"/>
    <w:rsid w:val="56AA6706"/>
    <w:rsid w:val="56B5732C"/>
    <w:rsid w:val="56B66C10"/>
    <w:rsid w:val="56B82E37"/>
    <w:rsid w:val="56BB37BF"/>
    <w:rsid w:val="56BC5CED"/>
    <w:rsid w:val="56C16EA8"/>
    <w:rsid w:val="56C33779"/>
    <w:rsid w:val="56C45AEF"/>
    <w:rsid w:val="56C72F5C"/>
    <w:rsid w:val="56C903D2"/>
    <w:rsid w:val="56CA2328"/>
    <w:rsid w:val="56CC2F86"/>
    <w:rsid w:val="56CE50F7"/>
    <w:rsid w:val="56D15AB5"/>
    <w:rsid w:val="56D20E1A"/>
    <w:rsid w:val="56D27826"/>
    <w:rsid w:val="56D47304"/>
    <w:rsid w:val="56D603AE"/>
    <w:rsid w:val="56D76D7B"/>
    <w:rsid w:val="56D92ED9"/>
    <w:rsid w:val="56DA5924"/>
    <w:rsid w:val="56DB178C"/>
    <w:rsid w:val="56E01A81"/>
    <w:rsid w:val="56E134E5"/>
    <w:rsid w:val="56E13676"/>
    <w:rsid w:val="56E16DCE"/>
    <w:rsid w:val="56E44FD7"/>
    <w:rsid w:val="56E54ECB"/>
    <w:rsid w:val="56EB1790"/>
    <w:rsid w:val="56EB4AAC"/>
    <w:rsid w:val="56ED2251"/>
    <w:rsid w:val="56EE7AC4"/>
    <w:rsid w:val="56F03595"/>
    <w:rsid w:val="56FE6314"/>
    <w:rsid w:val="570276B0"/>
    <w:rsid w:val="57095041"/>
    <w:rsid w:val="570A1A84"/>
    <w:rsid w:val="570C6856"/>
    <w:rsid w:val="570D2401"/>
    <w:rsid w:val="570F056B"/>
    <w:rsid w:val="57143FB8"/>
    <w:rsid w:val="571B278B"/>
    <w:rsid w:val="571C7211"/>
    <w:rsid w:val="571D20E6"/>
    <w:rsid w:val="572376F0"/>
    <w:rsid w:val="5727501A"/>
    <w:rsid w:val="57285E09"/>
    <w:rsid w:val="572A4CE5"/>
    <w:rsid w:val="572B5E88"/>
    <w:rsid w:val="572C22CD"/>
    <w:rsid w:val="572E3844"/>
    <w:rsid w:val="57306CEA"/>
    <w:rsid w:val="573375DA"/>
    <w:rsid w:val="57337E5C"/>
    <w:rsid w:val="573761D9"/>
    <w:rsid w:val="574210AC"/>
    <w:rsid w:val="574261DA"/>
    <w:rsid w:val="57443F1B"/>
    <w:rsid w:val="57484B2A"/>
    <w:rsid w:val="57497EE3"/>
    <w:rsid w:val="574F5D07"/>
    <w:rsid w:val="57507762"/>
    <w:rsid w:val="57511918"/>
    <w:rsid w:val="57551F68"/>
    <w:rsid w:val="57555BBC"/>
    <w:rsid w:val="5756572D"/>
    <w:rsid w:val="5758130B"/>
    <w:rsid w:val="575A1C87"/>
    <w:rsid w:val="575D29F1"/>
    <w:rsid w:val="57645A55"/>
    <w:rsid w:val="5765699E"/>
    <w:rsid w:val="576729CE"/>
    <w:rsid w:val="57687006"/>
    <w:rsid w:val="576C573A"/>
    <w:rsid w:val="576C730D"/>
    <w:rsid w:val="576D19C2"/>
    <w:rsid w:val="576D2F3A"/>
    <w:rsid w:val="576D467E"/>
    <w:rsid w:val="577306CD"/>
    <w:rsid w:val="57776537"/>
    <w:rsid w:val="57785055"/>
    <w:rsid w:val="57785BC6"/>
    <w:rsid w:val="57790609"/>
    <w:rsid w:val="57790C4E"/>
    <w:rsid w:val="577C5AAB"/>
    <w:rsid w:val="577E2E37"/>
    <w:rsid w:val="57812545"/>
    <w:rsid w:val="578A1BDC"/>
    <w:rsid w:val="578C7891"/>
    <w:rsid w:val="578D29D3"/>
    <w:rsid w:val="57903B82"/>
    <w:rsid w:val="57940D4F"/>
    <w:rsid w:val="57991CD7"/>
    <w:rsid w:val="579C743E"/>
    <w:rsid w:val="579D6BB5"/>
    <w:rsid w:val="579E4B05"/>
    <w:rsid w:val="579E561C"/>
    <w:rsid w:val="579F186C"/>
    <w:rsid w:val="579F5242"/>
    <w:rsid w:val="57A36754"/>
    <w:rsid w:val="57A474ED"/>
    <w:rsid w:val="57A56EC2"/>
    <w:rsid w:val="57AD465A"/>
    <w:rsid w:val="57AF32BF"/>
    <w:rsid w:val="57B00925"/>
    <w:rsid w:val="57B22633"/>
    <w:rsid w:val="57B22F00"/>
    <w:rsid w:val="57B336FE"/>
    <w:rsid w:val="57B35C15"/>
    <w:rsid w:val="57B445F6"/>
    <w:rsid w:val="57B7072C"/>
    <w:rsid w:val="57BA243C"/>
    <w:rsid w:val="57BE7378"/>
    <w:rsid w:val="57BF0873"/>
    <w:rsid w:val="57C20DCC"/>
    <w:rsid w:val="57C66AA8"/>
    <w:rsid w:val="57CC6790"/>
    <w:rsid w:val="57CC6CA5"/>
    <w:rsid w:val="57CC7356"/>
    <w:rsid w:val="57D64211"/>
    <w:rsid w:val="57D8377B"/>
    <w:rsid w:val="57D97A6D"/>
    <w:rsid w:val="57DF03B2"/>
    <w:rsid w:val="57DF4372"/>
    <w:rsid w:val="57DF52CC"/>
    <w:rsid w:val="57E21131"/>
    <w:rsid w:val="57E449E7"/>
    <w:rsid w:val="57E55616"/>
    <w:rsid w:val="57EA0847"/>
    <w:rsid w:val="57EA5E08"/>
    <w:rsid w:val="57EC3C4B"/>
    <w:rsid w:val="57EF0A56"/>
    <w:rsid w:val="57F145E5"/>
    <w:rsid w:val="57F23DE6"/>
    <w:rsid w:val="57F26FA5"/>
    <w:rsid w:val="57F33527"/>
    <w:rsid w:val="57F66B51"/>
    <w:rsid w:val="57F728B4"/>
    <w:rsid w:val="57F91635"/>
    <w:rsid w:val="57FB27A7"/>
    <w:rsid w:val="57FB7371"/>
    <w:rsid w:val="57FD1780"/>
    <w:rsid w:val="57FE70DF"/>
    <w:rsid w:val="57FF7F46"/>
    <w:rsid w:val="58006646"/>
    <w:rsid w:val="5808378D"/>
    <w:rsid w:val="580A099F"/>
    <w:rsid w:val="58130B81"/>
    <w:rsid w:val="5815495D"/>
    <w:rsid w:val="5816055B"/>
    <w:rsid w:val="581858C2"/>
    <w:rsid w:val="58192493"/>
    <w:rsid w:val="581C1442"/>
    <w:rsid w:val="581C7C09"/>
    <w:rsid w:val="582C249A"/>
    <w:rsid w:val="58342A5F"/>
    <w:rsid w:val="58354D28"/>
    <w:rsid w:val="583B02E3"/>
    <w:rsid w:val="583B7B8E"/>
    <w:rsid w:val="58410C2D"/>
    <w:rsid w:val="5844712A"/>
    <w:rsid w:val="584651F8"/>
    <w:rsid w:val="584C2E8B"/>
    <w:rsid w:val="584C35C8"/>
    <w:rsid w:val="584C51DD"/>
    <w:rsid w:val="584D578A"/>
    <w:rsid w:val="584D5FB3"/>
    <w:rsid w:val="584F23CA"/>
    <w:rsid w:val="5853781A"/>
    <w:rsid w:val="585640E9"/>
    <w:rsid w:val="585B0893"/>
    <w:rsid w:val="585C7D42"/>
    <w:rsid w:val="586563BD"/>
    <w:rsid w:val="58685952"/>
    <w:rsid w:val="586A104F"/>
    <w:rsid w:val="586A1B2F"/>
    <w:rsid w:val="587007CD"/>
    <w:rsid w:val="587107BB"/>
    <w:rsid w:val="5873687C"/>
    <w:rsid w:val="58803A43"/>
    <w:rsid w:val="5881026F"/>
    <w:rsid w:val="5887735F"/>
    <w:rsid w:val="5893665F"/>
    <w:rsid w:val="58977C96"/>
    <w:rsid w:val="58990C87"/>
    <w:rsid w:val="5899617F"/>
    <w:rsid w:val="589E68C4"/>
    <w:rsid w:val="589F6297"/>
    <w:rsid w:val="58A615C6"/>
    <w:rsid w:val="58A7331A"/>
    <w:rsid w:val="58A7748D"/>
    <w:rsid w:val="58A872D9"/>
    <w:rsid w:val="58AD5ABD"/>
    <w:rsid w:val="58AF22A9"/>
    <w:rsid w:val="58B614E0"/>
    <w:rsid w:val="58B63935"/>
    <w:rsid w:val="58B71A78"/>
    <w:rsid w:val="58B83A90"/>
    <w:rsid w:val="58BA371B"/>
    <w:rsid w:val="58BD3970"/>
    <w:rsid w:val="58C10279"/>
    <w:rsid w:val="58C15D28"/>
    <w:rsid w:val="58C236A1"/>
    <w:rsid w:val="58C25058"/>
    <w:rsid w:val="58C453A9"/>
    <w:rsid w:val="58C53368"/>
    <w:rsid w:val="58C66F29"/>
    <w:rsid w:val="58C83B1E"/>
    <w:rsid w:val="58CD7FF8"/>
    <w:rsid w:val="58D20643"/>
    <w:rsid w:val="58D53521"/>
    <w:rsid w:val="58D8043A"/>
    <w:rsid w:val="58DF7ACA"/>
    <w:rsid w:val="58E75532"/>
    <w:rsid w:val="58E91F7B"/>
    <w:rsid w:val="58F211E8"/>
    <w:rsid w:val="58F26CFF"/>
    <w:rsid w:val="58F44DDC"/>
    <w:rsid w:val="58F55A0D"/>
    <w:rsid w:val="58F60005"/>
    <w:rsid w:val="58F74DB3"/>
    <w:rsid w:val="58F8193B"/>
    <w:rsid w:val="58FD312E"/>
    <w:rsid w:val="58FE56BE"/>
    <w:rsid w:val="58FF228F"/>
    <w:rsid w:val="59006489"/>
    <w:rsid w:val="59035948"/>
    <w:rsid w:val="59052FF9"/>
    <w:rsid w:val="590764ED"/>
    <w:rsid w:val="59077458"/>
    <w:rsid w:val="590B2E15"/>
    <w:rsid w:val="591029EA"/>
    <w:rsid w:val="591A4A0B"/>
    <w:rsid w:val="591B409F"/>
    <w:rsid w:val="59212B20"/>
    <w:rsid w:val="5922069F"/>
    <w:rsid w:val="59232A38"/>
    <w:rsid w:val="59233DAD"/>
    <w:rsid w:val="592444B1"/>
    <w:rsid w:val="5928562B"/>
    <w:rsid w:val="592C7709"/>
    <w:rsid w:val="592F23A9"/>
    <w:rsid w:val="592F6E31"/>
    <w:rsid w:val="593030FD"/>
    <w:rsid w:val="59323AC7"/>
    <w:rsid w:val="593326C2"/>
    <w:rsid w:val="59332EDD"/>
    <w:rsid w:val="59353313"/>
    <w:rsid w:val="59372CCB"/>
    <w:rsid w:val="593C756C"/>
    <w:rsid w:val="593D4C16"/>
    <w:rsid w:val="59432072"/>
    <w:rsid w:val="59466741"/>
    <w:rsid w:val="59467B19"/>
    <w:rsid w:val="594D208E"/>
    <w:rsid w:val="59502F69"/>
    <w:rsid w:val="595233D1"/>
    <w:rsid w:val="595622B2"/>
    <w:rsid w:val="5957057B"/>
    <w:rsid w:val="5959084F"/>
    <w:rsid w:val="5960147F"/>
    <w:rsid w:val="59625366"/>
    <w:rsid w:val="59643403"/>
    <w:rsid w:val="59650785"/>
    <w:rsid w:val="5967461D"/>
    <w:rsid w:val="596B7E7D"/>
    <w:rsid w:val="596C06F4"/>
    <w:rsid w:val="596C5B4E"/>
    <w:rsid w:val="59700E32"/>
    <w:rsid w:val="5970633C"/>
    <w:rsid w:val="5974452F"/>
    <w:rsid w:val="597936C4"/>
    <w:rsid w:val="597B2F89"/>
    <w:rsid w:val="597F0947"/>
    <w:rsid w:val="59822A12"/>
    <w:rsid w:val="59866FB1"/>
    <w:rsid w:val="59884ED1"/>
    <w:rsid w:val="59886EF5"/>
    <w:rsid w:val="598965E5"/>
    <w:rsid w:val="598B1F40"/>
    <w:rsid w:val="5990374B"/>
    <w:rsid w:val="59913724"/>
    <w:rsid w:val="59971176"/>
    <w:rsid w:val="59983028"/>
    <w:rsid w:val="599867B0"/>
    <w:rsid w:val="59987992"/>
    <w:rsid w:val="599E454B"/>
    <w:rsid w:val="599E4A1B"/>
    <w:rsid w:val="59A058AC"/>
    <w:rsid w:val="59A21E25"/>
    <w:rsid w:val="59A32DCB"/>
    <w:rsid w:val="59A43BFA"/>
    <w:rsid w:val="59A55C50"/>
    <w:rsid w:val="59A62CF0"/>
    <w:rsid w:val="59A737B0"/>
    <w:rsid w:val="59AE116A"/>
    <w:rsid w:val="59B228EE"/>
    <w:rsid w:val="59B856C2"/>
    <w:rsid w:val="59B9545C"/>
    <w:rsid w:val="59C0572F"/>
    <w:rsid w:val="59C165DB"/>
    <w:rsid w:val="59C242F7"/>
    <w:rsid w:val="59C442FD"/>
    <w:rsid w:val="59C60D40"/>
    <w:rsid w:val="59C61C15"/>
    <w:rsid w:val="59C75F5E"/>
    <w:rsid w:val="59CA3AF6"/>
    <w:rsid w:val="59CF4AB8"/>
    <w:rsid w:val="59D441E0"/>
    <w:rsid w:val="59D53E70"/>
    <w:rsid w:val="59D64152"/>
    <w:rsid w:val="59E11611"/>
    <w:rsid w:val="59E41B07"/>
    <w:rsid w:val="59E45C1C"/>
    <w:rsid w:val="59E46A3C"/>
    <w:rsid w:val="59E63237"/>
    <w:rsid w:val="59EB7151"/>
    <w:rsid w:val="59EC2256"/>
    <w:rsid w:val="59EC6E7D"/>
    <w:rsid w:val="59ED3B37"/>
    <w:rsid w:val="59F23F7F"/>
    <w:rsid w:val="59F70283"/>
    <w:rsid w:val="59FA0C69"/>
    <w:rsid w:val="59FC0D1E"/>
    <w:rsid w:val="59FC4D75"/>
    <w:rsid w:val="59FF54CA"/>
    <w:rsid w:val="5A000912"/>
    <w:rsid w:val="5A053977"/>
    <w:rsid w:val="5A0768D6"/>
    <w:rsid w:val="5A085B65"/>
    <w:rsid w:val="5A0B6358"/>
    <w:rsid w:val="5A0C0F50"/>
    <w:rsid w:val="5A0E290A"/>
    <w:rsid w:val="5A120861"/>
    <w:rsid w:val="5A122435"/>
    <w:rsid w:val="5A1268A4"/>
    <w:rsid w:val="5A156090"/>
    <w:rsid w:val="5A156BBE"/>
    <w:rsid w:val="5A19767D"/>
    <w:rsid w:val="5A1A1E7C"/>
    <w:rsid w:val="5A1B17DA"/>
    <w:rsid w:val="5A2072DC"/>
    <w:rsid w:val="5A2141EB"/>
    <w:rsid w:val="5A217098"/>
    <w:rsid w:val="5A236EA4"/>
    <w:rsid w:val="5A270721"/>
    <w:rsid w:val="5A273C24"/>
    <w:rsid w:val="5A2802F0"/>
    <w:rsid w:val="5A29372E"/>
    <w:rsid w:val="5A2A73C2"/>
    <w:rsid w:val="5A2D5DE3"/>
    <w:rsid w:val="5A3228F0"/>
    <w:rsid w:val="5A34163D"/>
    <w:rsid w:val="5A34499B"/>
    <w:rsid w:val="5A3752CC"/>
    <w:rsid w:val="5A3A2196"/>
    <w:rsid w:val="5A3E1F62"/>
    <w:rsid w:val="5A3F7DBC"/>
    <w:rsid w:val="5A403EFC"/>
    <w:rsid w:val="5A453A35"/>
    <w:rsid w:val="5A470183"/>
    <w:rsid w:val="5A491F0E"/>
    <w:rsid w:val="5A4C117E"/>
    <w:rsid w:val="5A4C25C4"/>
    <w:rsid w:val="5A4D7DD7"/>
    <w:rsid w:val="5A4E0A4D"/>
    <w:rsid w:val="5A4E0AD7"/>
    <w:rsid w:val="5A4F7F11"/>
    <w:rsid w:val="5A550C2B"/>
    <w:rsid w:val="5A566D3A"/>
    <w:rsid w:val="5A58538D"/>
    <w:rsid w:val="5A605619"/>
    <w:rsid w:val="5A641971"/>
    <w:rsid w:val="5A66688C"/>
    <w:rsid w:val="5A675F60"/>
    <w:rsid w:val="5A6A3ABC"/>
    <w:rsid w:val="5A6F3503"/>
    <w:rsid w:val="5A726FE6"/>
    <w:rsid w:val="5A7569D8"/>
    <w:rsid w:val="5A7A6B74"/>
    <w:rsid w:val="5A7E4EBF"/>
    <w:rsid w:val="5A8424E6"/>
    <w:rsid w:val="5A867315"/>
    <w:rsid w:val="5A8937AF"/>
    <w:rsid w:val="5A8C7066"/>
    <w:rsid w:val="5A9473AB"/>
    <w:rsid w:val="5A954A0F"/>
    <w:rsid w:val="5A97676E"/>
    <w:rsid w:val="5A9A0232"/>
    <w:rsid w:val="5A9B17D5"/>
    <w:rsid w:val="5A9B23A2"/>
    <w:rsid w:val="5A9E784C"/>
    <w:rsid w:val="5AA245FC"/>
    <w:rsid w:val="5AA6020A"/>
    <w:rsid w:val="5AA82740"/>
    <w:rsid w:val="5AAE6A0E"/>
    <w:rsid w:val="5AB2064D"/>
    <w:rsid w:val="5AB56AA4"/>
    <w:rsid w:val="5AB62181"/>
    <w:rsid w:val="5ABC0C38"/>
    <w:rsid w:val="5ABE6328"/>
    <w:rsid w:val="5AC21CBB"/>
    <w:rsid w:val="5AC336B8"/>
    <w:rsid w:val="5AC50FD7"/>
    <w:rsid w:val="5AC55461"/>
    <w:rsid w:val="5AC656E2"/>
    <w:rsid w:val="5AC91732"/>
    <w:rsid w:val="5ACA31C0"/>
    <w:rsid w:val="5AD3661C"/>
    <w:rsid w:val="5AD774E4"/>
    <w:rsid w:val="5AD93C6A"/>
    <w:rsid w:val="5ADB75C8"/>
    <w:rsid w:val="5ADC036E"/>
    <w:rsid w:val="5ADF15B7"/>
    <w:rsid w:val="5AE07FF6"/>
    <w:rsid w:val="5AE3082B"/>
    <w:rsid w:val="5AE47A90"/>
    <w:rsid w:val="5AE760F8"/>
    <w:rsid w:val="5AED6862"/>
    <w:rsid w:val="5AEF2EBC"/>
    <w:rsid w:val="5AF1295E"/>
    <w:rsid w:val="5AF37D66"/>
    <w:rsid w:val="5AFA2B90"/>
    <w:rsid w:val="5AFE3DE2"/>
    <w:rsid w:val="5AFF4901"/>
    <w:rsid w:val="5B014F0E"/>
    <w:rsid w:val="5B025831"/>
    <w:rsid w:val="5B046076"/>
    <w:rsid w:val="5B076FBF"/>
    <w:rsid w:val="5B0814A6"/>
    <w:rsid w:val="5B105BB8"/>
    <w:rsid w:val="5B15626E"/>
    <w:rsid w:val="5B164D89"/>
    <w:rsid w:val="5B17129A"/>
    <w:rsid w:val="5B18125D"/>
    <w:rsid w:val="5B182CD4"/>
    <w:rsid w:val="5B1A2F52"/>
    <w:rsid w:val="5B1A3660"/>
    <w:rsid w:val="5B1C2A80"/>
    <w:rsid w:val="5B21568F"/>
    <w:rsid w:val="5B2933D1"/>
    <w:rsid w:val="5B326B16"/>
    <w:rsid w:val="5B352A82"/>
    <w:rsid w:val="5B355670"/>
    <w:rsid w:val="5B375889"/>
    <w:rsid w:val="5B3840FE"/>
    <w:rsid w:val="5B385CED"/>
    <w:rsid w:val="5B3E1BB1"/>
    <w:rsid w:val="5B3E4834"/>
    <w:rsid w:val="5B3F6525"/>
    <w:rsid w:val="5B41593B"/>
    <w:rsid w:val="5B422A2F"/>
    <w:rsid w:val="5B426FBC"/>
    <w:rsid w:val="5B495519"/>
    <w:rsid w:val="5B497EC0"/>
    <w:rsid w:val="5B4C64F3"/>
    <w:rsid w:val="5B4F264A"/>
    <w:rsid w:val="5B4F47C7"/>
    <w:rsid w:val="5B566E5E"/>
    <w:rsid w:val="5B587EC4"/>
    <w:rsid w:val="5B5C36FB"/>
    <w:rsid w:val="5B5E26A1"/>
    <w:rsid w:val="5B652F7F"/>
    <w:rsid w:val="5B6542A6"/>
    <w:rsid w:val="5B66535A"/>
    <w:rsid w:val="5B6722D9"/>
    <w:rsid w:val="5B694B65"/>
    <w:rsid w:val="5B6D37F1"/>
    <w:rsid w:val="5B716110"/>
    <w:rsid w:val="5B783949"/>
    <w:rsid w:val="5B7C46A1"/>
    <w:rsid w:val="5B7F0D16"/>
    <w:rsid w:val="5B823723"/>
    <w:rsid w:val="5B8733CE"/>
    <w:rsid w:val="5B8F77A4"/>
    <w:rsid w:val="5B903591"/>
    <w:rsid w:val="5B957DDE"/>
    <w:rsid w:val="5B973241"/>
    <w:rsid w:val="5B994145"/>
    <w:rsid w:val="5B996510"/>
    <w:rsid w:val="5B9A026E"/>
    <w:rsid w:val="5BA032B2"/>
    <w:rsid w:val="5BA176B5"/>
    <w:rsid w:val="5BA30365"/>
    <w:rsid w:val="5BA70FF5"/>
    <w:rsid w:val="5BA840C9"/>
    <w:rsid w:val="5BAF62E7"/>
    <w:rsid w:val="5BB4164A"/>
    <w:rsid w:val="5BB50D91"/>
    <w:rsid w:val="5BB7017C"/>
    <w:rsid w:val="5BBE40D4"/>
    <w:rsid w:val="5BC16561"/>
    <w:rsid w:val="5BC20E0C"/>
    <w:rsid w:val="5BC37A28"/>
    <w:rsid w:val="5BC37B90"/>
    <w:rsid w:val="5BC42A26"/>
    <w:rsid w:val="5BC90140"/>
    <w:rsid w:val="5BCD4871"/>
    <w:rsid w:val="5BD22CE9"/>
    <w:rsid w:val="5BD45330"/>
    <w:rsid w:val="5BD554F6"/>
    <w:rsid w:val="5BD62243"/>
    <w:rsid w:val="5BD85B0D"/>
    <w:rsid w:val="5BDE42E6"/>
    <w:rsid w:val="5BDE45FB"/>
    <w:rsid w:val="5BDF231A"/>
    <w:rsid w:val="5BE075C4"/>
    <w:rsid w:val="5BE7647D"/>
    <w:rsid w:val="5BE76AC4"/>
    <w:rsid w:val="5BE858FF"/>
    <w:rsid w:val="5BEB6645"/>
    <w:rsid w:val="5BED59FD"/>
    <w:rsid w:val="5BEE511F"/>
    <w:rsid w:val="5BEF7A87"/>
    <w:rsid w:val="5BF92D74"/>
    <w:rsid w:val="5BF931F5"/>
    <w:rsid w:val="5BFA5E4D"/>
    <w:rsid w:val="5BFB6403"/>
    <w:rsid w:val="5BFC4E72"/>
    <w:rsid w:val="5C0476EC"/>
    <w:rsid w:val="5C057FBC"/>
    <w:rsid w:val="5C0A3971"/>
    <w:rsid w:val="5C0B3CEA"/>
    <w:rsid w:val="5C0E40DE"/>
    <w:rsid w:val="5C11510F"/>
    <w:rsid w:val="5C157C3A"/>
    <w:rsid w:val="5C167563"/>
    <w:rsid w:val="5C197462"/>
    <w:rsid w:val="5C1F3932"/>
    <w:rsid w:val="5C204552"/>
    <w:rsid w:val="5C206744"/>
    <w:rsid w:val="5C2520B8"/>
    <w:rsid w:val="5C261EAC"/>
    <w:rsid w:val="5C267751"/>
    <w:rsid w:val="5C267F77"/>
    <w:rsid w:val="5C29105F"/>
    <w:rsid w:val="5C2938D3"/>
    <w:rsid w:val="5C2E501A"/>
    <w:rsid w:val="5C2E537C"/>
    <w:rsid w:val="5C3003E5"/>
    <w:rsid w:val="5C355847"/>
    <w:rsid w:val="5C363CAA"/>
    <w:rsid w:val="5C385C4E"/>
    <w:rsid w:val="5C3F0334"/>
    <w:rsid w:val="5C3F24BB"/>
    <w:rsid w:val="5C414A62"/>
    <w:rsid w:val="5C456132"/>
    <w:rsid w:val="5C476B67"/>
    <w:rsid w:val="5C496CD2"/>
    <w:rsid w:val="5C4A50E1"/>
    <w:rsid w:val="5C4D3F5B"/>
    <w:rsid w:val="5C5207E0"/>
    <w:rsid w:val="5C530C0C"/>
    <w:rsid w:val="5C565DEE"/>
    <w:rsid w:val="5C583178"/>
    <w:rsid w:val="5C5B72D4"/>
    <w:rsid w:val="5C5C45A8"/>
    <w:rsid w:val="5C5E2EFF"/>
    <w:rsid w:val="5C5F72D5"/>
    <w:rsid w:val="5C624294"/>
    <w:rsid w:val="5C6354F2"/>
    <w:rsid w:val="5C644C9E"/>
    <w:rsid w:val="5C64599E"/>
    <w:rsid w:val="5C667BCE"/>
    <w:rsid w:val="5C68259B"/>
    <w:rsid w:val="5C6B7A6D"/>
    <w:rsid w:val="5C6C6955"/>
    <w:rsid w:val="5C6D29C9"/>
    <w:rsid w:val="5C783A67"/>
    <w:rsid w:val="5C797026"/>
    <w:rsid w:val="5C7B043C"/>
    <w:rsid w:val="5C7B7F46"/>
    <w:rsid w:val="5C7D1808"/>
    <w:rsid w:val="5C7D320A"/>
    <w:rsid w:val="5C7E4C13"/>
    <w:rsid w:val="5C7F5B84"/>
    <w:rsid w:val="5C803DE1"/>
    <w:rsid w:val="5C814168"/>
    <w:rsid w:val="5C8567F7"/>
    <w:rsid w:val="5C863099"/>
    <w:rsid w:val="5C8B4828"/>
    <w:rsid w:val="5C8D0EE4"/>
    <w:rsid w:val="5C8E5B8C"/>
    <w:rsid w:val="5C8E69C6"/>
    <w:rsid w:val="5C9060E1"/>
    <w:rsid w:val="5C906973"/>
    <w:rsid w:val="5C951BE1"/>
    <w:rsid w:val="5C961951"/>
    <w:rsid w:val="5C9A3A0F"/>
    <w:rsid w:val="5C9C6DB1"/>
    <w:rsid w:val="5C9F0F0A"/>
    <w:rsid w:val="5C9F65AA"/>
    <w:rsid w:val="5CA055F3"/>
    <w:rsid w:val="5CA23283"/>
    <w:rsid w:val="5CA320B0"/>
    <w:rsid w:val="5CA85815"/>
    <w:rsid w:val="5CAB3404"/>
    <w:rsid w:val="5CAF40C0"/>
    <w:rsid w:val="5CB018FE"/>
    <w:rsid w:val="5CB315AF"/>
    <w:rsid w:val="5CB37A87"/>
    <w:rsid w:val="5CB74015"/>
    <w:rsid w:val="5CBB5E71"/>
    <w:rsid w:val="5CC07170"/>
    <w:rsid w:val="5CC121B9"/>
    <w:rsid w:val="5CC310A9"/>
    <w:rsid w:val="5CC3592E"/>
    <w:rsid w:val="5CC40F9D"/>
    <w:rsid w:val="5CC8468D"/>
    <w:rsid w:val="5CCE2191"/>
    <w:rsid w:val="5CCF22C2"/>
    <w:rsid w:val="5CD279B8"/>
    <w:rsid w:val="5CD43994"/>
    <w:rsid w:val="5CD75A49"/>
    <w:rsid w:val="5CE2082A"/>
    <w:rsid w:val="5CE60271"/>
    <w:rsid w:val="5CE6137B"/>
    <w:rsid w:val="5CE8243A"/>
    <w:rsid w:val="5CE831D4"/>
    <w:rsid w:val="5CE8505F"/>
    <w:rsid w:val="5CEC43E3"/>
    <w:rsid w:val="5CED0DE2"/>
    <w:rsid w:val="5CF1442A"/>
    <w:rsid w:val="5CF17A74"/>
    <w:rsid w:val="5CF65E47"/>
    <w:rsid w:val="5CF9317E"/>
    <w:rsid w:val="5CFA5273"/>
    <w:rsid w:val="5CFB4095"/>
    <w:rsid w:val="5D005C2F"/>
    <w:rsid w:val="5D0572EE"/>
    <w:rsid w:val="5D061B76"/>
    <w:rsid w:val="5D1156DA"/>
    <w:rsid w:val="5D127FAB"/>
    <w:rsid w:val="5D1D3E6A"/>
    <w:rsid w:val="5D2361E8"/>
    <w:rsid w:val="5D24410D"/>
    <w:rsid w:val="5D24522C"/>
    <w:rsid w:val="5D2662B8"/>
    <w:rsid w:val="5D2673A2"/>
    <w:rsid w:val="5D27725C"/>
    <w:rsid w:val="5D28413D"/>
    <w:rsid w:val="5D2929C9"/>
    <w:rsid w:val="5D2B6621"/>
    <w:rsid w:val="5D2C072C"/>
    <w:rsid w:val="5D2D5E80"/>
    <w:rsid w:val="5D330862"/>
    <w:rsid w:val="5D3736A1"/>
    <w:rsid w:val="5D4052F5"/>
    <w:rsid w:val="5D413FAB"/>
    <w:rsid w:val="5D455D8B"/>
    <w:rsid w:val="5D4A0B95"/>
    <w:rsid w:val="5D4A57E3"/>
    <w:rsid w:val="5D4C145C"/>
    <w:rsid w:val="5D4C374C"/>
    <w:rsid w:val="5D4E36CF"/>
    <w:rsid w:val="5D530ED9"/>
    <w:rsid w:val="5D547891"/>
    <w:rsid w:val="5D577CF4"/>
    <w:rsid w:val="5D5D3687"/>
    <w:rsid w:val="5D616DB9"/>
    <w:rsid w:val="5D626BB0"/>
    <w:rsid w:val="5D65666C"/>
    <w:rsid w:val="5D661DB9"/>
    <w:rsid w:val="5D684C9A"/>
    <w:rsid w:val="5D6868D4"/>
    <w:rsid w:val="5D6933CC"/>
    <w:rsid w:val="5D695349"/>
    <w:rsid w:val="5D7036F5"/>
    <w:rsid w:val="5D714775"/>
    <w:rsid w:val="5D733940"/>
    <w:rsid w:val="5D752F76"/>
    <w:rsid w:val="5D75704F"/>
    <w:rsid w:val="5D776DE7"/>
    <w:rsid w:val="5D796695"/>
    <w:rsid w:val="5D7D7B24"/>
    <w:rsid w:val="5D816065"/>
    <w:rsid w:val="5D82465E"/>
    <w:rsid w:val="5D824ADD"/>
    <w:rsid w:val="5D8D74F6"/>
    <w:rsid w:val="5D8F3967"/>
    <w:rsid w:val="5D901922"/>
    <w:rsid w:val="5D9502CC"/>
    <w:rsid w:val="5D9636C2"/>
    <w:rsid w:val="5D96795E"/>
    <w:rsid w:val="5D9948B4"/>
    <w:rsid w:val="5D9D64EB"/>
    <w:rsid w:val="5D9D731F"/>
    <w:rsid w:val="5DA66443"/>
    <w:rsid w:val="5DAC6F08"/>
    <w:rsid w:val="5DAE427E"/>
    <w:rsid w:val="5DB00662"/>
    <w:rsid w:val="5DB1560A"/>
    <w:rsid w:val="5DB5471F"/>
    <w:rsid w:val="5DB6365C"/>
    <w:rsid w:val="5DBB2D30"/>
    <w:rsid w:val="5DBC7CB2"/>
    <w:rsid w:val="5DC0241F"/>
    <w:rsid w:val="5DC05E71"/>
    <w:rsid w:val="5DC327D4"/>
    <w:rsid w:val="5DC97F5F"/>
    <w:rsid w:val="5DCD719C"/>
    <w:rsid w:val="5DD25855"/>
    <w:rsid w:val="5DD25C76"/>
    <w:rsid w:val="5DD344F2"/>
    <w:rsid w:val="5DD7128F"/>
    <w:rsid w:val="5DD7195B"/>
    <w:rsid w:val="5DDA2213"/>
    <w:rsid w:val="5DDC0CB5"/>
    <w:rsid w:val="5DDC30B0"/>
    <w:rsid w:val="5DE97EFB"/>
    <w:rsid w:val="5DEA4C97"/>
    <w:rsid w:val="5DED5C3F"/>
    <w:rsid w:val="5DED7D30"/>
    <w:rsid w:val="5DF248F9"/>
    <w:rsid w:val="5DF733E8"/>
    <w:rsid w:val="5DF74EF7"/>
    <w:rsid w:val="5DFD0A5E"/>
    <w:rsid w:val="5DFF29D7"/>
    <w:rsid w:val="5DFF350C"/>
    <w:rsid w:val="5E0235BE"/>
    <w:rsid w:val="5E03100D"/>
    <w:rsid w:val="5E0319EB"/>
    <w:rsid w:val="5E077D77"/>
    <w:rsid w:val="5E0A034F"/>
    <w:rsid w:val="5E0C3D85"/>
    <w:rsid w:val="5E17158D"/>
    <w:rsid w:val="5E180FF1"/>
    <w:rsid w:val="5E1925C7"/>
    <w:rsid w:val="5E2B6AB3"/>
    <w:rsid w:val="5E2B72DF"/>
    <w:rsid w:val="5E2D39D8"/>
    <w:rsid w:val="5E2D6CAB"/>
    <w:rsid w:val="5E2F70E2"/>
    <w:rsid w:val="5E300A93"/>
    <w:rsid w:val="5E31408E"/>
    <w:rsid w:val="5E3743B7"/>
    <w:rsid w:val="5E3A1BD7"/>
    <w:rsid w:val="5E3A41FE"/>
    <w:rsid w:val="5E3D689A"/>
    <w:rsid w:val="5E3E31B0"/>
    <w:rsid w:val="5E3F3332"/>
    <w:rsid w:val="5E3F6586"/>
    <w:rsid w:val="5E403E13"/>
    <w:rsid w:val="5E41509A"/>
    <w:rsid w:val="5E493BD3"/>
    <w:rsid w:val="5E4D7D00"/>
    <w:rsid w:val="5E4F2BE4"/>
    <w:rsid w:val="5E540F59"/>
    <w:rsid w:val="5E5A3E7F"/>
    <w:rsid w:val="5E5A6FEB"/>
    <w:rsid w:val="5E5C15F5"/>
    <w:rsid w:val="5E5F4019"/>
    <w:rsid w:val="5E607F54"/>
    <w:rsid w:val="5E6E2AE1"/>
    <w:rsid w:val="5E6F0E69"/>
    <w:rsid w:val="5E6F7F46"/>
    <w:rsid w:val="5E713AAF"/>
    <w:rsid w:val="5E7279FF"/>
    <w:rsid w:val="5E774E2C"/>
    <w:rsid w:val="5E8038E4"/>
    <w:rsid w:val="5E823CED"/>
    <w:rsid w:val="5E8436C2"/>
    <w:rsid w:val="5E864FE8"/>
    <w:rsid w:val="5E86574B"/>
    <w:rsid w:val="5E8C18A0"/>
    <w:rsid w:val="5E8C7260"/>
    <w:rsid w:val="5E8F363B"/>
    <w:rsid w:val="5E900278"/>
    <w:rsid w:val="5E913EF6"/>
    <w:rsid w:val="5E9342DB"/>
    <w:rsid w:val="5E96522E"/>
    <w:rsid w:val="5E965EE6"/>
    <w:rsid w:val="5E986A46"/>
    <w:rsid w:val="5E9A1545"/>
    <w:rsid w:val="5E9A6615"/>
    <w:rsid w:val="5EA143AE"/>
    <w:rsid w:val="5EA43E60"/>
    <w:rsid w:val="5EA70BFA"/>
    <w:rsid w:val="5EAA20BF"/>
    <w:rsid w:val="5EAD3C35"/>
    <w:rsid w:val="5EAD6CB7"/>
    <w:rsid w:val="5EB261F0"/>
    <w:rsid w:val="5EB37A9C"/>
    <w:rsid w:val="5EB9260A"/>
    <w:rsid w:val="5EB928FA"/>
    <w:rsid w:val="5EBC312E"/>
    <w:rsid w:val="5EBF0C06"/>
    <w:rsid w:val="5EC23673"/>
    <w:rsid w:val="5EC33F8F"/>
    <w:rsid w:val="5ECA0E41"/>
    <w:rsid w:val="5ECA5D47"/>
    <w:rsid w:val="5ECB5B4B"/>
    <w:rsid w:val="5ECC0FCB"/>
    <w:rsid w:val="5ECD285A"/>
    <w:rsid w:val="5ED111C5"/>
    <w:rsid w:val="5ED13230"/>
    <w:rsid w:val="5ED43BB3"/>
    <w:rsid w:val="5ED94878"/>
    <w:rsid w:val="5EDA1F42"/>
    <w:rsid w:val="5EDC533A"/>
    <w:rsid w:val="5EE5522C"/>
    <w:rsid w:val="5EE92D57"/>
    <w:rsid w:val="5EEA7A8D"/>
    <w:rsid w:val="5EED4B1D"/>
    <w:rsid w:val="5EEE75B7"/>
    <w:rsid w:val="5EEF47B4"/>
    <w:rsid w:val="5EF556D2"/>
    <w:rsid w:val="5EF8545C"/>
    <w:rsid w:val="5EFD4F21"/>
    <w:rsid w:val="5EFE5F99"/>
    <w:rsid w:val="5EFF6407"/>
    <w:rsid w:val="5F082422"/>
    <w:rsid w:val="5F0A6E75"/>
    <w:rsid w:val="5F0C1E4A"/>
    <w:rsid w:val="5F0E6F2C"/>
    <w:rsid w:val="5F1358A9"/>
    <w:rsid w:val="5F136138"/>
    <w:rsid w:val="5F14226F"/>
    <w:rsid w:val="5F167741"/>
    <w:rsid w:val="5F1A15AA"/>
    <w:rsid w:val="5F1B4B17"/>
    <w:rsid w:val="5F1D0FFC"/>
    <w:rsid w:val="5F1E13A6"/>
    <w:rsid w:val="5F1E6BC4"/>
    <w:rsid w:val="5F227B18"/>
    <w:rsid w:val="5F257E6C"/>
    <w:rsid w:val="5F2B0D5E"/>
    <w:rsid w:val="5F2E11D3"/>
    <w:rsid w:val="5F2F1BDE"/>
    <w:rsid w:val="5F322DE2"/>
    <w:rsid w:val="5F380535"/>
    <w:rsid w:val="5F444333"/>
    <w:rsid w:val="5F4643AA"/>
    <w:rsid w:val="5F4832FA"/>
    <w:rsid w:val="5F4A3671"/>
    <w:rsid w:val="5F4A3DB5"/>
    <w:rsid w:val="5F50622A"/>
    <w:rsid w:val="5F51034A"/>
    <w:rsid w:val="5F530850"/>
    <w:rsid w:val="5F547210"/>
    <w:rsid w:val="5F596471"/>
    <w:rsid w:val="5F5A7957"/>
    <w:rsid w:val="5F5B7634"/>
    <w:rsid w:val="5F5C1F75"/>
    <w:rsid w:val="5F6228D0"/>
    <w:rsid w:val="5F6618D9"/>
    <w:rsid w:val="5F6708C1"/>
    <w:rsid w:val="5F69665A"/>
    <w:rsid w:val="5F6A6CD4"/>
    <w:rsid w:val="5F6C0E15"/>
    <w:rsid w:val="5F7406B3"/>
    <w:rsid w:val="5F7438D0"/>
    <w:rsid w:val="5F7641B7"/>
    <w:rsid w:val="5F7826AB"/>
    <w:rsid w:val="5F785A33"/>
    <w:rsid w:val="5F7D07E9"/>
    <w:rsid w:val="5F820D36"/>
    <w:rsid w:val="5F827F0A"/>
    <w:rsid w:val="5F897A59"/>
    <w:rsid w:val="5F8A0260"/>
    <w:rsid w:val="5F8A5CB5"/>
    <w:rsid w:val="5F8B016D"/>
    <w:rsid w:val="5F9076C1"/>
    <w:rsid w:val="5F9564C9"/>
    <w:rsid w:val="5F9A7BA9"/>
    <w:rsid w:val="5F9C7AD3"/>
    <w:rsid w:val="5F9D2C4B"/>
    <w:rsid w:val="5FA14014"/>
    <w:rsid w:val="5FA34AB5"/>
    <w:rsid w:val="5FA365B7"/>
    <w:rsid w:val="5FA369AF"/>
    <w:rsid w:val="5FA60F45"/>
    <w:rsid w:val="5FA75053"/>
    <w:rsid w:val="5FAE2280"/>
    <w:rsid w:val="5FB465DA"/>
    <w:rsid w:val="5FB722F7"/>
    <w:rsid w:val="5FBB36E3"/>
    <w:rsid w:val="5FBB419D"/>
    <w:rsid w:val="5FBB73C0"/>
    <w:rsid w:val="5FBF0E40"/>
    <w:rsid w:val="5FC56968"/>
    <w:rsid w:val="5FCA5683"/>
    <w:rsid w:val="5FCC608B"/>
    <w:rsid w:val="5FCF62B7"/>
    <w:rsid w:val="5FD0289B"/>
    <w:rsid w:val="5FD076E7"/>
    <w:rsid w:val="5FD24964"/>
    <w:rsid w:val="5FD360BF"/>
    <w:rsid w:val="5FDF3C59"/>
    <w:rsid w:val="5FE121D6"/>
    <w:rsid w:val="5FE23456"/>
    <w:rsid w:val="5FE24B3B"/>
    <w:rsid w:val="5FE56B1E"/>
    <w:rsid w:val="5FE618B9"/>
    <w:rsid w:val="5FE74503"/>
    <w:rsid w:val="5FE924A1"/>
    <w:rsid w:val="5FEA110A"/>
    <w:rsid w:val="5FEA4443"/>
    <w:rsid w:val="5FEB53E4"/>
    <w:rsid w:val="5FED68C8"/>
    <w:rsid w:val="5FEE3415"/>
    <w:rsid w:val="5FEF6332"/>
    <w:rsid w:val="5FF41EDE"/>
    <w:rsid w:val="5FF72084"/>
    <w:rsid w:val="5FFA0260"/>
    <w:rsid w:val="5FFB729D"/>
    <w:rsid w:val="60041906"/>
    <w:rsid w:val="60052FD7"/>
    <w:rsid w:val="60084F07"/>
    <w:rsid w:val="600B4929"/>
    <w:rsid w:val="600C30CB"/>
    <w:rsid w:val="60167E55"/>
    <w:rsid w:val="6019078D"/>
    <w:rsid w:val="601A4E79"/>
    <w:rsid w:val="601B77A8"/>
    <w:rsid w:val="602018E1"/>
    <w:rsid w:val="6023339F"/>
    <w:rsid w:val="60246645"/>
    <w:rsid w:val="6025232E"/>
    <w:rsid w:val="60291440"/>
    <w:rsid w:val="602F4A2C"/>
    <w:rsid w:val="603578D1"/>
    <w:rsid w:val="603631F1"/>
    <w:rsid w:val="60375C14"/>
    <w:rsid w:val="603D3EBB"/>
    <w:rsid w:val="60442E5E"/>
    <w:rsid w:val="604463DC"/>
    <w:rsid w:val="604D1CBE"/>
    <w:rsid w:val="604F5C7F"/>
    <w:rsid w:val="605056A3"/>
    <w:rsid w:val="60514884"/>
    <w:rsid w:val="60563D8D"/>
    <w:rsid w:val="60566B8E"/>
    <w:rsid w:val="60594A07"/>
    <w:rsid w:val="605A3B9A"/>
    <w:rsid w:val="605E19C8"/>
    <w:rsid w:val="605F78BD"/>
    <w:rsid w:val="60635415"/>
    <w:rsid w:val="60641A9C"/>
    <w:rsid w:val="606677EE"/>
    <w:rsid w:val="60677050"/>
    <w:rsid w:val="606D2688"/>
    <w:rsid w:val="606E70EB"/>
    <w:rsid w:val="60734B2F"/>
    <w:rsid w:val="6074294C"/>
    <w:rsid w:val="607E78A0"/>
    <w:rsid w:val="607F6477"/>
    <w:rsid w:val="60817332"/>
    <w:rsid w:val="6084017D"/>
    <w:rsid w:val="60846A90"/>
    <w:rsid w:val="60855335"/>
    <w:rsid w:val="608567DB"/>
    <w:rsid w:val="6087193E"/>
    <w:rsid w:val="608828C5"/>
    <w:rsid w:val="608D03DE"/>
    <w:rsid w:val="608D1A88"/>
    <w:rsid w:val="608E36ED"/>
    <w:rsid w:val="60935FCE"/>
    <w:rsid w:val="60993D27"/>
    <w:rsid w:val="60A4590C"/>
    <w:rsid w:val="60A9358F"/>
    <w:rsid w:val="60AB00C7"/>
    <w:rsid w:val="60AB2EA5"/>
    <w:rsid w:val="60AD0BC9"/>
    <w:rsid w:val="60B74287"/>
    <w:rsid w:val="60BA002D"/>
    <w:rsid w:val="60BB4FE5"/>
    <w:rsid w:val="60BB5321"/>
    <w:rsid w:val="60BD6493"/>
    <w:rsid w:val="60C2097F"/>
    <w:rsid w:val="60C37F23"/>
    <w:rsid w:val="60C519FE"/>
    <w:rsid w:val="60CA3941"/>
    <w:rsid w:val="60CD4160"/>
    <w:rsid w:val="60CD50FB"/>
    <w:rsid w:val="60CE3993"/>
    <w:rsid w:val="60CE6085"/>
    <w:rsid w:val="60D17B9A"/>
    <w:rsid w:val="60D4028E"/>
    <w:rsid w:val="60D71F19"/>
    <w:rsid w:val="60DD1312"/>
    <w:rsid w:val="60DF4710"/>
    <w:rsid w:val="60E11844"/>
    <w:rsid w:val="60E81E70"/>
    <w:rsid w:val="60EA5BC6"/>
    <w:rsid w:val="60EB1DF4"/>
    <w:rsid w:val="60EB412E"/>
    <w:rsid w:val="60F164F9"/>
    <w:rsid w:val="60F21640"/>
    <w:rsid w:val="60F46204"/>
    <w:rsid w:val="60F63702"/>
    <w:rsid w:val="60F7546E"/>
    <w:rsid w:val="60F8349E"/>
    <w:rsid w:val="60FA1414"/>
    <w:rsid w:val="60FA1BE5"/>
    <w:rsid w:val="60FA25B8"/>
    <w:rsid w:val="60FC6141"/>
    <w:rsid w:val="60FD0A6D"/>
    <w:rsid w:val="610008A7"/>
    <w:rsid w:val="61000C93"/>
    <w:rsid w:val="61005C17"/>
    <w:rsid w:val="6103127B"/>
    <w:rsid w:val="610708FF"/>
    <w:rsid w:val="610A4D30"/>
    <w:rsid w:val="610D1B40"/>
    <w:rsid w:val="610D314F"/>
    <w:rsid w:val="610F74FE"/>
    <w:rsid w:val="61104808"/>
    <w:rsid w:val="6114414E"/>
    <w:rsid w:val="61220CC9"/>
    <w:rsid w:val="6122129E"/>
    <w:rsid w:val="61256755"/>
    <w:rsid w:val="61264265"/>
    <w:rsid w:val="6127774F"/>
    <w:rsid w:val="612840ED"/>
    <w:rsid w:val="61284511"/>
    <w:rsid w:val="61293123"/>
    <w:rsid w:val="612C2C34"/>
    <w:rsid w:val="612F2AF4"/>
    <w:rsid w:val="61343C3C"/>
    <w:rsid w:val="6136460E"/>
    <w:rsid w:val="61397271"/>
    <w:rsid w:val="613B4FAC"/>
    <w:rsid w:val="613F4106"/>
    <w:rsid w:val="61490009"/>
    <w:rsid w:val="614968A5"/>
    <w:rsid w:val="614B2B93"/>
    <w:rsid w:val="614F2512"/>
    <w:rsid w:val="614F7D31"/>
    <w:rsid w:val="61586727"/>
    <w:rsid w:val="615B1660"/>
    <w:rsid w:val="615D4A49"/>
    <w:rsid w:val="616105E6"/>
    <w:rsid w:val="61620CE3"/>
    <w:rsid w:val="61664A6F"/>
    <w:rsid w:val="616652ED"/>
    <w:rsid w:val="616E6BDE"/>
    <w:rsid w:val="616F5497"/>
    <w:rsid w:val="61711B95"/>
    <w:rsid w:val="61715F5E"/>
    <w:rsid w:val="61716C77"/>
    <w:rsid w:val="6172478B"/>
    <w:rsid w:val="61730B6B"/>
    <w:rsid w:val="61741059"/>
    <w:rsid w:val="61774EFD"/>
    <w:rsid w:val="61790AF8"/>
    <w:rsid w:val="617A0BC0"/>
    <w:rsid w:val="617A4266"/>
    <w:rsid w:val="617B71FD"/>
    <w:rsid w:val="6186491D"/>
    <w:rsid w:val="618E244E"/>
    <w:rsid w:val="61904C2E"/>
    <w:rsid w:val="619622B7"/>
    <w:rsid w:val="61963778"/>
    <w:rsid w:val="61984E3C"/>
    <w:rsid w:val="619934C9"/>
    <w:rsid w:val="619D77A0"/>
    <w:rsid w:val="61A03FE8"/>
    <w:rsid w:val="61A21AB9"/>
    <w:rsid w:val="61A30839"/>
    <w:rsid w:val="61A31CC2"/>
    <w:rsid w:val="61A36D37"/>
    <w:rsid w:val="61A60039"/>
    <w:rsid w:val="61A62E25"/>
    <w:rsid w:val="61A859F5"/>
    <w:rsid w:val="61A90684"/>
    <w:rsid w:val="61AB2E15"/>
    <w:rsid w:val="61B04C56"/>
    <w:rsid w:val="61B22B57"/>
    <w:rsid w:val="61B27CB2"/>
    <w:rsid w:val="61BC39E2"/>
    <w:rsid w:val="61BF2FA8"/>
    <w:rsid w:val="61C14D23"/>
    <w:rsid w:val="61C1638C"/>
    <w:rsid w:val="61C205A0"/>
    <w:rsid w:val="61CF2C73"/>
    <w:rsid w:val="61CF5786"/>
    <w:rsid w:val="61DC0E2D"/>
    <w:rsid w:val="61DC29A5"/>
    <w:rsid w:val="61DE55FA"/>
    <w:rsid w:val="61E06114"/>
    <w:rsid w:val="61E10AA1"/>
    <w:rsid w:val="61E352D0"/>
    <w:rsid w:val="61E52B28"/>
    <w:rsid w:val="61E9467D"/>
    <w:rsid w:val="61EB24DF"/>
    <w:rsid w:val="61F35CA3"/>
    <w:rsid w:val="61F70D6B"/>
    <w:rsid w:val="61F93428"/>
    <w:rsid w:val="61F96D5E"/>
    <w:rsid w:val="61FD2517"/>
    <w:rsid w:val="620004AF"/>
    <w:rsid w:val="62015EDD"/>
    <w:rsid w:val="62023249"/>
    <w:rsid w:val="620330AB"/>
    <w:rsid w:val="62056550"/>
    <w:rsid w:val="6206524D"/>
    <w:rsid w:val="620763B4"/>
    <w:rsid w:val="620834D0"/>
    <w:rsid w:val="620B4D26"/>
    <w:rsid w:val="620B628C"/>
    <w:rsid w:val="621051D8"/>
    <w:rsid w:val="62127096"/>
    <w:rsid w:val="62193055"/>
    <w:rsid w:val="621C521A"/>
    <w:rsid w:val="621D39AD"/>
    <w:rsid w:val="621E74E8"/>
    <w:rsid w:val="62250F51"/>
    <w:rsid w:val="622D10BF"/>
    <w:rsid w:val="622E1C03"/>
    <w:rsid w:val="622F4C10"/>
    <w:rsid w:val="62343890"/>
    <w:rsid w:val="62353E76"/>
    <w:rsid w:val="623B0E3C"/>
    <w:rsid w:val="623C2761"/>
    <w:rsid w:val="623D302A"/>
    <w:rsid w:val="62401EA2"/>
    <w:rsid w:val="624549EA"/>
    <w:rsid w:val="624575BF"/>
    <w:rsid w:val="62530043"/>
    <w:rsid w:val="62532313"/>
    <w:rsid w:val="625C7452"/>
    <w:rsid w:val="625E5F7C"/>
    <w:rsid w:val="625F67D1"/>
    <w:rsid w:val="626323BE"/>
    <w:rsid w:val="62632DA4"/>
    <w:rsid w:val="626432C5"/>
    <w:rsid w:val="62654C54"/>
    <w:rsid w:val="626D2C98"/>
    <w:rsid w:val="626E5B74"/>
    <w:rsid w:val="626F6DCB"/>
    <w:rsid w:val="62707633"/>
    <w:rsid w:val="627148E6"/>
    <w:rsid w:val="62735116"/>
    <w:rsid w:val="62786ACE"/>
    <w:rsid w:val="627D37A1"/>
    <w:rsid w:val="627E7593"/>
    <w:rsid w:val="6282336B"/>
    <w:rsid w:val="62846832"/>
    <w:rsid w:val="62850944"/>
    <w:rsid w:val="628C1F5E"/>
    <w:rsid w:val="629223A2"/>
    <w:rsid w:val="6293314A"/>
    <w:rsid w:val="62953FD5"/>
    <w:rsid w:val="62974D88"/>
    <w:rsid w:val="6298151B"/>
    <w:rsid w:val="629933E6"/>
    <w:rsid w:val="62A07D34"/>
    <w:rsid w:val="62A668E4"/>
    <w:rsid w:val="62A67C54"/>
    <w:rsid w:val="62AA2E06"/>
    <w:rsid w:val="62AB3869"/>
    <w:rsid w:val="62AD1EEA"/>
    <w:rsid w:val="62AF3D67"/>
    <w:rsid w:val="62AF4BE6"/>
    <w:rsid w:val="62B261AA"/>
    <w:rsid w:val="62B51E98"/>
    <w:rsid w:val="62BA7784"/>
    <w:rsid w:val="62BB3D52"/>
    <w:rsid w:val="62BD2081"/>
    <w:rsid w:val="62C179D1"/>
    <w:rsid w:val="62C23A34"/>
    <w:rsid w:val="62C3478E"/>
    <w:rsid w:val="62C71DC0"/>
    <w:rsid w:val="62CA2BB0"/>
    <w:rsid w:val="62DD01E5"/>
    <w:rsid w:val="62DF6A49"/>
    <w:rsid w:val="62E161E8"/>
    <w:rsid w:val="62E16883"/>
    <w:rsid w:val="62E34518"/>
    <w:rsid w:val="62E50C62"/>
    <w:rsid w:val="62E55F45"/>
    <w:rsid w:val="62E864D0"/>
    <w:rsid w:val="62EB5DC9"/>
    <w:rsid w:val="62F01284"/>
    <w:rsid w:val="62F052B5"/>
    <w:rsid w:val="62F06D68"/>
    <w:rsid w:val="62F27F03"/>
    <w:rsid w:val="62F62AC8"/>
    <w:rsid w:val="62F7532E"/>
    <w:rsid w:val="62F922F2"/>
    <w:rsid w:val="62FB3682"/>
    <w:rsid w:val="62FE53ED"/>
    <w:rsid w:val="63071CB5"/>
    <w:rsid w:val="630C7363"/>
    <w:rsid w:val="630D2926"/>
    <w:rsid w:val="630E29FD"/>
    <w:rsid w:val="63104B0E"/>
    <w:rsid w:val="6314791C"/>
    <w:rsid w:val="631D0179"/>
    <w:rsid w:val="631F5B6D"/>
    <w:rsid w:val="631F60A6"/>
    <w:rsid w:val="63205E93"/>
    <w:rsid w:val="6324093A"/>
    <w:rsid w:val="63256651"/>
    <w:rsid w:val="632A3C79"/>
    <w:rsid w:val="632E2D30"/>
    <w:rsid w:val="633042FC"/>
    <w:rsid w:val="63313A41"/>
    <w:rsid w:val="633167E5"/>
    <w:rsid w:val="63356033"/>
    <w:rsid w:val="633570AF"/>
    <w:rsid w:val="6336318E"/>
    <w:rsid w:val="633D662C"/>
    <w:rsid w:val="634909BD"/>
    <w:rsid w:val="63515ADA"/>
    <w:rsid w:val="63522C58"/>
    <w:rsid w:val="63525361"/>
    <w:rsid w:val="635339C1"/>
    <w:rsid w:val="63596758"/>
    <w:rsid w:val="635D5A33"/>
    <w:rsid w:val="635E77A7"/>
    <w:rsid w:val="63616B11"/>
    <w:rsid w:val="63634D82"/>
    <w:rsid w:val="63654842"/>
    <w:rsid w:val="63671F27"/>
    <w:rsid w:val="636B00AD"/>
    <w:rsid w:val="63767E4B"/>
    <w:rsid w:val="63797997"/>
    <w:rsid w:val="637A215F"/>
    <w:rsid w:val="638B2422"/>
    <w:rsid w:val="63901FB2"/>
    <w:rsid w:val="63924DD3"/>
    <w:rsid w:val="63943E7E"/>
    <w:rsid w:val="63945032"/>
    <w:rsid w:val="63970B8A"/>
    <w:rsid w:val="63981B0B"/>
    <w:rsid w:val="63993D90"/>
    <w:rsid w:val="639C36A8"/>
    <w:rsid w:val="63A07996"/>
    <w:rsid w:val="63A36D57"/>
    <w:rsid w:val="63A40BB1"/>
    <w:rsid w:val="63A43E4E"/>
    <w:rsid w:val="63A51388"/>
    <w:rsid w:val="63AC33DA"/>
    <w:rsid w:val="63B41B40"/>
    <w:rsid w:val="63B52229"/>
    <w:rsid w:val="63B76694"/>
    <w:rsid w:val="63BD1A0E"/>
    <w:rsid w:val="63BD2795"/>
    <w:rsid w:val="63BF5F39"/>
    <w:rsid w:val="63C1604E"/>
    <w:rsid w:val="63C17FEB"/>
    <w:rsid w:val="63C24A07"/>
    <w:rsid w:val="63C34566"/>
    <w:rsid w:val="63C500D1"/>
    <w:rsid w:val="63C9001B"/>
    <w:rsid w:val="63CA28EE"/>
    <w:rsid w:val="63CA7FD8"/>
    <w:rsid w:val="63CE1804"/>
    <w:rsid w:val="63CF74F3"/>
    <w:rsid w:val="63D455FD"/>
    <w:rsid w:val="63D474C7"/>
    <w:rsid w:val="63D63232"/>
    <w:rsid w:val="63D63A53"/>
    <w:rsid w:val="63DB6C1D"/>
    <w:rsid w:val="63E07C21"/>
    <w:rsid w:val="63E12046"/>
    <w:rsid w:val="63E24089"/>
    <w:rsid w:val="63E4678B"/>
    <w:rsid w:val="63E549C6"/>
    <w:rsid w:val="63E75908"/>
    <w:rsid w:val="63EA66F0"/>
    <w:rsid w:val="63F22855"/>
    <w:rsid w:val="63F567D9"/>
    <w:rsid w:val="63F775D0"/>
    <w:rsid w:val="63FD02E7"/>
    <w:rsid w:val="63FE1DC7"/>
    <w:rsid w:val="64003CAF"/>
    <w:rsid w:val="64004C42"/>
    <w:rsid w:val="64032800"/>
    <w:rsid w:val="64034261"/>
    <w:rsid w:val="6408635B"/>
    <w:rsid w:val="641104CB"/>
    <w:rsid w:val="64142D79"/>
    <w:rsid w:val="64152011"/>
    <w:rsid w:val="64181B3A"/>
    <w:rsid w:val="64183AC6"/>
    <w:rsid w:val="641B4B81"/>
    <w:rsid w:val="6420473D"/>
    <w:rsid w:val="64213306"/>
    <w:rsid w:val="64293158"/>
    <w:rsid w:val="642B7FC4"/>
    <w:rsid w:val="6430376A"/>
    <w:rsid w:val="643311FF"/>
    <w:rsid w:val="643D2F3F"/>
    <w:rsid w:val="643D6F3B"/>
    <w:rsid w:val="643D73DD"/>
    <w:rsid w:val="643E73ED"/>
    <w:rsid w:val="6440688A"/>
    <w:rsid w:val="64434F17"/>
    <w:rsid w:val="64466CBB"/>
    <w:rsid w:val="64474F74"/>
    <w:rsid w:val="64490D03"/>
    <w:rsid w:val="64491AED"/>
    <w:rsid w:val="644A3C2A"/>
    <w:rsid w:val="644C0010"/>
    <w:rsid w:val="64507131"/>
    <w:rsid w:val="64542A7B"/>
    <w:rsid w:val="645456C2"/>
    <w:rsid w:val="64576C82"/>
    <w:rsid w:val="645A29D0"/>
    <w:rsid w:val="645B444A"/>
    <w:rsid w:val="645D16CC"/>
    <w:rsid w:val="64614094"/>
    <w:rsid w:val="6461488F"/>
    <w:rsid w:val="646378D2"/>
    <w:rsid w:val="64662079"/>
    <w:rsid w:val="646817D4"/>
    <w:rsid w:val="646A75F4"/>
    <w:rsid w:val="646D1319"/>
    <w:rsid w:val="64751C5E"/>
    <w:rsid w:val="64760A74"/>
    <w:rsid w:val="6476610D"/>
    <w:rsid w:val="647867C1"/>
    <w:rsid w:val="64825B0F"/>
    <w:rsid w:val="648A0A6C"/>
    <w:rsid w:val="648C2D02"/>
    <w:rsid w:val="648F1FE7"/>
    <w:rsid w:val="6491745F"/>
    <w:rsid w:val="649516BE"/>
    <w:rsid w:val="64976F26"/>
    <w:rsid w:val="6499052C"/>
    <w:rsid w:val="64991302"/>
    <w:rsid w:val="64996D7A"/>
    <w:rsid w:val="64A23D39"/>
    <w:rsid w:val="64A428D9"/>
    <w:rsid w:val="64A6510E"/>
    <w:rsid w:val="64A8685D"/>
    <w:rsid w:val="64AC5FBA"/>
    <w:rsid w:val="64AD07A3"/>
    <w:rsid w:val="64AF79D5"/>
    <w:rsid w:val="64B50DBB"/>
    <w:rsid w:val="64B54818"/>
    <w:rsid w:val="64BE33BF"/>
    <w:rsid w:val="64C26694"/>
    <w:rsid w:val="64C600B4"/>
    <w:rsid w:val="64C813BF"/>
    <w:rsid w:val="64CC4DD6"/>
    <w:rsid w:val="64CF458B"/>
    <w:rsid w:val="64D93533"/>
    <w:rsid w:val="64DA1435"/>
    <w:rsid w:val="64DA4A1C"/>
    <w:rsid w:val="64DB48CC"/>
    <w:rsid w:val="64DB79CA"/>
    <w:rsid w:val="64DF2CDA"/>
    <w:rsid w:val="64E64CF2"/>
    <w:rsid w:val="64ED649A"/>
    <w:rsid w:val="64EE3557"/>
    <w:rsid w:val="64EF5AB5"/>
    <w:rsid w:val="64F452BE"/>
    <w:rsid w:val="64F6342B"/>
    <w:rsid w:val="64FF66BC"/>
    <w:rsid w:val="650071B5"/>
    <w:rsid w:val="650319BC"/>
    <w:rsid w:val="65032EAE"/>
    <w:rsid w:val="6509515C"/>
    <w:rsid w:val="650A1163"/>
    <w:rsid w:val="650B6D38"/>
    <w:rsid w:val="65104F11"/>
    <w:rsid w:val="65123561"/>
    <w:rsid w:val="65172740"/>
    <w:rsid w:val="65181EEA"/>
    <w:rsid w:val="651D21E3"/>
    <w:rsid w:val="651E5B28"/>
    <w:rsid w:val="651F0995"/>
    <w:rsid w:val="651F3DEF"/>
    <w:rsid w:val="65210DFB"/>
    <w:rsid w:val="6525301A"/>
    <w:rsid w:val="65261672"/>
    <w:rsid w:val="65295C10"/>
    <w:rsid w:val="652B3FCA"/>
    <w:rsid w:val="652B4B12"/>
    <w:rsid w:val="652F2269"/>
    <w:rsid w:val="65305ABA"/>
    <w:rsid w:val="65322E64"/>
    <w:rsid w:val="65354AF8"/>
    <w:rsid w:val="653634E8"/>
    <w:rsid w:val="653C1CCA"/>
    <w:rsid w:val="653D5BB2"/>
    <w:rsid w:val="653F371B"/>
    <w:rsid w:val="65401511"/>
    <w:rsid w:val="65416977"/>
    <w:rsid w:val="654244FC"/>
    <w:rsid w:val="6544791B"/>
    <w:rsid w:val="65454066"/>
    <w:rsid w:val="6545408F"/>
    <w:rsid w:val="65460143"/>
    <w:rsid w:val="654A43CC"/>
    <w:rsid w:val="654F4E83"/>
    <w:rsid w:val="6556274E"/>
    <w:rsid w:val="65566253"/>
    <w:rsid w:val="65591A9A"/>
    <w:rsid w:val="655A7C6F"/>
    <w:rsid w:val="655D10E3"/>
    <w:rsid w:val="655D6E7B"/>
    <w:rsid w:val="65627656"/>
    <w:rsid w:val="65645B8D"/>
    <w:rsid w:val="65676C49"/>
    <w:rsid w:val="656F1365"/>
    <w:rsid w:val="65700D3D"/>
    <w:rsid w:val="65742688"/>
    <w:rsid w:val="6578758D"/>
    <w:rsid w:val="657B4134"/>
    <w:rsid w:val="657C5A6D"/>
    <w:rsid w:val="657E7318"/>
    <w:rsid w:val="65841B59"/>
    <w:rsid w:val="658A4C01"/>
    <w:rsid w:val="658B3FE4"/>
    <w:rsid w:val="659A0920"/>
    <w:rsid w:val="659C0270"/>
    <w:rsid w:val="659D18CE"/>
    <w:rsid w:val="659D3314"/>
    <w:rsid w:val="65A0602B"/>
    <w:rsid w:val="65A237BE"/>
    <w:rsid w:val="65A66285"/>
    <w:rsid w:val="65B34E9A"/>
    <w:rsid w:val="65B4484F"/>
    <w:rsid w:val="65B451FD"/>
    <w:rsid w:val="65B67E55"/>
    <w:rsid w:val="65B768B3"/>
    <w:rsid w:val="65B86DAF"/>
    <w:rsid w:val="65BE3A21"/>
    <w:rsid w:val="65C13331"/>
    <w:rsid w:val="65CA2EF9"/>
    <w:rsid w:val="65CB3FA7"/>
    <w:rsid w:val="65CB726D"/>
    <w:rsid w:val="65CC45DF"/>
    <w:rsid w:val="65CC699E"/>
    <w:rsid w:val="65CD0E80"/>
    <w:rsid w:val="65CD4EFF"/>
    <w:rsid w:val="65CE23F4"/>
    <w:rsid w:val="65D062B2"/>
    <w:rsid w:val="65D65C11"/>
    <w:rsid w:val="65E067B0"/>
    <w:rsid w:val="65E074A8"/>
    <w:rsid w:val="65E077D3"/>
    <w:rsid w:val="65E07AB8"/>
    <w:rsid w:val="65E24D38"/>
    <w:rsid w:val="65E30DBB"/>
    <w:rsid w:val="65E31B7F"/>
    <w:rsid w:val="65EC6FFD"/>
    <w:rsid w:val="65EE09E1"/>
    <w:rsid w:val="65FA6A01"/>
    <w:rsid w:val="65FB4028"/>
    <w:rsid w:val="65FB6C86"/>
    <w:rsid w:val="65FC5ABB"/>
    <w:rsid w:val="65FF1020"/>
    <w:rsid w:val="65FF7968"/>
    <w:rsid w:val="6600050C"/>
    <w:rsid w:val="66002EFE"/>
    <w:rsid w:val="6602644A"/>
    <w:rsid w:val="660701D0"/>
    <w:rsid w:val="660A13AF"/>
    <w:rsid w:val="660E22DD"/>
    <w:rsid w:val="6610790E"/>
    <w:rsid w:val="66116D9B"/>
    <w:rsid w:val="6612153F"/>
    <w:rsid w:val="661303EE"/>
    <w:rsid w:val="661D5D41"/>
    <w:rsid w:val="66214AB3"/>
    <w:rsid w:val="66244CB2"/>
    <w:rsid w:val="6626293D"/>
    <w:rsid w:val="662652E1"/>
    <w:rsid w:val="662E56B3"/>
    <w:rsid w:val="662F6FFA"/>
    <w:rsid w:val="6630632D"/>
    <w:rsid w:val="66345401"/>
    <w:rsid w:val="66373E03"/>
    <w:rsid w:val="6639686E"/>
    <w:rsid w:val="663A396C"/>
    <w:rsid w:val="663D0861"/>
    <w:rsid w:val="66417A44"/>
    <w:rsid w:val="66442ECA"/>
    <w:rsid w:val="664548EB"/>
    <w:rsid w:val="66487E58"/>
    <w:rsid w:val="664A70EE"/>
    <w:rsid w:val="664E7793"/>
    <w:rsid w:val="664F1A2C"/>
    <w:rsid w:val="66505677"/>
    <w:rsid w:val="6653488B"/>
    <w:rsid w:val="6653695D"/>
    <w:rsid w:val="665644CC"/>
    <w:rsid w:val="665724E2"/>
    <w:rsid w:val="66572FF0"/>
    <w:rsid w:val="665B4CF2"/>
    <w:rsid w:val="66604385"/>
    <w:rsid w:val="666258A4"/>
    <w:rsid w:val="66631533"/>
    <w:rsid w:val="66646C76"/>
    <w:rsid w:val="6666354A"/>
    <w:rsid w:val="666651A0"/>
    <w:rsid w:val="666744FB"/>
    <w:rsid w:val="666B0164"/>
    <w:rsid w:val="666B7060"/>
    <w:rsid w:val="666C095A"/>
    <w:rsid w:val="66713024"/>
    <w:rsid w:val="66722AA2"/>
    <w:rsid w:val="66745045"/>
    <w:rsid w:val="66746036"/>
    <w:rsid w:val="667B0CA8"/>
    <w:rsid w:val="667B5886"/>
    <w:rsid w:val="667E23DD"/>
    <w:rsid w:val="668119EC"/>
    <w:rsid w:val="6681357F"/>
    <w:rsid w:val="66851762"/>
    <w:rsid w:val="6686541F"/>
    <w:rsid w:val="66871C6D"/>
    <w:rsid w:val="66877F28"/>
    <w:rsid w:val="66893606"/>
    <w:rsid w:val="668E7B86"/>
    <w:rsid w:val="66900092"/>
    <w:rsid w:val="66900DB8"/>
    <w:rsid w:val="66903157"/>
    <w:rsid w:val="66922A89"/>
    <w:rsid w:val="669424F4"/>
    <w:rsid w:val="6697168B"/>
    <w:rsid w:val="66976A86"/>
    <w:rsid w:val="66983B03"/>
    <w:rsid w:val="669B5D28"/>
    <w:rsid w:val="669C16FE"/>
    <w:rsid w:val="669F3EFE"/>
    <w:rsid w:val="66A003FF"/>
    <w:rsid w:val="66A133EE"/>
    <w:rsid w:val="66A374A7"/>
    <w:rsid w:val="66A67345"/>
    <w:rsid w:val="66AD1499"/>
    <w:rsid w:val="66AD37A9"/>
    <w:rsid w:val="66AE1A0C"/>
    <w:rsid w:val="66AF5716"/>
    <w:rsid w:val="66AF771A"/>
    <w:rsid w:val="66B04F65"/>
    <w:rsid w:val="66B5094E"/>
    <w:rsid w:val="66B642AB"/>
    <w:rsid w:val="66B76A24"/>
    <w:rsid w:val="66C02B73"/>
    <w:rsid w:val="66C06587"/>
    <w:rsid w:val="66C36E05"/>
    <w:rsid w:val="66D6382C"/>
    <w:rsid w:val="66DD5845"/>
    <w:rsid w:val="66DE59E1"/>
    <w:rsid w:val="66E4138B"/>
    <w:rsid w:val="66E85B8F"/>
    <w:rsid w:val="66EB2320"/>
    <w:rsid w:val="66EB265F"/>
    <w:rsid w:val="66EB702E"/>
    <w:rsid w:val="66ED2613"/>
    <w:rsid w:val="66EF48B6"/>
    <w:rsid w:val="66F24623"/>
    <w:rsid w:val="66FA05EA"/>
    <w:rsid w:val="66FA56F6"/>
    <w:rsid w:val="66FA61B3"/>
    <w:rsid w:val="66FE6695"/>
    <w:rsid w:val="6701189F"/>
    <w:rsid w:val="670509F3"/>
    <w:rsid w:val="67080FFD"/>
    <w:rsid w:val="670A2CD9"/>
    <w:rsid w:val="670B3DCA"/>
    <w:rsid w:val="670D454E"/>
    <w:rsid w:val="67140511"/>
    <w:rsid w:val="67146E2B"/>
    <w:rsid w:val="67172231"/>
    <w:rsid w:val="671A0A43"/>
    <w:rsid w:val="671B15AD"/>
    <w:rsid w:val="67220888"/>
    <w:rsid w:val="67221115"/>
    <w:rsid w:val="67250D34"/>
    <w:rsid w:val="67290F33"/>
    <w:rsid w:val="672C169A"/>
    <w:rsid w:val="672D39B9"/>
    <w:rsid w:val="672F0C51"/>
    <w:rsid w:val="673005DE"/>
    <w:rsid w:val="673364F3"/>
    <w:rsid w:val="6737096D"/>
    <w:rsid w:val="67377A23"/>
    <w:rsid w:val="673955EF"/>
    <w:rsid w:val="673C22FF"/>
    <w:rsid w:val="673C35A7"/>
    <w:rsid w:val="673D04B5"/>
    <w:rsid w:val="673E5C2B"/>
    <w:rsid w:val="673F77E0"/>
    <w:rsid w:val="67484EBA"/>
    <w:rsid w:val="674E6376"/>
    <w:rsid w:val="67534F20"/>
    <w:rsid w:val="67537B80"/>
    <w:rsid w:val="67540D39"/>
    <w:rsid w:val="675470FA"/>
    <w:rsid w:val="675779FC"/>
    <w:rsid w:val="67594E9F"/>
    <w:rsid w:val="675E0A46"/>
    <w:rsid w:val="675F32C5"/>
    <w:rsid w:val="67610119"/>
    <w:rsid w:val="676721AE"/>
    <w:rsid w:val="67692282"/>
    <w:rsid w:val="676933CC"/>
    <w:rsid w:val="676A4755"/>
    <w:rsid w:val="676F6ACE"/>
    <w:rsid w:val="67703610"/>
    <w:rsid w:val="6778258E"/>
    <w:rsid w:val="677A572C"/>
    <w:rsid w:val="67811E80"/>
    <w:rsid w:val="678271A7"/>
    <w:rsid w:val="67840C19"/>
    <w:rsid w:val="67857F37"/>
    <w:rsid w:val="67865088"/>
    <w:rsid w:val="678862C7"/>
    <w:rsid w:val="678D225D"/>
    <w:rsid w:val="678D6217"/>
    <w:rsid w:val="67955D61"/>
    <w:rsid w:val="679879D6"/>
    <w:rsid w:val="679D769D"/>
    <w:rsid w:val="679F7F5B"/>
    <w:rsid w:val="67A131BC"/>
    <w:rsid w:val="67A3700A"/>
    <w:rsid w:val="67AC6C58"/>
    <w:rsid w:val="67B04862"/>
    <w:rsid w:val="67B12DB5"/>
    <w:rsid w:val="67B264BC"/>
    <w:rsid w:val="67B84416"/>
    <w:rsid w:val="67C24C30"/>
    <w:rsid w:val="67C42D92"/>
    <w:rsid w:val="67C47743"/>
    <w:rsid w:val="67C525F3"/>
    <w:rsid w:val="67C53337"/>
    <w:rsid w:val="67C86F0C"/>
    <w:rsid w:val="67CA64D7"/>
    <w:rsid w:val="67CC2023"/>
    <w:rsid w:val="67CC40B1"/>
    <w:rsid w:val="67D0456F"/>
    <w:rsid w:val="67D96379"/>
    <w:rsid w:val="67DA1999"/>
    <w:rsid w:val="67DA2BD0"/>
    <w:rsid w:val="67E14133"/>
    <w:rsid w:val="67E66CCE"/>
    <w:rsid w:val="67EA7E5F"/>
    <w:rsid w:val="67EC21DB"/>
    <w:rsid w:val="67F367C9"/>
    <w:rsid w:val="67F44B1F"/>
    <w:rsid w:val="67F9488E"/>
    <w:rsid w:val="67F949EB"/>
    <w:rsid w:val="67FB5971"/>
    <w:rsid w:val="67FC0E1F"/>
    <w:rsid w:val="67FD0F04"/>
    <w:rsid w:val="67FD7072"/>
    <w:rsid w:val="67FE2E29"/>
    <w:rsid w:val="67FE33F0"/>
    <w:rsid w:val="6802044C"/>
    <w:rsid w:val="68035D04"/>
    <w:rsid w:val="68067D58"/>
    <w:rsid w:val="681112C1"/>
    <w:rsid w:val="68115F91"/>
    <w:rsid w:val="68145290"/>
    <w:rsid w:val="681475FF"/>
    <w:rsid w:val="68172D6D"/>
    <w:rsid w:val="681B0B90"/>
    <w:rsid w:val="681B350B"/>
    <w:rsid w:val="681F1774"/>
    <w:rsid w:val="682B7435"/>
    <w:rsid w:val="682C47B4"/>
    <w:rsid w:val="682D0FAE"/>
    <w:rsid w:val="682D3D83"/>
    <w:rsid w:val="682E742C"/>
    <w:rsid w:val="682F737B"/>
    <w:rsid w:val="68316D45"/>
    <w:rsid w:val="68341CB7"/>
    <w:rsid w:val="68356FF5"/>
    <w:rsid w:val="68374CB4"/>
    <w:rsid w:val="68392316"/>
    <w:rsid w:val="6840449F"/>
    <w:rsid w:val="68424438"/>
    <w:rsid w:val="6842563B"/>
    <w:rsid w:val="68467169"/>
    <w:rsid w:val="6846732F"/>
    <w:rsid w:val="684809A0"/>
    <w:rsid w:val="68490983"/>
    <w:rsid w:val="684D15A8"/>
    <w:rsid w:val="68553398"/>
    <w:rsid w:val="68553707"/>
    <w:rsid w:val="685574D5"/>
    <w:rsid w:val="685B1093"/>
    <w:rsid w:val="685D44B1"/>
    <w:rsid w:val="685D70DA"/>
    <w:rsid w:val="68636B00"/>
    <w:rsid w:val="68651EB1"/>
    <w:rsid w:val="68661EB0"/>
    <w:rsid w:val="68664D88"/>
    <w:rsid w:val="68671190"/>
    <w:rsid w:val="686A39B7"/>
    <w:rsid w:val="686B57AA"/>
    <w:rsid w:val="686F734F"/>
    <w:rsid w:val="68713987"/>
    <w:rsid w:val="687C6EE9"/>
    <w:rsid w:val="687F1A63"/>
    <w:rsid w:val="687F2327"/>
    <w:rsid w:val="68842FBF"/>
    <w:rsid w:val="6884552D"/>
    <w:rsid w:val="6885138D"/>
    <w:rsid w:val="68871E14"/>
    <w:rsid w:val="68894E59"/>
    <w:rsid w:val="688966A9"/>
    <w:rsid w:val="688A2BD1"/>
    <w:rsid w:val="688E316B"/>
    <w:rsid w:val="688F056D"/>
    <w:rsid w:val="689225F7"/>
    <w:rsid w:val="689648C3"/>
    <w:rsid w:val="689B7943"/>
    <w:rsid w:val="689E4316"/>
    <w:rsid w:val="689F2A6A"/>
    <w:rsid w:val="68A00BAA"/>
    <w:rsid w:val="68A01922"/>
    <w:rsid w:val="68A8141E"/>
    <w:rsid w:val="68A963AC"/>
    <w:rsid w:val="68AA70D4"/>
    <w:rsid w:val="68B814C3"/>
    <w:rsid w:val="68BB3DE9"/>
    <w:rsid w:val="68C47301"/>
    <w:rsid w:val="68C61A97"/>
    <w:rsid w:val="68C943AE"/>
    <w:rsid w:val="68CC22D3"/>
    <w:rsid w:val="68CF0054"/>
    <w:rsid w:val="68CF4E28"/>
    <w:rsid w:val="68D15496"/>
    <w:rsid w:val="68D15CBB"/>
    <w:rsid w:val="68D6185B"/>
    <w:rsid w:val="68D71A61"/>
    <w:rsid w:val="68D73090"/>
    <w:rsid w:val="68DF042E"/>
    <w:rsid w:val="68DF5F63"/>
    <w:rsid w:val="68E2345B"/>
    <w:rsid w:val="68E63C3A"/>
    <w:rsid w:val="68EB3434"/>
    <w:rsid w:val="68EE6BDD"/>
    <w:rsid w:val="68F234C1"/>
    <w:rsid w:val="68FA7A2B"/>
    <w:rsid w:val="68FC55BF"/>
    <w:rsid w:val="68FF0321"/>
    <w:rsid w:val="69034C88"/>
    <w:rsid w:val="69041334"/>
    <w:rsid w:val="69064CE7"/>
    <w:rsid w:val="6906605B"/>
    <w:rsid w:val="690749C1"/>
    <w:rsid w:val="69092F8A"/>
    <w:rsid w:val="690A5AC4"/>
    <w:rsid w:val="691379CE"/>
    <w:rsid w:val="69145432"/>
    <w:rsid w:val="691A07DC"/>
    <w:rsid w:val="691A352B"/>
    <w:rsid w:val="691B53E9"/>
    <w:rsid w:val="691C6159"/>
    <w:rsid w:val="691F1A6C"/>
    <w:rsid w:val="6920493F"/>
    <w:rsid w:val="692836A9"/>
    <w:rsid w:val="692F7526"/>
    <w:rsid w:val="6930191E"/>
    <w:rsid w:val="69303CF5"/>
    <w:rsid w:val="69335FED"/>
    <w:rsid w:val="69336744"/>
    <w:rsid w:val="69355DB7"/>
    <w:rsid w:val="693917CA"/>
    <w:rsid w:val="69396709"/>
    <w:rsid w:val="693D29BD"/>
    <w:rsid w:val="693F2F4E"/>
    <w:rsid w:val="693F61C7"/>
    <w:rsid w:val="693F66D8"/>
    <w:rsid w:val="693F6BA6"/>
    <w:rsid w:val="69402C25"/>
    <w:rsid w:val="694050C4"/>
    <w:rsid w:val="69492025"/>
    <w:rsid w:val="694B400D"/>
    <w:rsid w:val="694E6B89"/>
    <w:rsid w:val="69504CA1"/>
    <w:rsid w:val="69515725"/>
    <w:rsid w:val="6952529C"/>
    <w:rsid w:val="695327C1"/>
    <w:rsid w:val="695474AE"/>
    <w:rsid w:val="69560D0B"/>
    <w:rsid w:val="695B3FC4"/>
    <w:rsid w:val="695C13A9"/>
    <w:rsid w:val="695C5CA7"/>
    <w:rsid w:val="695F56EB"/>
    <w:rsid w:val="696517E5"/>
    <w:rsid w:val="696A30E6"/>
    <w:rsid w:val="696C4A60"/>
    <w:rsid w:val="69703C7E"/>
    <w:rsid w:val="69721F73"/>
    <w:rsid w:val="697276C3"/>
    <w:rsid w:val="69767466"/>
    <w:rsid w:val="6982526D"/>
    <w:rsid w:val="69843BF4"/>
    <w:rsid w:val="69863D3E"/>
    <w:rsid w:val="69877F7C"/>
    <w:rsid w:val="69882279"/>
    <w:rsid w:val="698838EE"/>
    <w:rsid w:val="69886F57"/>
    <w:rsid w:val="69931B46"/>
    <w:rsid w:val="69936EF0"/>
    <w:rsid w:val="699655CB"/>
    <w:rsid w:val="699A525B"/>
    <w:rsid w:val="699C434B"/>
    <w:rsid w:val="69A318B7"/>
    <w:rsid w:val="69A3715D"/>
    <w:rsid w:val="69A3744B"/>
    <w:rsid w:val="69A45707"/>
    <w:rsid w:val="69A6431E"/>
    <w:rsid w:val="69AB6EEA"/>
    <w:rsid w:val="69AE3E86"/>
    <w:rsid w:val="69B1736F"/>
    <w:rsid w:val="69B351A6"/>
    <w:rsid w:val="69B72BEB"/>
    <w:rsid w:val="69B76F89"/>
    <w:rsid w:val="69BD7758"/>
    <w:rsid w:val="69C24F94"/>
    <w:rsid w:val="69C278E2"/>
    <w:rsid w:val="69C32F29"/>
    <w:rsid w:val="69C4551F"/>
    <w:rsid w:val="69C57685"/>
    <w:rsid w:val="69C91F49"/>
    <w:rsid w:val="69CA7ADE"/>
    <w:rsid w:val="69CD5738"/>
    <w:rsid w:val="69CE3860"/>
    <w:rsid w:val="69CF2FCB"/>
    <w:rsid w:val="69D05DBD"/>
    <w:rsid w:val="69D0656E"/>
    <w:rsid w:val="69D131AE"/>
    <w:rsid w:val="69D26747"/>
    <w:rsid w:val="69D7630B"/>
    <w:rsid w:val="69D81DB2"/>
    <w:rsid w:val="69DE48C0"/>
    <w:rsid w:val="69DF405F"/>
    <w:rsid w:val="69DF47E9"/>
    <w:rsid w:val="69DF4AE4"/>
    <w:rsid w:val="69E02603"/>
    <w:rsid w:val="69E17667"/>
    <w:rsid w:val="69E31C65"/>
    <w:rsid w:val="69E35162"/>
    <w:rsid w:val="69E4284D"/>
    <w:rsid w:val="69E7121F"/>
    <w:rsid w:val="69EE31F6"/>
    <w:rsid w:val="69F96E97"/>
    <w:rsid w:val="69FB37FA"/>
    <w:rsid w:val="69FD6F68"/>
    <w:rsid w:val="69FF6C99"/>
    <w:rsid w:val="69FF7B8F"/>
    <w:rsid w:val="6A022D1D"/>
    <w:rsid w:val="6A06443B"/>
    <w:rsid w:val="6A0D7BA8"/>
    <w:rsid w:val="6A1106D1"/>
    <w:rsid w:val="6A135E2D"/>
    <w:rsid w:val="6A1402D9"/>
    <w:rsid w:val="6A142CE6"/>
    <w:rsid w:val="6A15232F"/>
    <w:rsid w:val="6A1776B9"/>
    <w:rsid w:val="6A1B3156"/>
    <w:rsid w:val="6A1C2AFE"/>
    <w:rsid w:val="6A1D3DDA"/>
    <w:rsid w:val="6A1F350C"/>
    <w:rsid w:val="6A203D2B"/>
    <w:rsid w:val="6A280156"/>
    <w:rsid w:val="6A292734"/>
    <w:rsid w:val="6A2A5182"/>
    <w:rsid w:val="6A2E6769"/>
    <w:rsid w:val="6A324833"/>
    <w:rsid w:val="6A3C3E89"/>
    <w:rsid w:val="6A3D1A64"/>
    <w:rsid w:val="6A3E0EBA"/>
    <w:rsid w:val="6A3E1028"/>
    <w:rsid w:val="6A3E1ACD"/>
    <w:rsid w:val="6A3E7E21"/>
    <w:rsid w:val="6A433DCF"/>
    <w:rsid w:val="6A452BA9"/>
    <w:rsid w:val="6A4E4678"/>
    <w:rsid w:val="6A4E6BD0"/>
    <w:rsid w:val="6A530D92"/>
    <w:rsid w:val="6A541D9E"/>
    <w:rsid w:val="6A55679E"/>
    <w:rsid w:val="6A5645BC"/>
    <w:rsid w:val="6A5714AC"/>
    <w:rsid w:val="6A582C81"/>
    <w:rsid w:val="6A5A4782"/>
    <w:rsid w:val="6A5B10FB"/>
    <w:rsid w:val="6A633CCB"/>
    <w:rsid w:val="6A6441A0"/>
    <w:rsid w:val="6A6665C3"/>
    <w:rsid w:val="6A6A211D"/>
    <w:rsid w:val="6A6E78DB"/>
    <w:rsid w:val="6A721BE2"/>
    <w:rsid w:val="6A733C4A"/>
    <w:rsid w:val="6A745F3E"/>
    <w:rsid w:val="6A752EE0"/>
    <w:rsid w:val="6A7708B9"/>
    <w:rsid w:val="6A776B8B"/>
    <w:rsid w:val="6A832634"/>
    <w:rsid w:val="6A840EA1"/>
    <w:rsid w:val="6A841C25"/>
    <w:rsid w:val="6A886923"/>
    <w:rsid w:val="6A890052"/>
    <w:rsid w:val="6A890544"/>
    <w:rsid w:val="6A891026"/>
    <w:rsid w:val="6A8A6F8E"/>
    <w:rsid w:val="6A8D1E6B"/>
    <w:rsid w:val="6A8F7885"/>
    <w:rsid w:val="6A9065FC"/>
    <w:rsid w:val="6A946214"/>
    <w:rsid w:val="6A953EEA"/>
    <w:rsid w:val="6A96334A"/>
    <w:rsid w:val="6A9706F4"/>
    <w:rsid w:val="6A997214"/>
    <w:rsid w:val="6A9A7CCE"/>
    <w:rsid w:val="6A9B4C32"/>
    <w:rsid w:val="6AA02980"/>
    <w:rsid w:val="6AA251C7"/>
    <w:rsid w:val="6AAA2D68"/>
    <w:rsid w:val="6AAB4D01"/>
    <w:rsid w:val="6AAF0DA4"/>
    <w:rsid w:val="6AB15C38"/>
    <w:rsid w:val="6AB21842"/>
    <w:rsid w:val="6AB25965"/>
    <w:rsid w:val="6ABA4F51"/>
    <w:rsid w:val="6AC00E5F"/>
    <w:rsid w:val="6AC2503D"/>
    <w:rsid w:val="6AC6622A"/>
    <w:rsid w:val="6AC91345"/>
    <w:rsid w:val="6ACB3600"/>
    <w:rsid w:val="6ACC6695"/>
    <w:rsid w:val="6ACD0725"/>
    <w:rsid w:val="6AD15E1A"/>
    <w:rsid w:val="6AD22068"/>
    <w:rsid w:val="6AD612AB"/>
    <w:rsid w:val="6AD8301C"/>
    <w:rsid w:val="6ADF5E3A"/>
    <w:rsid w:val="6AE31AFD"/>
    <w:rsid w:val="6AEB6821"/>
    <w:rsid w:val="6AED2923"/>
    <w:rsid w:val="6AEE46BE"/>
    <w:rsid w:val="6AEE6E2A"/>
    <w:rsid w:val="6AEF684C"/>
    <w:rsid w:val="6AF231B4"/>
    <w:rsid w:val="6AF467B8"/>
    <w:rsid w:val="6AF74AE5"/>
    <w:rsid w:val="6AF8400C"/>
    <w:rsid w:val="6AF904E7"/>
    <w:rsid w:val="6B01163B"/>
    <w:rsid w:val="6B012366"/>
    <w:rsid w:val="6B0247C9"/>
    <w:rsid w:val="6B0427A4"/>
    <w:rsid w:val="6B0670FE"/>
    <w:rsid w:val="6B070232"/>
    <w:rsid w:val="6B07641E"/>
    <w:rsid w:val="6B0A5A57"/>
    <w:rsid w:val="6B0E246C"/>
    <w:rsid w:val="6B0E4612"/>
    <w:rsid w:val="6B0F4989"/>
    <w:rsid w:val="6B110E17"/>
    <w:rsid w:val="6B121B15"/>
    <w:rsid w:val="6B12200F"/>
    <w:rsid w:val="6B162320"/>
    <w:rsid w:val="6B1801E1"/>
    <w:rsid w:val="6B1B789B"/>
    <w:rsid w:val="6B1B7F7D"/>
    <w:rsid w:val="6B1C34EB"/>
    <w:rsid w:val="6B1C707B"/>
    <w:rsid w:val="6B1F7FD6"/>
    <w:rsid w:val="6B221DC4"/>
    <w:rsid w:val="6B230B27"/>
    <w:rsid w:val="6B25151E"/>
    <w:rsid w:val="6B2640BC"/>
    <w:rsid w:val="6B2B5C16"/>
    <w:rsid w:val="6B321E29"/>
    <w:rsid w:val="6B38736A"/>
    <w:rsid w:val="6B393D3A"/>
    <w:rsid w:val="6B3C4235"/>
    <w:rsid w:val="6B401967"/>
    <w:rsid w:val="6B440E33"/>
    <w:rsid w:val="6B446851"/>
    <w:rsid w:val="6B49411D"/>
    <w:rsid w:val="6B4A04C3"/>
    <w:rsid w:val="6B4B7405"/>
    <w:rsid w:val="6B4E0AD9"/>
    <w:rsid w:val="6B52045C"/>
    <w:rsid w:val="6B523212"/>
    <w:rsid w:val="6B525288"/>
    <w:rsid w:val="6B5605C9"/>
    <w:rsid w:val="6B5634E4"/>
    <w:rsid w:val="6B571E9F"/>
    <w:rsid w:val="6B576EBE"/>
    <w:rsid w:val="6B5851D5"/>
    <w:rsid w:val="6B5879E4"/>
    <w:rsid w:val="6B5919C0"/>
    <w:rsid w:val="6B5A39A3"/>
    <w:rsid w:val="6B5A4EBB"/>
    <w:rsid w:val="6B5A7990"/>
    <w:rsid w:val="6B5F4B4D"/>
    <w:rsid w:val="6B6332E1"/>
    <w:rsid w:val="6B64440D"/>
    <w:rsid w:val="6B695AE2"/>
    <w:rsid w:val="6B6B750C"/>
    <w:rsid w:val="6B6F0044"/>
    <w:rsid w:val="6B782BB9"/>
    <w:rsid w:val="6B7A3EB5"/>
    <w:rsid w:val="6B7D0F10"/>
    <w:rsid w:val="6B7E53C1"/>
    <w:rsid w:val="6B860593"/>
    <w:rsid w:val="6B8605B9"/>
    <w:rsid w:val="6B8629E7"/>
    <w:rsid w:val="6B875D7A"/>
    <w:rsid w:val="6B882F56"/>
    <w:rsid w:val="6B8A5E36"/>
    <w:rsid w:val="6B8B2746"/>
    <w:rsid w:val="6B8B6B21"/>
    <w:rsid w:val="6B9960BB"/>
    <w:rsid w:val="6B9B615B"/>
    <w:rsid w:val="6B9E17F3"/>
    <w:rsid w:val="6BA13FFD"/>
    <w:rsid w:val="6BA6136E"/>
    <w:rsid w:val="6BAD137F"/>
    <w:rsid w:val="6BAE0674"/>
    <w:rsid w:val="6BAE7BF6"/>
    <w:rsid w:val="6BB02334"/>
    <w:rsid w:val="6BB20776"/>
    <w:rsid w:val="6BB327F8"/>
    <w:rsid w:val="6BB430DF"/>
    <w:rsid w:val="6BB473CA"/>
    <w:rsid w:val="6BB84B3C"/>
    <w:rsid w:val="6BBE54E4"/>
    <w:rsid w:val="6BC10496"/>
    <w:rsid w:val="6BC25050"/>
    <w:rsid w:val="6BC31CD9"/>
    <w:rsid w:val="6BCA083E"/>
    <w:rsid w:val="6BCE0405"/>
    <w:rsid w:val="6BD101D1"/>
    <w:rsid w:val="6BD14C01"/>
    <w:rsid w:val="6BD6313F"/>
    <w:rsid w:val="6BD95691"/>
    <w:rsid w:val="6BDA4370"/>
    <w:rsid w:val="6BDA75D1"/>
    <w:rsid w:val="6BDD2A2F"/>
    <w:rsid w:val="6BDF4579"/>
    <w:rsid w:val="6BE037C8"/>
    <w:rsid w:val="6BE63BED"/>
    <w:rsid w:val="6BE762A5"/>
    <w:rsid w:val="6BEB61E3"/>
    <w:rsid w:val="6BEF1030"/>
    <w:rsid w:val="6BEF49A3"/>
    <w:rsid w:val="6BF07D11"/>
    <w:rsid w:val="6BF20807"/>
    <w:rsid w:val="6BF25F77"/>
    <w:rsid w:val="6BF26C5B"/>
    <w:rsid w:val="6BF37472"/>
    <w:rsid w:val="6BF92C1F"/>
    <w:rsid w:val="6BFD3494"/>
    <w:rsid w:val="6BFD3F2B"/>
    <w:rsid w:val="6BFE07DA"/>
    <w:rsid w:val="6BFE5A28"/>
    <w:rsid w:val="6BFF1C89"/>
    <w:rsid w:val="6BFF2AD0"/>
    <w:rsid w:val="6BFF3B14"/>
    <w:rsid w:val="6C05169C"/>
    <w:rsid w:val="6C0A7223"/>
    <w:rsid w:val="6C105ABC"/>
    <w:rsid w:val="6C1547AA"/>
    <w:rsid w:val="6C171644"/>
    <w:rsid w:val="6C1B3080"/>
    <w:rsid w:val="6C1B359C"/>
    <w:rsid w:val="6C1B7DA0"/>
    <w:rsid w:val="6C1E0215"/>
    <w:rsid w:val="6C2A392B"/>
    <w:rsid w:val="6C33276C"/>
    <w:rsid w:val="6C344B40"/>
    <w:rsid w:val="6C354B9F"/>
    <w:rsid w:val="6C371509"/>
    <w:rsid w:val="6C377845"/>
    <w:rsid w:val="6C392C04"/>
    <w:rsid w:val="6C3A13BE"/>
    <w:rsid w:val="6C4117ED"/>
    <w:rsid w:val="6C456BA5"/>
    <w:rsid w:val="6C463C93"/>
    <w:rsid w:val="6C4A3FA8"/>
    <w:rsid w:val="6C4C1DE1"/>
    <w:rsid w:val="6C4E5195"/>
    <w:rsid w:val="6C4F6480"/>
    <w:rsid w:val="6C507FC1"/>
    <w:rsid w:val="6C5243FB"/>
    <w:rsid w:val="6C5369E1"/>
    <w:rsid w:val="6C565609"/>
    <w:rsid w:val="6C6046D5"/>
    <w:rsid w:val="6C620B16"/>
    <w:rsid w:val="6C63660F"/>
    <w:rsid w:val="6C6636CA"/>
    <w:rsid w:val="6C677A8F"/>
    <w:rsid w:val="6C690D14"/>
    <w:rsid w:val="6C6B23D9"/>
    <w:rsid w:val="6C6E7FAE"/>
    <w:rsid w:val="6C6F5037"/>
    <w:rsid w:val="6C703C86"/>
    <w:rsid w:val="6C713E74"/>
    <w:rsid w:val="6C721208"/>
    <w:rsid w:val="6C725F7B"/>
    <w:rsid w:val="6C786381"/>
    <w:rsid w:val="6C7A1884"/>
    <w:rsid w:val="6C7A75B7"/>
    <w:rsid w:val="6C7E3BDF"/>
    <w:rsid w:val="6C810330"/>
    <w:rsid w:val="6C82427E"/>
    <w:rsid w:val="6C8446AF"/>
    <w:rsid w:val="6C872941"/>
    <w:rsid w:val="6C88016A"/>
    <w:rsid w:val="6C8B1A5D"/>
    <w:rsid w:val="6C8C18D2"/>
    <w:rsid w:val="6C925723"/>
    <w:rsid w:val="6C946631"/>
    <w:rsid w:val="6C955E84"/>
    <w:rsid w:val="6C96352B"/>
    <w:rsid w:val="6C9D7A3B"/>
    <w:rsid w:val="6CA31FBD"/>
    <w:rsid w:val="6CA433D3"/>
    <w:rsid w:val="6CA5754F"/>
    <w:rsid w:val="6CA969B8"/>
    <w:rsid w:val="6CAB49EB"/>
    <w:rsid w:val="6CAC413E"/>
    <w:rsid w:val="6CAF22EB"/>
    <w:rsid w:val="6CB36EFE"/>
    <w:rsid w:val="6CB46AB9"/>
    <w:rsid w:val="6CB64588"/>
    <w:rsid w:val="6CB74A5C"/>
    <w:rsid w:val="6CBA6A74"/>
    <w:rsid w:val="6CBD01C1"/>
    <w:rsid w:val="6CC2202C"/>
    <w:rsid w:val="6CC42F8B"/>
    <w:rsid w:val="6CC50080"/>
    <w:rsid w:val="6CC8677C"/>
    <w:rsid w:val="6CCA6178"/>
    <w:rsid w:val="6CCB271D"/>
    <w:rsid w:val="6CCB65B3"/>
    <w:rsid w:val="6CCC6B28"/>
    <w:rsid w:val="6CCE3D6E"/>
    <w:rsid w:val="6CCE7E6A"/>
    <w:rsid w:val="6CD02052"/>
    <w:rsid w:val="6CD97FBA"/>
    <w:rsid w:val="6CDD6B17"/>
    <w:rsid w:val="6CE54B39"/>
    <w:rsid w:val="6CE6163F"/>
    <w:rsid w:val="6CE97794"/>
    <w:rsid w:val="6CEA2972"/>
    <w:rsid w:val="6CEA5F58"/>
    <w:rsid w:val="6CEB20AA"/>
    <w:rsid w:val="6CEE70C8"/>
    <w:rsid w:val="6CEF43B4"/>
    <w:rsid w:val="6CF2057F"/>
    <w:rsid w:val="6CF21E13"/>
    <w:rsid w:val="6CF226C9"/>
    <w:rsid w:val="6CF24E11"/>
    <w:rsid w:val="6CF3037A"/>
    <w:rsid w:val="6CFC2A57"/>
    <w:rsid w:val="6CFF35D5"/>
    <w:rsid w:val="6D034DD2"/>
    <w:rsid w:val="6D0430A7"/>
    <w:rsid w:val="6D044526"/>
    <w:rsid w:val="6D100C92"/>
    <w:rsid w:val="6D10341C"/>
    <w:rsid w:val="6D110F5E"/>
    <w:rsid w:val="6D115292"/>
    <w:rsid w:val="6D12622B"/>
    <w:rsid w:val="6D133E85"/>
    <w:rsid w:val="6D181196"/>
    <w:rsid w:val="6D1D5EF5"/>
    <w:rsid w:val="6D1E2DF7"/>
    <w:rsid w:val="6D20615A"/>
    <w:rsid w:val="6D21033C"/>
    <w:rsid w:val="6D224497"/>
    <w:rsid w:val="6D230418"/>
    <w:rsid w:val="6D2379C6"/>
    <w:rsid w:val="6D270E0B"/>
    <w:rsid w:val="6D286270"/>
    <w:rsid w:val="6D2C52E2"/>
    <w:rsid w:val="6D2D19EE"/>
    <w:rsid w:val="6D2E56D8"/>
    <w:rsid w:val="6D305D74"/>
    <w:rsid w:val="6D34094C"/>
    <w:rsid w:val="6D366627"/>
    <w:rsid w:val="6D3934B3"/>
    <w:rsid w:val="6D3B1CDF"/>
    <w:rsid w:val="6D3C2036"/>
    <w:rsid w:val="6D402DD0"/>
    <w:rsid w:val="6D4132E7"/>
    <w:rsid w:val="6D443B04"/>
    <w:rsid w:val="6D472769"/>
    <w:rsid w:val="6D4929C3"/>
    <w:rsid w:val="6D493E38"/>
    <w:rsid w:val="6D4E369C"/>
    <w:rsid w:val="6D4E46C7"/>
    <w:rsid w:val="6D4E4F84"/>
    <w:rsid w:val="6D5020CB"/>
    <w:rsid w:val="6D51214E"/>
    <w:rsid w:val="6D540A7A"/>
    <w:rsid w:val="6D5763E0"/>
    <w:rsid w:val="6D590556"/>
    <w:rsid w:val="6D5A7722"/>
    <w:rsid w:val="6D5B6DBA"/>
    <w:rsid w:val="6D5C317E"/>
    <w:rsid w:val="6D5C74A8"/>
    <w:rsid w:val="6D5C7788"/>
    <w:rsid w:val="6D5F3B91"/>
    <w:rsid w:val="6D643F99"/>
    <w:rsid w:val="6D665263"/>
    <w:rsid w:val="6D680969"/>
    <w:rsid w:val="6D714F90"/>
    <w:rsid w:val="6D716115"/>
    <w:rsid w:val="6D7176A7"/>
    <w:rsid w:val="6D7364FF"/>
    <w:rsid w:val="6D73702F"/>
    <w:rsid w:val="6D745083"/>
    <w:rsid w:val="6D7701C1"/>
    <w:rsid w:val="6D790EB0"/>
    <w:rsid w:val="6D7922FF"/>
    <w:rsid w:val="6D7E5523"/>
    <w:rsid w:val="6D8615B2"/>
    <w:rsid w:val="6D8A6E8C"/>
    <w:rsid w:val="6D8D7457"/>
    <w:rsid w:val="6D902A4F"/>
    <w:rsid w:val="6D9739CD"/>
    <w:rsid w:val="6D9B6438"/>
    <w:rsid w:val="6DA00DFE"/>
    <w:rsid w:val="6DA84178"/>
    <w:rsid w:val="6DA84872"/>
    <w:rsid w:val="6DA868C7"/>
    <w:rsid w:val="6DA8706F"/>
    <w:rsid w:val="6DA908BA"/>
    <w:rsid w:val="6DA91524"/>
    <w:rsid w:val="6DAA6001"/>
    <w:rsid w:val="6DAD6ECF"/>
    <w:rsid w:val="6DB3109D"/>
    <w:rsid w:val="6DC37A92"/>
    <w:rsid w:val="6DC55B73"/>
    <w:rsid w:val="6DC56B72"/>
    <w:rsid w:val="6DC6157D"/>
    <w:rsid w:val="6DC86FD7"/>
    <w:rsid w:val="6DCA2B0C"/>
    <w:rsid w:val="6DD020D8"/>
    <w:rsid w:val="6DD23DF5"/>
    <w:rsid w:val="6DD42A32"/>
    <w:rsid w:val="6DD5348F"/>
    <w:rsid w:val="6DDA4FE1"/>
    <w:rsid w:val="6DDB1A08"/>
    <w:rsid w:val="6DDD58EA"/>
    <w:rsid w:val="6DDE18CF"/>
    <w:rsid w:val="6DE3410F"/>
    <w:rsid w:val="6DE3492E"/>
    <w:rsid w:val="6DE6184B"/>
    <w:rsid w:val="6DEB1E9E"/>
    <w:rsid w:val="6DED1F82"/>
    <w:rsid w:val="6DEF6EE9"/>
    <w:rsid w:val="6DEF748F"/>
    <w:rsid w:val="6DF2075B"/>
    <w:rsid w:val="6DF54435"/>
    <w:rsid w:val="6DF62F0A"/>
    <w:rsid w:val="6DF72A76"/>
    <w:rsid w:val="6DF8771C"/>
    <w:rsid w:val="6DFA259C"/>
    <w:rsid w:val="6DFB54B0"/>
    <w:rsid w:val="6DFF7F3B"/>
    <w:rsid w:val="6E011447"/>
    <w:rsid w:val="6E0358B2"/>
    <w:rsid w:val="6E05203A"/>
    <w:rsid w:val="6E0E26A8"/>
    <w:rsid w:val="6E100BBA"/>
    <w:rsid w:val="6E164475"/>
    <w:rsid w:val="6E1A04C9"/>
    <w:rsid w:val="6E1A3442"/>
    <w:rsid w:val="6E1C150F"/>
    <w:rsid w:val="6E1D37C8"/>
    <w:rsid w:val="6E267D6E"/>
    <w:rsid w:val="6E282401"/>
    <w:rsid w:val="6E2A30AB"/>
    <w:rsid w:val="6E2C4024"/>
    <w:rsid w:val="6E2F1403"/>
    <w:rsid w:val="6E2F7EBB"/>
    <w:rsid w:val="6E32155A"/>
    <w:rsid w:val="6E340CF4"/>
    <w:rsid w:val="6E34262E"/>
    <w:rsid w:val="6E3625CD"/>
    <w:rsid w:val="6E3765DE"/>
    <w:rsid w:val="6E38422C"/>
    <w:rsid w:val="6E3A2A37"/>
    <w:rsid w:val="6E3E19E8"/>
    <w:rsid w:val="6E3E766B"/>
    <w:rsid w:val="6E40722B"/>
    <w:rsid w:val="6E441D7B"/>
    <w:rsid w:val="6E4B4CD1"/>
    <w:rsid w:val="6E4C0ABD"/>
    <w:rsid w:val="6E532F85"/>
    <w:rsid w:val="6E534402"/>
    <w:rsid w:val="6E537143"/>
    <w:rsid w:val="6E56122D"/>
    <w:rsid w:val="6E5F51FE"/>
    <w:rsid w:val="6E5F675E"/>
    <w:rsid w:val="6E603007"/>
    <w:rsid w:val="6E6307D2"/>
    <w:rsid w:val="6E64147F"/>
    <w:rsid w:val="6E685F93"/>
    <w:rsid w:val="6E6B309C"/>
    <w:rsid w:val="6E6C109E"/>
    <w:rsid w:val="6E6C3447"/>
    <w:rsid w:val="6E7010D0"/>
    <w:rsid w:val="6E7E4E9C"/>
    <w:rsid w:val="6E883E3C"/>
    <w:rsid w:val="6E8C731B"/>
    <w:rsid w:val="6E8D7BA3"/>
    <w:rsid w:val="6E8F535C"/>
    <w:rsid w:val="6E9127D0"/>
    <w:rsid w:val="6E971602"/>
    <w:rsid w:val="6E99499B"/>
    <w:rsid w:val="6E9B1822"/>
    <w:rsid w:val="6E9D1493"/>
    <w:rsid w:val="6EA14ECF"/>
    <w:rsid w:val="6EA17EA0"/>
    <w:rsid w:val="6EAB34F9"/>
    <w:rsid w:val="6EAD1F4F"/>
    <w:rsid w:val="6EAD358E"/>
    <w:rsid w:val="6EB24848"/>
    <w:rsid w:val="6EB31DEB"/>
    <w:rsid w:val="6EB90A72"/>
    <w:rsid w:val="6EBD04C1"/>
    <w:rsid w:val="6EBD27D5"/>
    <w:rsid w:val="6EC25D1D"/>
    <w:rsid w:val="6EC94762"/>
    <w:rsid w:val="6ECB6010"/>
    <w:rsid w:val="6ECD3FE3"/>
    <w:rsid w:val="6ED04D8D"/>
    <w:rsid w:val="6ED14D2B"/>
    <w:rsid w:val="6ED31A2E"/>
    <w:rsid w:val="6ED70620"/>
    <w:rsid w:val="6ED71301"/>
    <w:rsid w:val="6EDA311C"/>
    <w:rsid w:val="6EDC6EDC"/>
    <w:rsid w:val="6EDE33BC"/>
    <w:rsid w:val="6EE06943"/>
    <w:rsid w:val="6EE1069A"/>
    <w:rsid w:val="6EEE41AA"/>
    <w:rsid w:val="6EEE7642"/>
    <w:rsid w:val="6EEF3D75"/>
    <w:rsid w:val="6EF056C9"/>
    <w:rsid w:val="6EF0595E"/>
    <w:rsid w:val="6EF42723"/>
    <w:rsid w:val="6EF50AB8"/>
    <w:rsid w:val="6EF628A7"/>
    <w:rsid w:val="6EF91DF3"/>
    <w:rsid w:val="6EFA3ACE"/>
    <w:rsid w:val="6F0329E4"/>
    <w:rsid w:val="6F047C7F"/>
    <w:rsid w:val="6F0A5BC4"/>
    <w:rsid w:val="6F0A6D3D"/>
    <w:rsid w:val="6F0C393F"/>
    <w:rsid w:val="6F0E4C72"/>
    <w:rsid w:val="6F110F74"/>
    <w:rsid w:val="6F12042B"/>
    <w:rsid w:val="6F145F7E"/>
    <w:rsid w:val="6F15795C"/>
    <w:rsid w:val="6F173F44"/>
    <w:rsid w:val="6F19131A"/>
    <w:rsid w:val="6F240EC8"/>
    <w:rsid w:val="6F2457B5"/>
    <w:rsid w:val="6F245D9F"/>
    <w:rsid w:val="6F2530D0"/>
    <w:rsid w:val="6F257DB5"/>
    <w:rsid w:val="6F275F0C"/>
    <w:rsid w:val="6F2E3A77"/>
    <w:rsid w:val="6F2F735B"/>
    <w:rsid w:val="6F302B53"/>
    <w:rsid w:val="6F3142BF"/>
    <w:rsid w:val="6F377A8B"/>
    <w:rsid w:val="6F381CE0"/>
    <w:rsid w:val="6F3C0FEB"/>
    <w:rsid w:val="6F3C1A39"/>
    <w:rsid w:val="6F4323BD"/>
    <w:rsid w:val="6F4B147F"/>
    <w:rsid w:val="6F4B3304"/>
    <w:rsid w:val="6F4D4C57"/>
    <w:rsid w:val="6F5328D6"/>
    <w:rsid w:val="6F54297C"/>
    <w:rsid w:val="6F567F26"/>
    <w:rsid w:val="6F575C24"/>
    <w:rsid w:val="6F575F98"/>
    <w:rsid w:val="6F577179"/>
    <w:rsid w:val="6F58582A"/>
    <w:rsid w:val="6F58796C"/>
    <w:rsid w:val="6F6126BE"/>
    <w:rsid w:val="6F6139A4"/>
    <w:rsid w:val="6F642638"/>
    <w:rsid w:val="6F69102A"/>
    <w:rsid w:val="6F6A4C54"/>
    <w:rsid w:val="6F6C6C5B"/>
    <w:rsid w:val="6F72079E"/>
    <w:rsid w:val="6F722F0C"/>
    <w:rsid w:val="6F74046A"/>
    <w:rsid w:val="6F763D73"/>
    <w:rsid w:val="6F797310"/>
    <w:rsid w:val="6F797626"/>
    <w:rsid w:val="6F7A214F"/>
    <w:rsid w:val="6F7C5862"/>
    <w:rsid w:val="6F824AD2"/>
    <w:rsid w:val="6F832471"/>
    <w:rsid w:val="6F842D9A"/>
    <w:rsid w:val="6F8872EB"/>
    <w:rsid w:val="6F890D4F"/>
    <w:rsid w:val="6F8974F1"/>
    <w:rsid w:val="6F8F77CC"/>
    <w:rsid w:val="6F905C16"/>
    <w:rsid w:val="6F9236B9"/>
    <w:rsid w:val="6F950642"/>
    <w:rsid w:val="6F9A2592"/>
    <w:rsid w:val="6F9A38D1"/>
    <w:rsid w:val="6F9D1E1F"/>
    <w:rsid w:val="6FA53B89"/>
    <w:rsid w:val="6FA700A8"/>
    <w:rsid w:val="6FA74054"/>
    <w:rsid w:val="6FA80441"/>
    <w:rsid w:val="6FA81875"/>
    <w:rsid w:val="6FA864E0"/>
    <w:rsid w:val="6FA943B6"/>
    <w:rsid w:val="6FA95B9C"/>
    <w:rsid w:val="6FAC416A"/>
    <w:rsid w:val="6FAD74F2"/>
    <w:rsid w:val="6FAF0933"/>
    <w:rsid w:val="6FB54B93"/>
    <w:rsid w:val="6FB63EE2"/>
    <w:rsid w:val="6FB82747"/>
    <w:rsid w:val="6FBB2DB2"/>
    <w:rsid w:val="6FBB6A7E"/>
    <w:rsid w:val="6FBC6769"/>
    <w:rsid w:val="6FBE0765"/>
    <w:rsid w:val="6FBE2834"/>
    <w:rsid w:val="6FBE7544"/>
    <w:rsid w:val="6FC110A6"/>
    <w:rsid w:val="6FC25FB5"/>
    <w:rsid w:val="6FC35D68"/>
    <w:rsid w:val="6FC41D75"/>
    <w:rsid w:val="6FC520EC"/>
    <w:rsid w:val="6FC5274D"/>
    <w:rsid w:val="6FC911AB"/>
    <w:rsid w:val="6FD15FD3"/>
    <w:rsid w:val="6FD17582"/>
    <w:rsid w:val="6FD17C08"/>
    <w:rsid w:val="6FDB1A22"/>
    <w:rsid w:val="6FE07D17"/>
    <w:rsid w:val="6FE67F89"/>
    <w:rsid w:val="6FEE196A"/>
    <w:rsid w:val="6FF037C9"/>
    <w:rsid w:val="6FF255F2"/>
    <w:rsid w:val="6FF61C61"/>
    <w:rsid w:val="6FF85E01"/>
    <w:rsid w:val="6FF92B37"/>
    <w:rsid w:val="6FFA7AC9"/>
    <w:rsid w:val="6FFB2694"/>
    <w:rsid w:val="6FFD23C4"/>
    <w:rsid w:val="6FFE196B"/>
    <w:rsid w:val="6FFE3FAD"/>
    <w:rsid w:val="700233A7"/>
    <w:rsid w:val="70044F79"/>
    <w:rsid w:val="70045E82"/>
    <w:rsid w:val="700566BE"/>
    <w:rsid w:val="70090724"/>
    <w:rsid w:val="70091C98"/>
    <w:rsid w:val="70134DC9"/>
    <w:rsid w:val="701804EF"/>
    <w:rsid w:val="701B6E70"/>
    <w:rsid w:val="701E5FA3"/>
    <w:rsid w:val="7021215E"/>
    <w:rsid w:val="702263AF"/>
    <w:rsid w:val="70264E29"/>
    <w:rsid w:val="70287D24"/>
    <w:rsid w:val="702A0D26"/>
    <w:rsid w:val="702A1399"/>
    <w:rsid w:val="702A1AFA"/>
    <w:rsid w:val="702C7B0E"/>
    <w:rsid w:val="70335644"/>
    <w:rsid w:val="703530E7"/>
    <w:rsid w:val="703611E3"/>
    <w:rsid w:val="70394965"/>
    <w:rsid w:val="703A7A1B"/>
    <w:rsid w:val="703F2A91"/>
    <w:rsid w:val="704662F5"/>
    <w:rsid w:val="70480C36"/>
    <w:rsid w:val="70492AB4"/>
    <w:rsid w:val="704B36FD"/>
    <w:rsid w:val="704C019C"/>
    <w:rsid w:val="704C4AA7"/>
    <w:rsid w:val="704E3466"/>
    <w:rsid w:val="70520423"/>
    <w:rsid w:val="70547348"/>
    <w:rsid w:val="70547965"/>
    <w:rsid w:val="70583296"/>
    <w:rsid w:val="705F010D"/>
    <w:rsid w:val="7062494A"/>
    <w:rsid w:val="7063182E"/>
    <w:rsid w:val="706415CE"/>
    <w:rsid w:val="706613A1"/>
    <w:rsid w:val="70664611"/>
    <w:rsid w:val="706830FC"/>
    <w:rsid w:val="706D2EDF"/>
    <w:rsid w:val="706F3FCC"/>
    <w:rsid w:val="706F5B64"/>
    <w:rsid w:val="707635AF"/>
    <w:rsid w:val="70781438"/>
    <w:rsid w:val="707A275A"/>
    <w:rsid w:val="707A3E42"/>
    <w:rsid w:val="707B34F0"/>
    <w:rsid w:val="707B5754"/>
    <w:rsid w:val="707D03CA"/>
    <w:rsid w:val="708171C6"/>
    <w:rsid w:val="708379D1"/>
    <w:rsid w:val="70867175"/>
    <w:rsid w:val="70884582"/>
    <w:rsid w:val="70893F40"/>
    <w:rsid w:val="70895473"/>
    <w:rsid w:val="708C07BC"/>
    <w:rsid w:val="708D7CC2"/>
    <w:rsid w:val="708E674A"/>
    <w:rsid w:val="708F4F1D"/>
    <w:rsid w:val="7093787F"/>
    <w:rsid w:val="70960633"/>
    <w:rsid w:val="70A61F32"/>
    <w:rsid w:val="70A81D1B"/>
    <w:rsid w:val="70AB06F2"/>
    <w:rsid w:val="70AC60D4"/>
    <w:rsid w:val="70AC7010"/>
    <w:rsid w:val="70B71158"/>
    <w:rsid w:val="70B77A6B"/>
    <w:rsid w:val="70B82A09"/>
    <w:rsid w:val="70BD6308"/>
    <w:rsid w:val="70BE34CF"/>
    <w:rsid w:val="70BE3985"/>
    <w:rsid w:val="70C2259F"/>
    <w:rsid w:val="70C22776"/>
    <w:rsid w:val="70C22F99"/>
    <w:rsid w:val="70C90036"/>
    <w:rsid w:val="70CB7DB8"/>
    <w:rsid w:val="70D015FA"/>
    <w:rsid w:val="70D329BF"/>
    <w:rsid w:val="70D57CCD"/>
    <w:rsid w:val="70DB2AC4"/>
    <w:rsid w:val="70DC0718"/>
    <w:rsid w:val="70DE4070"/>
    <w:rsid w:val="70E04C33"/>
    <w:rsid w:val="70E1016E"/>
    <w:rsid w:val="70E27E0A"/>
    <w:rsid w:val="70E42655"/>
    <w:rsid w:val="70E7688C"/>
    <w:rsid w:val="70E84261"/>
    <w:rsid w:val="70E850F2"/>
    <w:rsid w:val="70F07E7A"/>
    <w:rsid w:val="70F177AF"/>
    <w:rsid w:val="70F504E0"/>
    <w:rsid w:val="70F52D42"/>
    <w:rsid w:val="70FD5A8C"/>
    <w:rsid w:val="70FF360F"/>
    <w:rsid w:val="70FF470C"/>
    <w:rsid w:val="70FF7E73"/>
    <w:rsid w:val="71003369"/>
    <w:rsid w:val="71054336"/>
    <w:rsid w:val="71076D23"/>
    <w:rsid w:val="710A00A7"/>
    <w:rsid w:val="71115E0C"/>
    <w:rsid w:val="7113450E"/>
    <w:rsid w:val="7114199D"/>
    <w:rsid w:val="71166DAE"/>
    <w:rsid w:val="71252BC6"/>
    <w:rsid w:val="71255000"/>
    <w:rsid w:val="71267767"/>
    <w:rsid w:val="712B0A69"/>
    <w:rsid w:val="712C4B98"/>
    <w:rsid w:val="712E61CE"/>
    <w:rsid w:val="71357116"/>
    <w:rsid w:val="7138782A"/>
    <w:rsid w:val="71395251"/>
    <w:rsid w:val="713C78E5"/>
    <w:rsid w:val="713D7876"/>
    <w:rsid w:val="71400578"/>
    <w:rsid w:val="71423EDC"/>
    <w:rsid w:val="71454067"/>
    <w:rsid w:val="71454F32"/>
    <w:rsid w:val="7149413F"/>
    <w:rsid w:val="714B5CF4"/>
    <w:rsid w:val="714C2C3C"/>
    <w:rsid w:val="71506039"/>
    <w:rsid w:val="71542A72"/>
    <w:rsid w:val="71543F17"/>
    <w:rsid w:val="7159438B"/>
    <w:rsid w:val="715B3F7C"/>
    <w:rsid w:val="715D65D0"/>
    <w:rsid w:val="715E6A9B"/>
    <w:rsid w:val="716235E2"/>
    <w:rsid w:val="71657B8C"/>
    <w:rsid w:val="71660B64"/>
    <w:rsid w:val="71684386"/>
    <w:rsid w:val="716A3866"/>
    <w:rsid w:val="716A3C8B"/>
    <w:rsid w:val="716C1372"/>
    <w:rsid w:val="716E3CBB"/>
    <w:rsid w:val="717445E0"/>
    <w:rsid w:val="717536B4"/>
    <w:rsid w:val="717C57A1"/>
    <w:rsid w:val="71825CEB"/>
    <w:rsid w:val="71827432"/>
    <w:rsid w:val="718466B1"/>
    <w:rsid w:val="718F78E9"/>
    <w:rsid w:val="71900F77"/>
    <w:rsid w:val="71944BBC"/>
    <w:rsid w:val="719A2858"/>
    <w:rsid w:val="719F2EDB"/>
    <w:rsid w:val="71A12A28"/>
    <w:rsid w:val="71A41040"/>
    <w:rsid w:val="71A551E0"/>
    <w:rsid w:val="71A5659B"/>
    <w:rsid w:val="71A75B77"/>
    <w:rsid w:val="71A93EE9"/>
    <w:rsid w:val="71AA6125"/>
    <w:rsid w:val="71AA6EC9"/>
    <w:rsid w:val="71AD2C03"/>
    <w:rsid w:val="71AD39F4"/>
    <w:rsid w:val="71B3052F"/>
    <w:rsid w:val="71B513AC"/>
    <w:rsid w:val="71B548E2"/>
    <w:rsid w:val="71B856BE"/>
    <w:rsid w:val="71BD03C6"/>
    <w:rsid w:val="71BF30BC"/>
    <w:rsid w:val="71C22B16"/>
    <w:rsid w:val="71C50085"/>
    <w:rsid w:val="71C60F9E"/>
    <w:rsid w:val="71CB5552"/>
    <w:rsid w:val="71D41C18"/>
    <w:rsid w:val="71D9506F"/>
    <w:rsid w:val="71DC51C5"/>
    <w:rsid w:val="71DD6EFF"/>
    <w:rsid w:val="71E11041"/>
    <w:rsid w:val="71E175F1"/>
    <w:rsid w:val="71E46429"/>
    <w:rsid w:val="71E754AD"/>
    <w:rsid w:val="71EF1536"/>
    <w:rsid w:val="71F03C6E"/>
    <w:rsid w:val="71F03F50"/>
    <w:rsid w:val="71F22B31"/>
    <w:rsid w:val="71F55698"/>
    <w:rsid w:val="71F848B4"/>
    <w:rsid w:val="71F87062"/>
    <w:rsid w:val="71FD075C"/>
    <w:rsid w:val="71FD63A8"/>
    <w:rsid w:val="71FE417B"/>
    <w:rsid w:val="720154C9"/>
    <w:rsid w:val="72091891"/>
    <w:rsid w:val="720D6812"/>
    <w:rsid w:val="720F2CB0"/>
    <w:rsid w:val="72161157"/>
    <w:rsid w:val="72167A1E"/>
    <w:rsid w:val="721B40CA"/>
    <w:rsid w:val="721C4DF2"/>
    <w:rsid w:val="7224087C"/>
    <w:rsid w:val="722645A0"/>
    <w:rsid w:val="722D1A4B"/>
    <w:rsid w:val="722E4E78"/>
    <w:rsid w:val="722E5264"/>
    <w:rsid w:val="72345DD5"/>
    <w:rsid w:val="72357629"/>
    <w:rsid w:val="723B4CD8"/>
    <w:rsid w:val="723D0618"/>
    <w:rsid w:val="723F2EC2"/>
    <w:rsid w:val="72420887"/>
    <w:rsid w:val="72440AF3"/>
    <w:rsid w:val="72450114"/>
    <w:rsid w:val="72480008"/>
    <w:rsid w:val="724B091A"/>
    <w:rsid w:val="724D20C3"/>
    <w:rsid w:val="724E6255"/>
    <w:rsid w:val="724F4D62"/>
    <w:rsid w:val="7250158A"/>
    <w:rsid w:val="725025AF"/>
    <w:rsid w:val="72541693"/>
    <w:rsid w:val="72557ADB"/>
    <w:rsid w:val="725952C2"/>
    <w:rsid w:val="725A641F"/>
    <w:rsid w:val="725B21C1"/>
    <w:rsid w:val="725B5491"/>
    <w:rsid w:val="725D4B4A"/>
    <w:rsid w:val="726777D6"/>
    <w:rsid w:val="726825F2"/>
    <w:rsid w:val="726D0AEE"/>
    <w:rsid w:val="7271283B"/>
    <w:rsid w:val="72712D29"/>
    <w:rsid w:val="727165CA"/>
    <w:rsid w:val="72736110"/>
    <w:rsid w:val="72746A85"/>
    <w:rsid w:val="727D5FE3"/>
    <w:rsid w:val="728006E0"/>
    <w:rsid w:val="72813248"/>
    <w:rsid w:val="72836EF7"/>
    <w:rsid w:val="7286539C"/>
    <w:rsid w:val="729105EB"/>
    <w:rsid w:val="72942CF3"/>
    <w:rsid w:val="72974742"/>
    <w:rsid w:val="72A26229"/>
    <w:rsid w:val="72A42E41"/>
    <w:rsid w:val="72A94815"/>
    <w:rsid w:val="72AA3C8D"/>
    <w:rsid w:val="72B041D7"/>
    <w:rsid w:val="72B31106"/>
    <w:rsid w:val="72B645D4"/>
    <w:rsid w:val="72B926C4"/>
    <w:rsid w:val="72BA1E9F"/>
    <w:rsid w:val="72C05101"/>
    <w:rsid w:val="72C14364"/>
    <w:rsid w:val="72C24DE8"/>
    <w:rsid w:val="72C26351"/>
    <w:rsid w:val="72C37EB3"/>
    <w:rsid w:val="72C440B7"/>
    <w:rsid w:val="72C55BB4"/>
    <w:rsid w:val="72C64BA6"/>
    <w:rsid w:val="72C7376F"/>
    <w:rsid w:val="72D249C2"/>
    <w:rsid w:val="72D26711"/>
    <w:rsid w:val="72D654E6"/>
    <w:rsid w:val="72DC3680"/>
    <w:rsid w:val="72DE1CA3"/>
    <w:rsid w:val="72DE5F3E"/>
    <w:rsid w:val="72E11DAB"/>
    <w:rsid w:val="72EA1341"/>
    <w:rsid w:val="72EC4A62"/>
    <w:rsid w:val="72ED3AC8"/>
    <w:rsid w:val="72F11D00"/>
    <w:rsid w:val="72F13A32"/>
    <w:rsid w:val="72F27D38"/>
    <w:rsid w:val="72F47091"/>
    <w:rsid w:val="72F470F5"/>
    <w:rsid w:val="72F730C1"/>
    <w:rsid w:val="73007271"/>
    <w:rsid w:val="73060A84"/>
    <w:rsid w:val="73130C11"/>
    <w:rsid w:val="73134108"/>
    <w:rsid w:val="73134BFB"/>
    <w:rsid w:val="731639CF"/>
    <w:rsid w:val="73194BF5"/>
    <w:rsid w:val="731A0FE2"/>
    <w:rsid w:val="731C7EA1"/>
    <w:rsid w:val="732557A5"/>
    <w:rsid w:val="732977D7"/>
    <w:rsid w:val="732C6D60"/>
    <w:rsid w:val="732C6E30"/>
    <w:rsid w:val="732C7E94"/>
    <w:rsid w:val="733010B4"/>
    <w:rsid w:val="73322A35"/>
    <w:rsid w:val="73376975"/>
    <w:rsid w:val="73382474"/>
    <w:rsid w:val="73382EEB"/>
    <w:rsid w:val="734B67F7"/>
    <w:rsid w:val="734C000C"/>
    <w:rsid w:val="734C317E"/>
    <w:rsid w:val="734D0BD3"/>
    <w:rsid w:val="73525489"/>
    <w:rsid w:val="73534366"/>
    <w:rsid w:val="73543715"/>
    <w:rsid w:val="73544BE8"/>
    <w:rsid w:val="73547412"/>
    <w:rsid w:val="73577BB3"/>
    <w:rsid w:val="735931B6"/>
    <w:rsid w:val="73600389"/>
    <w:rsid w:val="73634833"/>
    <w:rsid w:val="736561FA"/>
    <w:rsid w:val="73662132"/>
    <w:rsid w:val="736E46FC"/>
    <w:rsid w:val="73705ECF"/>
    <w:rsid w:val="73723B5B"/>
    <w:rsid w:val="73733EF4"/>
    <w:rsid w:val="73737857"/>
    <w:rsid w:val="73753EC2"/>
    <w:rsid w:val="73755CFC"/>
    <w:rsid w:val="737841BD"/>
    <w:rsid w:val="737A12A2"/>
    <w:rsid w:val="738566C7"/>
    <w:rsid w:val="738609E8"/>
    <w:rsid w:val="738657C9"/>
    <w:rsid w:val="7387252B"/>
    <w:rsid w:val="73892C6B"/>
    <w:rsid w:val="738C2395"/>
    <w:rsid w:val="738D3418"/>
    <w:rsid w:val="73915719"/>
    <w:rsid w:val="739172B6"/>
    <w:rsid w:val="739650E9"/>
    <w:rsid w:val="73966F69"/>
    <w:rsid w:val="73973497"/>
    <w:rsid w:val="73977921"/>
    <w:rsid w:val="739A4F3C"/>
    <w:rsid w:val="739B7FDC"/>
    <w:rsid w:val="73A075A8"/>
    <w:rsid w:val="73A30818"/>
    <w:rsid w:val="73A37C47"/>
    <w:rsid w:val="73A67374"/>
    <w:rsid w:val="73AF6D85"/>
    <w:rsid w:val="73B0115F"/>
    <w:rsid w:val="73B218FC"/>
    <w:rsid w:val="73B35FD2"/>
    <w:rsid w:val="73BA051F"/>
    <w:rsid w:val="73BA7421"/>
    <w:rsid w:val="73BB036F"/>
    <w:rsid w:val="73BC5991"/>
    <w:rsid w:val="73BD0C40"/>
    <w:rsid w:val="73C11EB0"/>
    <w:rsid w:val="73C43121"/>
    <w:rsid w:val="73C74087"/>
    <w:rsid w:val="73CA0148"/>
    <w:rsid w:val="73CC2349"/>
    <w:rsid w:val="73D46D85"/>
    <w:rsid w:val="73D76683"/>
    <w:rsid w:val="73DE41C4"/>
    <w:rsid w:val="73DF150F"/>
    <w:rsid w:val="73E03689"/>
    <w:rsid w:val="73E068BA"/>
    <w:rsid w:val="73E24797"/>
    <w:rsid w:val="73E31EBE"/>
    <w:rsid w:val="73E40446"/>
    <w:rsid w:val="73E46FFF"/>
    <w:rsid w:val="73E85DFA"/>
    <w:rsid w:val="73E97B9A"/>
    <w:rsid w:val="73EA4203"/>
    <w:rsid w:val="73EA5669"/>
    <w:rsid w:val="73F12863"/>
    <w:rsid w:val="73F16FC0"/>
    <w:rsid w:val="73F93277"/>
    <w:rsid w:val="73FE4066"/>
    <w:rsid w:val="73FF02A3"/>
    <w:rsid w:val="74031C96"/>
    <w:rsid w:val="7405799D"/>
    <w:rsid w:val="7406134E"/>
    <w:rsid w:val="740A36B6"/>
    <w:rsid w:val="740A58B8"/>
    <w:rsid w:val="740A7B4D"/>
    <w:rsid w:val="740D27F9"/>
    <w:rsid w:val="7410436C"/>
    <w:rsid w:val="74123BBF"/>
    <w:rsid w:val="7417315C"/>
    <w:rsid w:val="74182B6C"/>
    <w:rsid w:val="741A1075"/>
    <w:rsid w:val="7420072E"/>
    <w:rsid w:val="74280A81"/>
    <w:rsid w:val="74281529"/>
    <w:rsid w:val="742A30C2"/>
    <w:rsid w:val="742A4A03"/>
    <w:rsid w:val="742A541F"/>
    <w:rsid w:val="742F3A3F"/>
    <w:rsid w:val="743151C1"/>
    <w:rsid w:val="7438102B"/>
    <w:rsid w:val="743A006E"/>
    <w:rsid w:val="744216C6"/>
    <w:rsid w:val="74426F9D"/>
    <w:rsid w:val="74431298"/>
    <w:rsid w:val="74432181"/>
    <w:rsid w:val="74460447"/>
    <w:rsid w:val="744A2F80"/>
    <w:rsid w:val="744C63BB"/>
    <w:rsid w:val="744E6B45"/>
    <w:rsid w:val="74541C65"/>
    <w:rsid w:val="745514BC"/>
    <w:rsid w:val="745604D2"/>
    <w:rsid w:val="74570E03"/>
    <w:rsid w:val="745B67A6"/>
    <w:rsid w:val="745B7B55"/>
    <w:rsid w:val="745D1D48"/>
    <w:rsid w:val="74610857"/>
    <w:rsid w:val="74655D55"/>
    <w:rsid w:val="746676E6"/>
    <w:rsid w:val="74693672"/>
    <w:rsid w:val="746B1C70"/>
    <w:rsid w:val="746B2F12"/>
    <w:rsid w:val="746F13CF"/>
    <w:rsid w:val="7470206F"/>
    <w:rsid w:val="7471448D"/>
    <w:rsid w:val="74715FD4"/>
    <w:rsid w:val="74720890"/>
    <w:rsid w:val="74755B37"/>
    <w:rsid w:val="74780BB6"/>
    <w:rsid w:val="747F4194"/>
    <w:rsid w:val="74807B19"/>
    <w:rsid w:val="74872573"/>
    <w:rsid w:val="748B105C"/>
    <w:rsid w:val="7498081E"/>
    <w:rsid w:val="7498244B"/>
    <w:rsid w:val="749A0200"/>
    <w:rsid w:val="749C5161"/>
    <w:rsid w:val="749C685B"/>
    <w:rsid w:val="74A06F72"/>
    <w:rsid w:val="74A369FC"/>
    <w:rsid w:val="74A65ADA"/>
    <w:rsid w:val="74A72B82"/>
    <w:rsid w:val="74A807A2"/>
    <w:rsid w:val="74AB255F"/>
    <w:rsid w:val="74AD73ED"/>
    <w:rsid w:val="74AF011B"/>
    <w:rsid w:val="74B36BC2"/>
    <w:rsid w:val="74B72545"/>
    <w:rsid w:val="74B80685"/>
    <w:rsid w:val="74BC3125"/>
    <w:rsid w:val="74C54E0D"/>
    <w:rsid w:val="74C63C94"/>
    <w:rsid w:val="74C74B82"/>
    <w:rsid w:val="74C767E5"/>
    <w:rsid w:val="74CA0E4C"/>
    <w:rsid w:val="74CC4052"/>
    <w:rsid w:val="74CD0478"/>
    <w:rsid w:val="74CE37D2"/>
    <w:rsid w:val="74CE75FC"/>
    <w:rsid w:val="74D01793"/>
    <w:rsid w:val="74D02592"/>
    <w:rsid w:val="74D5778C"/>
    <w:rsid w:val="74D70674"/>
    <w:rsid w:val="74D8041A"/>
    <w:rsid w:val="74D830AB"/>
    <w:rsid w:val="74DD3B42"/>
    <w:rsid w:val="74DE3AFB"/>
    <w:rsid w:val="74E01874"/>
    <w:rsid w:val="74E11B7D"/>
    <w:rsid w:val="74E17FA7"/>
    <w:rsid w:val="74E4324B"/>
    <w:rsid w:val="74E5726F"/>
    <w:rsid w:val="74E71454"/>
    <w:rsid w:val="74E71C01"/>
    <w:rsid w:val="74E85CC1"/>
    <w:rsid w:val="74E8644B"/>
    <w:rsid w:val="74F144CF"/>
    <w:rsid w:val="74F52973"/>
    <w:rsid w:val="74F637D8"/>
    <w:rsid w:val="74F71247"/>
    <w:rsid w:val="74F92B7D"/>
    <w:rsid w:val="74FB7AC9"/>
    <w:rsid w:val="75010C59"/>
    <w:rsid w:val="7505336A"/>
    <w:rsid w:val="750C4E67"/>
    <w:rsid w:val="750D7BC0"/>
    <w:rsid w:val="750D7DC9"/>
    <w:rsid w:val="75113312"/>
    <w:rsid w:val="7512209D"/>
    <w:rsid w:val="7513575D"/>
    <w:rsid w:val="75143AF8"/>
    <w:rsid w:val="75147F0F"/>
    <w:rsid w:val="751B6C08"/>
    <w:rsid w:val="751C09E2"/>
    <w:rsid w:val="751F49D4"/>
    <w:rsid w:val="7520429E"/>
    <w:rsid w:val="75213D14"/>
    <w:rsid w:val="75235D74"/>
    <w:rsid w:val="75285DE3"/>
    <w:rsid w:val="75291B58"/>
    <w:rsid w:val="75294744"/>
    <w:rsid w:val="752A7527"/>
    <w:rsid w:val="752B4636"/>
    <w:rsid w:val="753344CC"/>
    <w:rsid w:val="753414D4"/>
    <w:rsid w:val="753515C3"/>
    <w:rsid w:val="753B50C6"/>
    <w:rsid w:val="753E190C"/>
    <w:rsid w:val="754111D5"/>
    <w:rsid w:val="75422DB3"/>
    <w:rsid w:val="754667D6"/>
    <w:rsid w:val="75487C5A"/>
    <w:rsid w:val="754A7455"/>
    <w:rsid w:val="754E18C6"/>
    <w:rsid w:val="7551792C"/>
    <w:rsid w:val="75523C03"/>
    <w:rsid w:val="75533C0E"/>
    <w:rsid w:val="75533C72"/>
    <w:rsid w:val="75544FFD"/>
    <w:rsid w:val="75551BE6"/>
    <w:rsid w:val="755559F5"/>
    <w:rsid w:val="7558040C"/>
    <w:rsid w:val="75587F3E"/>
    <w:rsid w:val="755B19C6"/>
    <w:rsid w:val="755D03C9"/>
    <w:rsid w:val="755E2EB7"/>
    <w:rsid w:val="756053C9"/>
    <w:rsid w:val="75621014"/>
    <w:rsid w:val="75627854"/>
    <w:rsid w:val="756418DB"/>
    <w:rsid w:val="75667E3F"/>
    <w:rsid w:val="75673323"/>
    <w:rsid w:val="756913CF"/>
    <w:rsid w:val="7569797B"/>
    <w:rsid w:val="756B0305"/>
    <w:rsid w:val="756C6A3B"/>
    <w:rsid w:val="756F657A"/>
    <w:rsid w:val="75751129"/>
    <w:rsid w:val="7578561C"/>
    <w:rsid w:val="757C332D"/>
    <w:rsid w:val="75804BE1"/>
    <w:rsid w:val="75813304"/>
    <w:rsid w:val="75821CE0"/>
    <w:rsid w:val="758255BD"/>
    <w:rsid w:val="75853A1E"/>
    <w:rsid w:val="75877264"/>
    <w:rsid w:val="7589561A"/>
    <w:rsid w:val="75897A83"/>
    <w:rsid w:val="758B5069"/>
    <w:rsid w:val="759038B0"/>
    <w:rsid w:val="75915EA6"/>
    <w:rsid w:val="759345C2"/>
    <w:rsid w:val="759467AF"/>
    <w:rsid w:val="75975F11"/>
    <w:rsid w:val="759D1ACC"/>
    <w:rsid w:val="759D7D15"/>
    <w:rsid w:val="759F3604"/>
    <w:rsid w:val="75A0446B"/>
    <w:rsid w:val="75A0491A"/>
    <w:rsid w:val="75A6124A"/>
    <w:rsid w:val="75A72A2D"/>
    <w:rsid w:val="75AB18C6"/>
    <w:rsid w:val="75AD5B6E"/>
    <w:rsid w:val="75B33297"/>
    <w:rsid w:val="75B60091"/>
    <w:rsid w:val="75B620FE"/>
    <w:rsid w:val="75BC0014"/>
    <w:rsid w:val="75C04834"/>
    <w:rsid w:val="75C11913"/>
    <w:rsid w:val="75C236F2"/>
    <w:rsid w:val="75C2507D"/>
    <w:rsid w:val="75C47961"/>
    <w:rsid w:val="75C5422E"/>
    <w:rsid w:val="75C753FF"/>
    <w:rsid w:val="75C828AA"/>
    <w:rsid w:val="75CA7963"/>
    <w:rsid w:val="75CD1CF0"/>
    <w:rsid w:val="75CD5B08"/>
    <w:rsid w:val="75CE673A"/>
    <w:rsid w:val="75CF12EA"/>
    <w:rsid w:val="75D11802"/>
    <w:rsid w:val="75D119CF"/>
    <w:rsid w:val="75D30A08"/>
    <w:rsid w:val="75DD1356"/>
    <w:rsid w:val="75DE7CC9"/>
    <w:rsid w:val="75E07192"/>
    <w:rsid w:val="75E567E3"/>
    <w:rsid w:val="75E64637"/>
    <w:rsid w:val="75E848A6"/>
    <w:rsid w:val="75E93A5E"/>
    <w:rsid w:val="75E94ECE"/>
    <w:rsid w:val="75F02468"/>
    <w:rsid w:val="75F94DDA"/>
    <w:rsid w:val="75FB7152"/>
    <w:rsid w:val="75FB73C8"/>
    <w:rsid w:val="76014EEA"/>
    <w:rsid w:val="760472C9"/>
    <w:rsid w:val="76063DAD"/>
    <w:rsid w:val="760927CC"/>
    <w:rsid w:val="76094283"/>
    <w:rsid w:val="760A709B"/>
    <w:rsid w:val="76164634"/>
    <w:rsid w:val="7618575C"/>
    <w:rsid w:val="7619230C"/>
    <w:rsid w:val="761A61EC"/>
    <w:rsid w:val="761E27E6"/>
    <w:rsid w:val="761F0029"/>
    <w:rsid w:val="76242BCB"/>
    <w:rsid w:val="76276F58"/>
    <w:rsid w:val="762B7D84"/>
    <w:rsid w:val="76383CD9"/>
    <w:rsid w:val="763A339A"/>
    <w:rsid w:val="763C0001"/>
    <w:rsid w:val="763E3A31"/>
    <w:rsid w:val="76403EA0"/>
    <w:rsid w:val="76505D25"/>
    <w:rsid w:val="765135F3"/>
    <w:rsid w:val="76515754"/>
    <w:rsid w:val="76565EAA"/>
    <w:rsid w:val="76567D28"/>
    <w:rsid w:val="76593AFD"/>
    <w:rsid w:val="765A36C5"/>
    <w:rsid w:val="765A5CC9"/>
    <w:rsid w:val="765C62ED"/>
    <w:rsid w:val="765D2F7D"/>
    <w:rsid w:val="765F7240"/>
    <w:rsid w:val="766C0DB4"/>
    <w:rsid w:val="766F0AB9"/>
    <w:rsid w:val="767048B1"/>
    <w:rsid w:val="76737AA5"/>
    <w:rsid w:val="76741CB4"/>
    <w:rsid w:val="767F3B84"/>
    <w:rsid w:val="7682308D"/>
    <w:rsid w:val="76843ABC"/>
    <w:rsid w:val="76852916"/>
    <w:rsid w:val="76864F5D"/>
    <w:rsid w:val="76890A99"/>
    <w:rsid w:val="768C1AAC"/>
    <w:rsid w:val="769022A6"/>
    <w:rsid w:val="76905857"/>
    <w:rsid w:val="769060EF"/>
    <w:rsid w:val="76921F3F"/>
    <w:rsid w:val="76923FCA"/>
    <w:rsid w:val="769417D9"/>
    <w:rsid w:val="76960085"/>
    <w:rsid w:val="769854D2"/>
    <w:rsid w:val="76994171"/>
    <w:rsid w:val="76997F1A"/>
    <w:rsid w:val="769A6EAC"/>
    <w:rsid w:val="769B3399"/>
    <w:rsid w:val="769C694B"/>
    <w:rsid w:val="769F0E2E"/>
    <w:rsid w:val="76AB2D7F"/>
    <w:rsid w:val="76AC6A26"/>
    <w:rsid w:val="76B00247"/>
    <w:rsid w:val="76B02A02"/>
    <w:rsid w:val="76B03EF0"/>
    <w:rsid w:val="76B502F8"/>
    <w:rsid w:val="76BA2B89"/>
    <w:rsid w:val="76BA5BA3"/>
    <w:rsid w:val="76BC23C3"/>
    <w:rsid w:val="76BF0159"/>
    <w:rsid w:val="76C13A74"/>
    <w:rsid w:val="76C57632"/>
    <w:rsid w:val="76CA26F3"/>
    <w:rsid w:val="76CB4D4A"/>
    <w:rsid w:val="76CD6FE6"/>
    <w:rsid w:val="76D01EF6"/>
    <w:rsid w:val="76D072A7"/>
    <w:rsid w:val="76D14380"/>
    <w:rsid w:val="76D14B0A"/>
    <w:rsid w:val="76D213B9"/>
    <w:rsid w:val="76D55CE2"/>
    <w:rsid w:val="76DD5251"/>
    <w:rsid w:val="76DF7EC6"/>
    <w:rsid w:val="76E47330"/>
    <w:rsid w:val="76EB1B38"/>
    <w:rsid w:val="76F3154A"/>
    <w:rsid w:val="76F436CE"/>
    <w:rsid w:val="76FC3997"/>
    <w:rsid w:val="76FE4440"/>
    <w:rsid w:val="77031B97"/>
    <w:rsid w:val="77035424"/>
    <w:rsid w:val="7705096B"/>
    <w:rsid w:val="77050EA6"/>
    <w:rsid w:val="77075451"/>
    <w:rsid w:val="77110BE3"/>
    <w:rsid w:val="77152214"/>
    <w:rsid w:val="77172997"/>
    <w:rsid w:val="77233CC1"/>
    <w:rsid w:val="772B1AE5"/>
    <w:rsid w:val="772D7653"/>
    <w:rsid w:val="772E4021"/>
    <w:rsid w:val="77320E16"/>
    <w:rsid w:val="77322279"/>
    <w:rsid w:val="773228DD"/>
    <w:rsid w:val="77373F5C"/>
    <w:rsid w:val="77392302"/>
    <w:rsid w:val="773A68DD"/>
    <w:rsid w:val="773C171C"/>
    <w:rsid w:val="773E16B6"/>
    <w:rsid w:val="773E27D7"/>
    <w:rsid w:val="773F2E4C"/>
    <w:rsid w:val="77400BB3"/>
    <w:rsid w:val="774169B4"/>
    <w:rsid w:val="77427120"/>
    <w:rsid w:val="774B430B"/>
    <w:rsid w:val="774D35B3"/>
    <w:rsid w:val="774E520E"/>
    <w:rsid w:val="774F338D"/>
    <w:rsid w:val="77503C45"/>
    <w:rsid w:val="77552146"/>
    <w:rsid w:val="77594F0F"/>
    <w:rsid w:val="775954E1"/>
    <w:rsid w:val="775A0D1C"/>
    <w:rsid w:val="775A4D40"/>
    <w:rsid w:val="775A5888"/>
    <w:rsid w:val="775B6B13"/>
    <w:rsid w:val="775C6BFC"/>
    <w:rsid w:val="775D0D2D"/>
    <w:rsid w:val="77643F5B"/>
    <w:rsid w:val="776804AF"/>
    <w:rsid w:val="77683F0C"/>
    <w:rsid w:val="776C461A"/>
    <w:rsid w:val="776F3B04"/>
    <w:rsid w:val="777012F4"/>
    <w:rsid w:val="77716C4F"/>
    <w:rsid w:val="777653C9"/>
    <w:rsid w:val="777B5E9E"/>
    <w:rsid w:val="777C494C"/>
    <w:rsid w:val="777F1DA9"/>
    <w:rsid w:val="777F337C"/>
    <w:rsid w:val="777F6E08"/>
    <w:rsid w:val="778103E8"/>
    <w:rsid w:val="77816EC1"/>
    <w:rsid w:val="7783498B"/>
    <w:rsid w:val="77837284"/>
    <w:rsid w:val="7784578E"/>
    <w:rsid w:val="778E0873"/>
    <w:rsid w:val="778F4195"/>
    <w:rsid w:val="77905304"/>
    <w:rsid w:val="779346E7"/>
    <w:rsid w:val="77996B6E"/>
    <w:rsid w:val="779E1FD0"/>
    <w:rsid w:val="77A01739"/>
    <w:rsid w:val="77A61525"/>
    <w:rsid w:val="77A66613"/>
    <w:rsid w:val="77A83F5B"/>
    <w:rsid w:val="77AA339E"/>
    <w:rsid w:val="77B560D6"/>
    <w:rsid w:val="77B612F1"/>
    <w:rsid w:val="77B64405"/>
    <w:rsid w:val="77B6542A"/>
    <w:rsid w:val="77B82A0E"/>
    <w:rsid w:val="77B834A1"/>
    <w:rsid w:val="77B83732"/>
    <w:rsid w:val="77BA038C"/>
    <w:rsid w:val="77BD56C8"/>
    <w:rsid w:val="77BE08C9"/>
    <w:rsid w:val="77C54077"/>
    <w:rsid w:val="77CC1683"/>
    <w:rsid w:val="77CC17A0"/>
    <w:rsid w:val="77CC69F3"/>
    <w:rsid w:val="77D525A4"/>
    <w:rsid w:val="77D74EE3"/>
    <w:rsid w:val="77DA48BD"/>
    <w:rsid w:val="77DF5554"/>
    <w:rsid w:val="77DF7FD4"/>
    <w:rsid w:val="77E16E65"/>
    <w:rsid w:val="77E254B5"/>
    <w:rsid w:val="77E306DD"/>
    <w:rsid w:val="77E423C0"/>
    <w:rsid w:val="77EA613D"/>
    <w:rsid w:val="77EA665F"/>
    <w:rsid w:val="77EF1E42"/>
    <w:rsid w:val="77F04BF6"/>
    <w:rsid w:val="77F05FE5"/>
    <w:rsid w:val="77F75C18"/>
    <w:rsid w:val="77F825F0"/>
    <w:rsid w:val="77FC4E94"/>
    <w:rsid w:val="77FC67B4"/>
    <w:rsid w:val="7802618D"/>
    <w:rsid w:val="7804739D"/>
    <w:rsid w:val="780823A6"/>
    <w:rsid w:val="781177D6"/>
    <w:rsid w:val="78122433"/>
    <w:rsid w:val="781249EA"/>
    <w:rsid w:val="78143A0C"/>
    <w:rsid w:val="78165168"/>
    <w:rsid w:val="782027F5"/>
    <w:rsid w:val="78215A5B"/>
    <w:rsid w:val="78221E06"/>
    <w:rsid w:val="78227148"/>
    <w:rsid w:val="782275F7"/>
    <w:rsid w:val="782419A7"/>
    <w:rsid w:val="78242DB1"/>
    <w:rsid w:val="7825142C"/>
    <w:rsid w:val="782A3A79"/>
    <w:rsid w:val="783200B2"/>
    <w:rsid w:val="78333E7F"/>
    <w:rsid w:val="783C3608"/>
    <w:rsid w:val="78425387"/>
    <w:rsid w:val="78425F60"/>
    <w:rsid w:val="784608CA"/>
    <w:rsid w:val="78462571"/>
    <w:rsid w:val="784776A5"/>
    <w:rsid w:val="78495FBC"/>
    <w:rsid w:val="784C261F"/>
    <w:rsid w:val="784E6DBD"/>
    <w:rsid w:val="78513125"/>
    <w:rsid w:val="78524CE2"/>
    <w:rsid w:val="78525159"/>
    <w:rsid w:val="785275ED"/>
    <w:rsid w:val="78554011"/>
    <w:rsid w:val="78554B20"/>
    <w:rsid w:val="78565E72"/>
    <w:rsid w:val="78591B78"/>
    <w:rsid w:val="785A212D"/>
    <w:rsid w:val="785B2E67"/>
    <w:rsid w:val="786519B3"/>
    <w:rsid w:val="78686D35"/>
    <w:rsid w:val="78691FF6"/>
    <w:rsid w:val="786B5E28"/>
    <w:rsid w:val="786C6283"/>
    <w:rsid w:val="786D1A2F"/>
    <w:rsid w:val="78700F56"/>
    <w:rsid w:val="78716636"/>
    <w:rsid w:val="78727940"/>
    <w:rsid w:val="787352DA"/>
    <w:rsid w:val="787C15B7"/>
    <w:rsid w:val="787C1F8F"/>
    <w:rsid w:val="787C54D0"/>
    <w:rsid w:val="787D6772"/>
    <w:rsid w:val="787F5790"/>
    <w:rsid w:val="788441E8"/>
    <w:rsid w:val="78853B0B"/>
    <w:rsid w:val="788C6119"/>
    <w:rsid w:val="788E1A67"/>
    <w:rsid w:val="788E75B5"/>
    <w:rsid w:val="7892530A"/>
    <w:rsid w:val="7893057F"/>
    <w:rsid w:val="789315AB"/>
    <w:rsid w:val="78931F50"/>
    <w:rsid w:val="78951C14"/>
    <w:rsid w:val="78986165"/>
    <w:rsid w:val="78994CF1"/>
    <w:rsid w:val="789970F0"/>
    <w:rsid w:val="789A0974"/>
    <w:rsid w:val="789C5766"/>
    <w:rsid w:val="78A103BD"/>
    <w:rsid w:val="78A12524"/>
    <w:rsid w:val="78A32D9B"/>
    <w:rsid w:val="78A40BDC"/>
    <w:rsid w:val="78A60A5E"/>
    <w:rsid w:val="78A62392"/>
    <w:rsid w:val="78A85C4E"/>
    <w:rsid w:val="78AB2A2A"/>
    <w:rsid w:val="78AD30DE"/>
    <w:rsid w:val="78B014C7"/>
    <w:rsid w:val="78B56A12"/>
    <w:rsid w:val="78B872D0"/>
    <w:rsid w:val="78B937C5"/>
    <w:rsid w:val="78BB6010"/>
    <w:rsid w:val="78BC6470"/>
    <w:rsid w:val="78BC6C8C"/>
    <w:rsid w:val="78BD5538"/>
    <w:rsid w:val="78BF0BFD"/>
    <w:rsid w:val="78C66EBA"/>
    <w:rsid w:val="78C811D7"/>
    <w:rsid w:val="78CA35A6"/>
    <w:rsid w:val="78CE51E0"/>
    <w:rsid w:val="78D017B9"/>
    <w:rsid w:val="78D06FD0"/>
    <w:rsid w:val="78D75740"/>
    <w:rsid w:val="78DB3E80"/>
    <w:rsid w:val="78DD580D"/>
    <w:rsid w:val="78E73E2C"/>
    <w:rsid w:val="78E81D54"/>
    <w:rsid w:val="78ED38E4"/>
    <w:rsid w:val="78F162A4"/>
    <w:rsid w:val="78F16FCA"/>
    <w:rsid w:val="78F30FD7"/>
    <w:rsid w:val="78F468D3"/>
    <w:rsid w:val="78F509A8"/>
    <w:rsid w:val="78F62B01"/>
    <w:rsid w:val="78F86A37"/>
    <w:rsid w:val="78F93B18"/>
    <w:rsid w:val="78FA2C35"/>
    <w:rsid w:val="78FA666F"/>
    <w:rsid w:val="78FD3574"/>
    <w:rsid w:val="78FD643C"/>
    <w:rsid w:val="78FE594E"/>
    <w:rsid w:val="79054123"/>
    <w:rsid w:val="79061BBE"/>
    <w:rsid w:val="790733CD"/>
    <w:rsid w:val="7907348B"/>
    <w:rsid w:val="790750B3"/>
    <w:rsid w:val="790A1FAA"/>
    <w:rsid w:val="790C1AD1"/>
    <w:rsid w:val="790C3024"/>
    <w:rsid w:val="790D3164"/>
    <w:rsid w:val="790E0FE8"/>
    <w:rsid w:val="790E65B5"/>
    <w:rsid w:val="790F42E1"/>
    <w:rsid w:val="79131498"/>
    <w:rsid w:val="791474FE"/>
    <w:rsid w:val="79161859"/>
    <w:rsid w:val="79190AF5"/>
    <w:rsid w:val="791B1CA0"/>
    <w:rsid w:val="791F4936"/>
    <w:rsid w:val="792201D9"/>
    <w:rsid w:val="79231FE2"/>
    <w:rsid w:val="792353AB"/>
    <w:rsid w:val="792364B7"/>
    <w:rsid w:val="792546E8"/>
    <w:rsid w:val="792A4A59"/>
    <w:rsid w:val="792B5835"/>
    <w:rsid w:val="79305C27"/>
    <w:rsid w:val="79322313"/>
    <w:rsid w:val="79340B85"/>
    <w:rsid w:val="7936399B"/>
    <w:rsid w:val="7939418B"/>
    <w:rsid w:val="793A6486"/>
    <w:rsid w:val="793C2506"/>
    <w:rsid w:val="794223D9"/>
    <w:rsid w:val="794358AA"/>
    <w:rsid w:val="7944192C"/>
    <w:rsid w:val="79441E7F"/>
    <w:rsid w:val="79482E32"/>
    <w:rsid w:val="794C276A"/>
    <w:rsid w:val="79527947"/>
    <w:rsid w:val="79571081"/>
    <w:rsid w:val="795722CA"/>
    <w:rsid w:val="795D051B"/>
    <w:rsid w:val="795F6A5D"/>
    <w:rsid w:val="79606DB8"/>
    <w:rsid w:val="796371B0"/>
    <w:rsid w:val="79637540"/>
    <w:rsid w:val="7964354B"/>
    <w:rsid w:val="79693D4B"/>
    <w:rsid w:val="796E2681"/>
    <w:rsid w:val="796E6E92"/>
    <w:rsid w:val="79711A71"/>
    <w:rsid w:val="79715188"/>
    <w:rsid w:val="797522E2"/>
    <w:rsid w:val="79763398"/>
    <w:rsid w:val="79776041"/>
    <w:rsid w:val="79780042"/>
    <w:rsid w:val="79781D40"/>
    <w:rsid w:val="797D50D5"/>
    <w:rsid w:val="79881864"/>
    <w:rsid w:val="79882012"/>
    <w:rsid w:val="798C08ED"/>
    <w:rsid w:val="798D0822"/>
    <w:rsid w:val="79923F60"/>
    <w:rsid w:val="79935172"/>
    <w:rsid w:val="799523E3"/>
    <w:rsid w:val="79974761"/>
    <w:rsid w:val="799905E4"/>
    <w:rsid w:val="799C71F7"/>
    <w:rsid w:val="799D2F51"/>
    <w:rsid w:val="79A11F76"/>
    <w:rsid w:val="79A23B06"/>
    <w:rsid w:val="79A37936"/>
    <w:rsid w:val="79A92F9B"/>
    <w:rsid w:val="79AA58B2"/>
    <w:rsid w:val="79B10B2B"/>
    <w:rsid w:val="79B23989"/>
    <w:rsid w:val="79B709CF"/>
    <w:rsid w:val="79B90A53"/>
    <w:rsid w:val="79BC581F"/>
    <w:rsid w:val="79C15590"/>
    <w:rsid w:val="79C61600"/>
    <w:rsid w:val="79C71AF9"/>
    <w:rsid w:val="79CD1886"/>
    <w:rsid w:val="79CD2D07"/>
    <w:rsid w:val="79CE4A80"/>
    <w:rsid w:val="79D06E78"/>
    <w:rsid w:val="79D90E58"/>
    <w:rsid w:val="79DE4C6C"/>
    <w:rsid w:val="79E42A22"/>
    <w:rsid w:val="79E42B41"/>
    <w:rsid w:val="79E75FC8"/>
    <w:rsid w:val="79EB2D0E"/>
    <w:rsid w:val="79ED4324"/>
    <w:rsid w:val="79F055C9"/>
    <w:rsid w:val="79F05A1A"/>
    <w:rsid w:val="79F363C9"/>
    <w:rsid w:val="79F6084F"/>
    <w:rsid w:val="7A032B5D"/>
    <w:rsid w:val="7A071944"/>
    <w:rsid w:val="7A0D4358"/>
    <w:rsid w:val="7A0F5DD9"/>
    <w:rsid w:val="7A1A787F"/>
    <w:rsid w:val="7A1E3283"/>
    <w:rsid w:val="7A1F177A"/>
    <w:rsid w:val="7A220A8E"/>
    <w:rsid w:val="7A232C07"/>
    <w:rsid w:val="7A250F5F"/>
    <w:rsid w:val="7A267BDE"/>
    <w:rsid w:val="7A2B6A9C"/>
    <w:rsid w:val="7A305AC6"/>
    <w:rsid w:val="7A367797"/>
    <w:rsid w:val="7A3E1A74"/>
    <w:rsid w:val="7A4116EF"/>
    <w:rsid w:val="7A4549E2"/>
    <w:rsid w:val="7A463784"/>
    <w:rsid w:val="7A472E5C"/>
    <w:rsid w:val="7A482695"/>
    <w:rsid w:val="7A4D44DF"/>
    <w:rsid w:val="7A5220BE"/>
    <w:rsid w:val="7A5615C5"/>
    <w:rsid w:val="7A56411A"/>
    <w:rsid w:val="7A577977"/>
    <w:rsid w:val="7A5834B2"/>
    <w:rsid w:val="7A594B4E"/>
    <w:rsid w:val="7A5C6814"/>
    <w:rsid w:val="7A5E0A72"/>
    <w:rsid w:val="7A5E4F0F"/>
    <w:rsid w:val="7A6627BE"/>
    <w:rsid w:val="7A672D86"/>
    <w:rsid w:val="7A6972B0"/>
    <w:rsid w:val="7A6A3716"/>
    <w:rsid w:val="7A6C5619"/>
    <w:rsid w:val="7A6E7B73"/>
    <w:rsid w:val="7A834E0C"/>
    <w:rsid w:val="7A8407D6"/>
    <w:rsid w:val="7A895AA3"/>
    <w:rsid w:val="7A8B366D"/>
    <w:rsid w:val="7A8F4BD1"/>
    <w:rsid w:val="7A945F62"/>
    <w:rsid w:val="7A9646B2"/>
    <w:rsid w:val="7A994214"/>
    <w:rsid w:val="7A9A488C"/>
    <w:rsid w:val="7A9B5493"/>
    <w:rsid w:val="7A9C2BEA"/>
    <w:rsid w:val="7AA013B1"/>
    <w:rsid w:val="7AA254C5"/>
    <w:rsid w:val="7AA37D0E"/>
    <w:rsid w:val="7AA54B83"/>
    <w:rsid w:val="7AA65A74"/>
    <w:rsid w:val="7AA66432"/>
    <w:rsid w:val="7AA86B36"/>
    <w:rsid w:val="7AAA3D5E"/>
    <w:rsid w:val="7AAB131C"/>
    <w:rsid w:val="7AAF61DA"/>
    <w:rsid w:val="7AAF654E"/>
    <w:rsid w:val="7ABA2D7A"/>
    <w:rsid w:val="7AC10E94"/>
    <w:rsid w:val="7AC35709"/>
    <w:rsid w:val="7AC74745"/>
    <w:rsid w:val="7AC868E9"/>
    <w:rsid w:val="7AC874FC"/>
    <w:rsid w:val="7AC92CAC"/>
    <w:rsid w:val="7ACD6B4F"/>
    <w:rsid w:val="7ACE3052"/>
    <w:rsid w:val="7ADA4CDA"/>
    <w:rsid w:val="7ADB58DC"/>
    <w:rsid w:val="7ADF5D83"/>
    <w:rsid w:val="7AE83FD4"/>
    <w:rsid w:val="7AF0252A"/>
    <w:rsid w:val="7AF131EB"/>
    <w:rsid w:val="7AF57EEE"/>
    <w:rsid w:val="7AF80FEA"/>
    <w:rsid w:val="7AF853FB"/>
    <w:rsid w:val="7AFB5FE8"/>
    <w:rsid w:val="7B055167"/>
    <w:rsid w:val="7B06610E"/>
    <w:rsid w:val="7B0D75F0"/>
    <w:rsid w:val="7B0E4AD3"/>
    <w:rsid w:val="7B127B5E"/>
    <w:rsid w:val="7B157D03"/>
    <w:rsid w:val="7B1624E4"/>
    <w:rsid w:val="7B163B37"/>
    <w:rsid w:val="7B182AD1"/>
    <w:rsid w:val="7B1C243E"/>
    <w:rsid w:val="7B20392D"/>
    <w:rsid w:val="7B222E68"/>
    <w:rsid w:val="7B237859"/>
    <w:rsid w:val="7B29181E"/>
    <w:rsid w:val="7B2A35F3"/>
    <w:rsid w:val="7B2B2DAF"/>
    <w:rsid w:val="7B2C5B6A"/>
    <w:rsid w:val="7B2F0D40"/>
    <w:rsid w:val="7B321976"/>
    <w:rsid w:val="7B367613"/>
    <w:rsid w:val="7B391D22"/>
    <w:rsid w:val="7B3A2238"/>
    <w:rsid w:val="7B3A4A42"/>
    <w:rsid w:val="7B3A6A87"/>
    <w:rsid w:val="7B3C75B8"/>
    <w:rsid w:val="7B3F64F6"/>
    <w:rsid w:val="7B411F2B"/>
    <w:rsid w:val="7B414BCD"/>
    <w:rsid w:val="7B42603C"/>
    <w:rsid w:val="7B482D4A"/>
    <w:rsid w:val="7B4E2BBF"/>
    <w:rsid w:val="7B505B0C"/>
    <w:rsid w:val="7B5365E0"/>
    <w:rsid w:val="7B54367F"/>
    <w:rsid w:val="7B594371"/>
    <w:rsid w:val="7B5C76AC"/>
    <w:rsid w:val="7B5C7B07"/>
    <w:rsid w:val="7B5E1D21"/>
    <w:rsid w:val="7B5E2D64"/>
    <w:rsid w:val="7B606DDC"/>
    <w:rsid w:val="7B6157B7"/>
    <w:rsid w:val="7B6475B4"/>
    <w:rsid w:val="7B654B33"/>
    <w:rsid w:val="7B660F06"/>
    <w:rsid w:val="7B6B09BC"/>
    <w:rsid w:val="7B6B7D38"/>
    <w:rsid w:val="7B6C32D3"/>
    <w:rsid w:val="7B716F24"/>
    <w:rsid w:val="7B717B86"/>
    <w:rsid w:val="7B752CA7"/>
    <w:rsid w:val="7B7840BF"/>
    <w:rsid w:val="7B7A79DF"/>
    <w:rsid w:val="7B7C1002"/>
    <w:rsid w:val="7B847C26"/>
    <w:rsid w:val="7B851FEF"/>
    <w:rsid w:val="7B882F8C"/>
    <w:rsid w:val="7B8F77C6"/>
    <w:rsid w:val="7B99297A"/>
    <w:rsid w:val="7B9E2E51"/>
    <w:rsid w:val="7B9E374C"/>
    <w:rsid w:val="7B9F12B5"/>
    <w:rsid w:val="7BA01F93"/>
    <w:rsid w:val="7BA80A49"/>
    <w:rsid w:val="7BA83F75"/>
    <w:rsid w:val="7BAB28AD"/>
    <w:rsid w:val="7BB4157F"/>
    <w:rsid w:val="7BB5769B"/>
    <w:rsid w:val="7BBC01B1"/>
    <w:rsid w:val="7BBF0365"/>
    <w:rsid w:val="7BCB2635"/>
    <w:rsid w:val="7BCF5D05"/>
    <w:rsid w:val="7BD2616C"/>
    <w:rsid w:val="7BDF3765"/>
    <w:rsid w:val="7BE60350"/>
    <w:rsid w:val="7BEF0055"/>
    <w:rsid w:val="7BEF5CEF"/>
    <w:rsid w:val="7BF009B9"/>
    <w:rsid w:val="7BF442F1"/>
    <w:rsid w:val="7BF82EB6"/>
    <w:rsid w:val="7BFA3D5A"/>
    <w:rsid w:val="7BFD4722"/>
    <w:rsid w:val="7C046BD2"/>
    <w:rsid w:val="7C051447"/>
    <w:rsid w:val="7C0844A3"/>
    <w:rsid w:val="7C0901C7"/>
    <w:rsid w:val="7C091A77"/>
    <w:rsid w:val="7C0A5807"/>
    <w:rsid w:val="7C0E3B0D"/>
    <w:rsid w:val="7C124518"/>
    <w:rsid w:val="7C1550A3"/>
    <w:rsid w:val="7C164EF0"/>
    <w:rsid w:val="7C1723BA"/>
    <w:rsid w:val="7C174113"/>
    <w:rsid w:val="7C1C74BD"/>
    <w:rsid w:val="7C225D3E"/>
    <w:rsid w:val="7C255582"/>
    <w:rsid w:val="7C271206"/>
    <w:rsid w:val="7C2A2060"/>
    <w:rsid w:val="7C2C4E60"/>
    <w:rsid w:val="7C2C73A8"/>
    <w:rsid w:val="7C2D7C10"/>
    <w:rsid w:val="7C3A70CB"/>
    <w:rsid w:val="7C3D1B54"/>
    <w:rsid w:val="7C3F342F"/>
    <w:rsid w:val="7C44429B"/>
    <w:rsid w:val="7C457044"/>
    <w:rsid w:val="7C462EFA"/>
    <w:rsid w:val="7C4646EB"/>
    <w:rsid w:val="7C4A1125"/>
    <w:rsid w:val="7C4D1ED2"/>
    <w:rsid w:val="7C4D5B9E"/>
    <w:rsid w:val="7C4F255E"/>
    <w:rsid w:val="7C4F361F"/>
    <w:rsid w:val="7C5458FB"/>
    <w:rsid w:val="7C564559"/>
    <w:rsid w:val="7C565F9E"/>
    <w:rsid w:val="7C5A0BE2"/>
    <w:rsid w:val="7C5E1A33"/>
    <w:rsid w:val="7C61179C"/>
    <w:rsid w:val="7C62022D"/>
    <w:rsid w:val="7C621A2E"/>
    <w:rsid w:val="7C6262F9"/>
    <w:rsid w:val="7C646C1F"/>
    <w:rsid w:val="7C6632F7"/>
    <w:rsid w:val="7C69031E"/>
    <w:rsid w:val="7C6A37C6"/>
    <w:rsid w:val="7C6D2F31"/>
    <w:rsid w:val="7C6E12D7"/>
    <w:rsid w:val="7C716095"/>
    <w:rsid w:val="7C7262FB"/>
    <w:rsid w:val="7C7707D0"/>
    <w:rsid w:val="7C773E7A"/>
    <w:rsid w:val="7C77475D"/>
    <w:rsid w:val="7C7C1194"/>
    <w:rsid w:val="7C864107"/>
    <w:rsid w:val="7C8665F6"/>
    <w:rsid w:val="7C8924AE"/>
    <w:rsid w:val="7C8F15D7"/>
    <w:rsid w:val="7C922AD8"/>
    <w:rsid w:val="7C943E09"/>
    <w:rsid w:val="7C973131"/>
    <w:rsid w:val="7C98170D"/>
    <w:rsid w:val="7C993861"/>
    <w:rsid w:val="7CA12726"/>
    <w:rsid w:val="7CA6452A"/>
    <w:rsid w:val="7CA70AFE"/>
    <w:rsid w:val="7CA7201D"/>
    <w:rsid w:val="7CAA5226"/>
    <w:rsid w:val="7CAC5420"/>
    <w:rsid w:val="7CAD4CAD"/>
    <w:rsid w:val="7CAE2B56"/>
    <w:rsid w:val="7CB00D8F"/>
    <w:rsid w:val="7CB10C9F"/>
    <w:rsid w:val="7CB33608"/>
    <w:rsid w:val="7CB73442"/>
    <w:rsid w:val="7CBC46A6"/>
    <w:rsid w:val="7CBF0AEE"/>
    <w:rsid w:val="7CC03CF4"/>
    <w:rsid w:val="7CC726E8"/>
    <w:rsid w:val="7CCC2ED1"/>
    <w:rsid w:val="7CCF4537"/>
    <w:rsid w:val="7CCF61F5"/>
    <w:rsid w:val="7CD50686"/>
    <w:rsid w:val="7CD530A8"/>
    <w:rsid w:val="7CDD4999"/>
    <w:rsid w:val="7CE043C7"/>
    <w:rsid w:val="7CE65DA4"/>
    <w:rsid w:val="7CEB0951"/>
    <w:rsid w:val="7CEB36AB"/>
    <w:rsid w:val="7CEC25A3"/>
    <w:rsid w:val="7CEF4F32"/>
    <w:rsid w:val="7D001D87"/>
    <w:rsid w:val="7D004A38"/>
    <w:rsid w:val="7D03348F"/>
    <w:rsid w:val="7D05168A"/>
    <w:rsid w:val="7D05352A"/>
    <w:rsid w:val="7D09351C"/>
    <w:rsid w:val="7D094AB5"/>
    <w:rsid w:val="7D0A22D8"/>
    <w:rsid w:val="7D0A7F14"/>
    <w:rsid w:val="7D0C13FC"/>
    <w:rsid w:val="7D0C76C1"/>
    <w:rsid w:val="7D0E288B"/>
    <w:rsid w:val="7D0F7033"/>
    <w:rsid w:val="7D13434F"/>
    <w:rsid w:val="7D135677"/>
    <w:rsid w:val="7D1609B3"/>
    <w:rsid w:val="7D164440"/>
    <w:rsid w:val="7D186C26"/>
    <w:rsid w:val="7D195283"/>
    <w:rsid w:val="7D1F1D19"/>
    <w:rsid w:val="7D210E8E"/>
    <w:rsid w:val="7D215D30"/>
    <w:rsid w:val="7D274250"/>
    <w:rsid w:val="7D284ED2"/>
    <w:rsid w:val="7D2A0B3B"/>
    <w:rsid w:val="7D2F632D"/>
    <w:rsid w:val="7D385D4A"/>
    <w:rsid w:val="7D3C3259"/>
    <w:rsid w:val="7D3C3EB3"/>
    <w:rsid w:val="7D3D7277"/>
    <w:rsid w:val="7D404768"/>
    <w:rsid w:val="7D410003"/>
    <w:rsid w:val="7D424746"/>
    <w:rsid w:val="7D433869"/>
    <w:rsid w:val="7D48250F"/>
    <w:rsid w:val="7D4936A9"/>
    <w:rsid w:val="7D4A19B0"/>
    <w:rsid w:val="7D4A4399"/>
    <w:rsid w:val="7D4B1F9E"/>
    <w:rsid w:val="7D4E0142"/>
    <w:rsid w:val="7D523F97"/>
    <w:rsid w:val="7D545BC5"/>
    <w:rsid w:val="7D55021D"/>
    <w:rsid w:val="7D5908A4"/>
    <w:rsid w:val="7D591EFD"/>
    <w:rsid w:val="7D5C2195"/>
    <w:rsid w:val="7D5E3F9D"/>
    <w:rsid w:val="7D623A5E"/>
    <w:rsid w:val="7D64743F"/>
    <w:rsid w:val="7D661138"/>
    <w:rsid w:val="7D666FC7"/>
    <w:rsid w:val="7D701E74"/>
    <w:rsid w:val="7D741508"/>
    <w:rsid w:val="7D754A40"/>
    <w:rsid w:val="7D784105"/>
    <w:rsid w:val="7D7C68BC"/>
    <w:rsid w:val="7D803AAA"/>
    <w:rsid w:val="7D810AC3"/>
    <w:rsid w:val="7D83136B"/>
    <w:rsid w:val="7D837D16"/>
    <w:rsid w:val="7D844B02"/>
    <w:rsid w:val="7D845B28"/>
    <w:rsid w:val="7D860CC4"/>
    <w:rsid w:val="7D8623C5"/>
    <w:rsid w:val="7D9D1117"/>
    <w:rsid w:val="7D9F7DFC"/>
    <w:rsid w:val="7DA173E4"/>
    <w:rsid w:val="7DA43FC3"/>
    <w:rsid w:val="7DA523CC"/>
    <w:rsid w:val="7DA6115A"/>
    <w:rsid w:val="7DAB5C38"/>
    <w:rsid w:val="7DB53A39"/>
    <w:rsid w:val="7DB546C5"/>
    <w:rsid w:val="7DB75B94"/>
    <w:rsid w:val="7DBB4586"/>
    <w:rsid w:val="7DC03B2F"/>
    <w:rsid w:val="7DC33E6D"/>
    <w:rsid w:val="7DC52787"/>
    <w:rsid w:val="7DC53737"/>
    <w:rsid w:val="7DCB0F33"/>
    <w:rsid w:val="7DCB5474"/>
    <w:rsid w:val="7DCE0734"/>
    <w:rsid w:val="7DCF46BE"/>
    <w:rsid w:val="7DD17A4E"/>
    <w:rsid w:val="7DD2307A"/>
    <w:rsid w:val="7DD97591"/>
    <w:rsid w:val="7DDE12DB"/>
    <w:rsid w:val="7DE6482F"/>
    <w:rsid w:val="7DE83CD7"/>
    <w:rsid w:val="7DED4294"/>
    <w:rsid w:val="7DEF6E5C"/>
    <w:rsid w:val="7DF03F98"/>
    <w:rsid w:val="7DF157D7"/>
    <w:rsid w:val="7DF26295"/>
    <w:rsid w:val="7DF478A1"/>
    <w:rsid w:val="7DF8138B"/>
    <w:rsid w:val="7DF85E90"/>
    <w:rsid w:val="7DFF20E4"/>
    <w:rsid w:val="7E005A1D"/>
    <w:rsid w:val="7E021D63"/>
    <w:rsid w:val="7E0B2174"/>
    <w:rsid w:val="7E0D29A9"/>
    <w:rsid w:val="7E0D762A"/>
    <w:rsid w:val="7E10072E"/>
    <w:rsid w:val="7E151E1E"/>
    <w:rsid w:val="7E155F42"/>
    <w:rsid w:val="7E1A5B81"/>
    <w:rsid w:val="7E1D291A"/>
    <w:rsid w:val="7E210641"/>
    <w:rsid w:val="7E21143B"/>
    <w:rsid w:val="7E26070B"/>
    <w:rsid w:val="7E2B33CC"/>
    <w:rsid w:val="7E2B73BD"/>
    <w:rsid w:val="7E2E6782"/>
    <w:rsid w:val="7E3561BB"/>
    <w:rsid w:val="7E3666D3"/>
    <w:rsid w:val="7E3B7586"/>
    <w:rsid w:val="7E3C585B"/>
    <w:rsid w:val="7E4221AE"/>
    <w:rsid w:val="7E42247F"/>
    <w:rsid w:val="7E4408D4"/>
    <w:rsid w:val="7E450373"/>
    <w:rsid w:val="7E464A5C"/>
    <w:rsid w:val="7E5339E0"/>
    <w:rsid w:val="7E533D57"/>
    <w:rsid w:val="7E583377"/>
    <w:rsid w:val="7E5857F4"/>
    <w:rsid w:val="7E5A0386"/>
    <w:rsid w:val="7E5E7205"/>
    <w:rsid w:val="7E6073F5"/>
    <w:rsid w:val="7E63614E"/>
    <w:rsid w:val="7E6568E7"/>
    <w:rsid w:val="7E661C2E"/>
    <w:rsid w:val="7E687805"/>
    <w:rsid w:val="7E6A7188"/>
    <w:rsid w:val="7E6B1A79"/>
    <w:rsid w:val="7E6F760E"/>
    <w:rsid w:val="7E705814"/>
    <w:rsid w:val="7E73498B"/>
    <w:rsid w:val="7E7631B9"/>
    <w:rsid w:val="7E7E2DA0"/>
    <w:rsid w:val="7E810A79"/>
    <w:rsid w:val="7E8442D4"/>
    <w:rsid w:val="7E857A59"/>
    <w:rsid w:val="7E87696E"/>
    <w:rsid w:val="7E8E6B2E"/>
    <w:rsid w:val="7E8F5350"/>
    <w:rsid w:val="7E902F1B"/>
    <w:rsid w:val="7E90654B"/>
    <w:rsid w:val="7E906CF5"/>
    <w:rsid w:val="7E9468E2"/>
    <w:rsid w:val="7E947EB0"/>
    <w:rsid w:val="7E951D58"/>
    <w:rsid w:val="7E9565A0"/>
    <w:rsid w:val="7E987D87"/>
    <w:rsid w:val="7E99172B"/>
    <w:rsid w:val="7EA4200E"/>
    <w:rsid w:val="7EA51F7C"/>
    <w:rsid w:val="7EA63033"/>
    <w:rsid w:val="7EA6655B"/>
    <w:rsid w:val="7EA9476C"/>
    <w:rsid w:val="7EAB2FE4"/>
    <w:rsid w:val="7EAD7453"/>
    <w:rsid w:val="7EB04C88"/>
    <w:rsid w:val="7EB524F4"/>
    <w:rsid w:val="7EB54F5D"/>
    <w:rsid w:val="7EB84DBD"/>
    <w:rsid w:val="7EB94A3A"/>
    <w:rsid w:val="7EBA293E"/>
    <w:rsid w:val="7EBA5FA4"/>
    <w:rsid w:val="7EBB7D09"/>
    <w:rsid w:val="7EC20347"/>
    <w:rsid w:val="7EC27D31"/>
    <w:rsid w:val="7EC35E34"/>
    <w:rsid w:val="7EC6105C"/>
    <w:rsid w:val="7ECA64EF"/>
    <w:rsid w:val="7ECA7595"/>
    <w:rsid w:val="7ECD5DAA"/>
    <w:rsid w:val="7ED11E2D"/>
    <w:rsid w:val="7ED37898"/>
    <w:rsid w:val="7ED54675"/>
    <w:rsid w:val="7ED723AA"/>
    <w:rsid w:val="7ED77DCF"/>
    <w:rsid w:val="7ED81337"/>
    <w:rsid w:val="7EDF3D86"/>
    <w:rsid w:val="7EE03E94"/>
    <w:rsid w:val="7EE53824"/>
    <w:rsid w:val="7EE92510"/>
    <w:rsid w:val="7EE94002"/>
    <w:rsid w:val="7EEB088F"/>
    <w:rsid w:val="7EEC15E1"/>
    <w:rsid w:val="7EED3730"/>
    <w:rsid w:val="7EFA6724"/>
    <w:rsid w:val="7EFE776B"/>
    <w:rsid w:val="7F007BA5"/>
    <w:rsid w:val="7F0371A8"/>
    <w:rsid w:val="7F0754B2"/>
    <w:rsid w:val="7F0A37AC"/>
    <w:rsid w:val="7F0C594E"/>
    <w:rsid w:val="7F0F04FC"/>
    <w:rsid w:val="7F0F27D7"/>
    <w:rsid w:val="7F106177"/>
    <w:rsid w:val="7F112B9B"/>
    <w:rsid w:val="7F1642D4"/>
    <w:rsid w:val="7F177319"/>
    <w:rsid w:val="7F3245AE"/>
    <w:rsid w:val="7F3313C1"/>
    <w:rsid w:val="7F33609A"/>
    <w:rsid w:val="7F3419F8"/>
    <w:rsid w:val="7F371CCD"/>
    <w:rsid w:val="7F3818C3"/>
    <w:rsid w:val="7F3F703B"/>
    <w:rsid w:val="7F431930"/>
    <w:rsid w:val="7F484CE2"/>
    <w:rsid w:val="7F4B1ABA"/>
    <w:rsid w:val="7F4B4746"/>
    <w:rsid w:val="7F4B7EB8"/>
    <w:rsid w:val="7F530697"/>
    <w:rsid w:val="7F533E51"/>
    <w:rsid w:val="7F59081E"/>
    <w:rsid w:val="7F5B565B"/>
    <w:rsid w:val="7F5B626D"/>
    <w:rsid w:val="7F60010F"/>
    <w:rsid w:val="7F601116"/>
    <w:rsid w:val="7F61133F"/>
    <w:rsid w:val="7F614CC7"/>
    <w:rsid w:val="7F634DDF"/>
    <w:rsid w:val="7F6A2277"/>
    <w:rsid w:val="7F735BA0"/>
    <w:rsid w:val="7F773716"/>
    <w:rsid w:val="7F7A387D"/>
    <w:rsid w:val="7F7D41C3"/>
    <w:rsid w:val="7F7E2B28"/>
    <w:rsid w:val="7F827CF4"/>
    <w:rsid w:val="7F870DEC"/>
    <w:rsid w:val="7F8904AD"/>
    <w:rsid w:val="7F8B20C3"/>
    <w:rsid w:val="7F8D5188"/>
    <w:rsid w:val="7F966F24"/>
    <w:rsid w:val="7F9C24D7"/>
    <w:rsid w:val="7FA61764"/>
    <w:rsid w:val="7FA6331F"/>
    <w:rsid w:val="7FA745A2"/>
    <w:rsid w:val="7FA80207"/>
    <w:rsid w:val="7FA9027A"/>
    <w:rsid w:val="7FAC03CF"/>
    <w:rsid w:val="7FAF5BE0"/>
    <w:rsid w:val="7FB32C3D"/>
    <w:rsid w:val="7FB37137"/>
    <w:rsid w:val="7FB92E4E"/>
    <w:rsid w:val="7FBA23FA"/>
    <w:rsid w:val="7FBE62B2"/>
    <w:rsid w:val="7FC15238"/>
    <w:rsid w:val="7FC35C74"/>
    <w:rsid w:val="7FC61AB8"/>
    <w:rsid w:val="7FC87877"/>
    <w:rsid w:val="7FC94A6A"/>
    <w:rsid w:val="7FD171E2"/>
    <w:rsid w:val="7FD203D0"/>
    <w:rsid w:val="7FD37428"/>
    <w:rsid w:val="7FD41F6C"/>
    <w:rsid w:val="7FD6658B"/>
    <w:rsid w:val="7FD735FD"/>
    <w:rsid w:val="7FD741FE"/>
    <w:rsid w:val="7FD768CD"/>
    <w:rsid w:val="7FDE1C03"/>
    <w:rsid w:val="7FDF3411"/>
    <w:rsid w:val="7FE245F4"/>
    <w:rsid w:val="7FE31249"/>
    <w:rsid w:val="7FE40F9C"/>
    <w:rsid w:val="7FE46955"/>
    <w:rsid w:val="7FE87FDE"/>
    <w:rsid w:val="7FE94F7E"/>
    <w:rsid w:val="7FEB2320"/>
    <w:rsid w:val="7FEC4D39"/>
    <w:rsid w:val="7FED4314"/>
    <w:rsid w:val="7FEE5DAE"/>
    <w:rsid w:val="7FEF0430"/>
    <w:rsid w:val="7FF1661D"/>
    <w:rsid w:val="7FF742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36"/>
    <w:qFormat/>
    <w:uiPriority w:val="0"/>
    <w:pPr>
      <w:keepNext/>
      <w:keepLines/>
      <w:spacing w:before="340" w:after="330" w:line="576" w:lineRule="auto"/>
      <w:outlineLvl w:val="0"/>
    </w:pPr>
    <w:rPr>
      <w:rFonts w:ascii="Plotter" w:hAnsi="Plotter"/>
      <w:b/>
      <w:bCs/>
      <w:kern w:val="44"/>
      <w:sz w:val="44"/>
      <w:szCs w:val="44"/>
    </w:rPr>
  </w:style>
  <w:style w:type="paragraph" w:styleId="6">
    <w:name w:val="heading 2"/>
    <w:basedOn w:val="1"/>
    <w:next w:val="1"/>
    <w:link w:val="40"/>
    <w:qFormat/>
    <w:uiPriority w:val="0"/>
    <w:pPr>
      <w:keepNext/>
      <w:keepLines/>
      <w:spacing w:before="260" w:after="260" w:line="413" w:lineRule="auto"/>
      <w:outlineLvl w:val="1"/>
    </w:pPr>
    <w:rPr>
      <w:rFonts w:ascii="Arial" w:hAnsi="Arial" w:eastAsia="黑体"/>
      <w:b/>
      <w:bCs/>
      <w:sz w:val="32"/>
      <w:szCs w:val="32"/>
    </w:rPr>
  </w:style>
  <w:style w:type="paragraph" w:styleId="7">
    <w:name w:val="heading 3"/>
    <w:basedOn w:val="6"/>
    <w:next w:val="1"/>
    <w:link w:val="58"/>
    <w:qFormat/>
    <w:uiPriority w:val="0"/>
    <w:pPr>
      <w:spacing w:line="416" w:lineRule="atLeast"/>
      <w:outlineLvl w:val="2"/>
    </w:pPr>
    <w:rPr>
      <w:sz w:val="24"/>
    </w:rPr>
  </w:style>
  <w:style w:type="paragraph" w:styleId="8">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0"/>
    <w:qFormat/>
    <w:uiPriority w:val="0"/>
    <w:pPr>
      <w:spacing w:after="120"/>
    </w:pPr>
    <w:rPr>
      <w:szCs w:val="24"/>
    </w:rPr>
  </w:style>
  <w:style w:type="paragraph" w:customStyle="1" w:styleId="3">
    <w:name w:val="xl27"/>
    <w:basedOn w:val="1"/>
    <w:next w:val="4"/>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4">
    <w:name w:val="Body Text Indent 2"/>
    <w:basedOn w:val="1"/>
    <w:next w:val="1"/>
    <w:qFormat/>
    <w:uiPriority w:val="0"/>
    <w:pPr>
      <w:spacing w:after="120" w:line="480" w:lineRule="auto"/>
      <w:ind w:left="200" w:leftChars="200"/>
    </w:pPr>
    <w:rPr>
      <w:szCs w:val="24"/>
    </w:rPr>
  </w:style>
  <w:style w:type="paragraph" w:styleId="9">
    <w:name w:val="Normal Indent"/>
    <w:basedOn w:val="1"/>
    <w:link w:val="73"/>
    <w:qFormat/>
    <w:uiPriority w:val="0"/>
    <w:pPr>
      <w:ind w:firstLine="420" w:firstLineChars="200"/>
    </w:pPr>
    <w:rPr>
      <w:rFonts w:ascii="宋体" w:hAnsi="宋体"/>
    </w:rPr>
  </w:style>
  <w:style w:type="paragraph" w:styleId="10">
    <w:name w:val="caption"/>
    <w:basedOn w:val="1"/>
    <w:next w:val="1"/>
    <w:qFormat/>
    <w:uiPriority w:val="0"/>
    <w:rPr>
      <w:rFonts w:ascii="Arial" w:hAnsi="Arial" w:eastAsia="黑体" w:cs="Arial"/>
      <w:sz w:val="20"/>
    </w:rPr>
  </w:style>
  <w:style w:type="paragraph" w:styleId="11">
    <w:name w:val="Document Map"/>
    <w:basedOn w:val="1"/>
    <w:qFormat/>
    <w:uiPriority w:val="0"/>
    <w:pPr>
      <w:shd w:val="clear" w:color="auto" w:fill="000080"/>
    </w:pPr>
  </w:style>
  <w:style w:type="paragraph" w:styleId="12">
    <w:name w:val="annotation text"/>
    <w:basedOn w:val="1"/>
    <w:qFormat/>
    <w:uiPriority w:val="0"/>
    <w:pPr>
      <w:jc w:val="left"/>
    </w:pPr>
  </w:style>
  <w:style w:type="paragraph" w:styleId="13">
    <w:name w:val="Body Text 3"/>
    <w:basedOn w:val="1"/>
    <w:qFormat/>
    <w:uiPriority w:val="0"/>
    <w:pPr>
      <w:spacing w:after="120"/>
    </w:pPr>
    <w:rPr>
      <w:sz w:val="16"/>
      <w:szCs w:val="16"/>
    </w:rPr>
  </w:style>
  <w:style w:type="paragraph" w:styleId="14">
    <w:name w:val="Body Text Indent"/>
    <w:basedOn w:val="1"/>
    <w:next w:val="15"/>
    <w:link w:val="42"/>
    <w:qFormat/>
    <w:uiPriority w:val="0"/>
    <w:pPr>
      <w:spacing w:after="120"/>
      <w:ind w:left="420" w:leftChars="200"/>
    </w:pPr>
    <w:rPr>
      <w:szCs w:val="24"/>
    </w:rPr>
  </w:style>
  <w:style w:type="paragraph" w:styleId="15">
    <w:name w:val="Body Text First Indent 2"/>
    <w:basedOn w:val="14"/>
    <w:next w:val="1"/>
    <w:unhideWhenUsed/>
    <w:qFormat/>
    <w:uiPriority w:val="0"/>
    <w:pPr>
      <w:spacing w:after="200"/>
      <w:ind w:left="360" w:firstLine="360"/>
    </w:pPr>
  </w:style>
  <w:style w:type="paragraph" w:styleId="16">
    <w:name w:val="Block Text"/>
    <w:basedOn w:val="1"/>
    <w:qFormat/>
    <w:uiPriority w:val="0"/>
    <w:pPr>
      <w:spacing w:after="120"/>
      <w:ind w:left="1440" w:leftChars="700" w:right="1440" w:rightChars="700"/>
    </w:pPr>
    <w:rPr>
      <w:szCs w:val="24"/>
    </w:rPr>
  </w:style>
  <w:style w:type="paragraph" w:styleId="17">
    <w:name w:val="Plain Text"/>
    <w:basedOn w:val="1"/>
    <w:qFormat/>
    <w:uiPriority w:val="0"/>
    <w:rPr>
      <w:rFonts w:ascii="宋体" w:hAnsi="Courier New"/>
    </w:rPr>
  </w:style>
  <w:style w:type="paragraph" w:styleId="18">
    <w:name w:val="Balloon Text"/>
    <w:basedOn w:val="1"/>
    <w:link w:val="61"/>
    <w:qFormat/>
    <w:uiPriority w:val="0"/>
    <w:rPr>
      <w:sz w:val="18"/>
      <w:szCs w:val="18"/>
    </w:rPr>
  </w:style>
  <w:style w:type="paragraph" w:styleId="19">
    <w:name w:val="footer"/>
    <w:basedOn w:val="1"/>
    <w:link w:val="78"/>
    <w:qFormat/>
    <w:uiPriority w:val="0"/>
    <w:pPr>
      <w:tabs>
        <w:tab w:val="center" w:pos="4153"/>
        <w:tab w:val="right" w:pos="8306"/>
      </w:tabs>
      <w:snapToGrid w:val="0"/>
      <w:jc w:val="left"/>
    </w:pPr>
    <w:rPr>
      <w:sz w:val="18"/>
    </w:rPr>
  </w:style>
  <w:style w:type="paragraph" w:styleId="20">
    <w:name w:val="header"/>
    <w:basedOn w:val="1"/>
    <w:link w:val="57"/>
    <w:qFormat/>
    <w:uiPriority w:val="0"/>
    <w:pPr>
      <w:pBdr>
        <w:bottom w:val="single" w:color="auto" w:sz="6" w:space="1"/>
      </w:pBdr>
      <w:tabs>
        <w:tab w:val="center" w:pos="4153"/>
        <w:tab w:val="right" w:pos="8306"/>
      </w:tabs>
      <w:snapToGrid w:val="0"/>
      <w:jc w:val="center"/>
    </w:pPr>
    <w:rPr>
      <w:sz w:val="18"/>
      <w:szCs w:val="18"/>
    </w:rPr>
  </w:style>
  <w:style w:type="paragraph" w:styleId="21">
    <w:name w:val="Body Text Indent 3"/>
    <w:basedOn w:val="1"/>
    <w:qFormat/>
    <w:uiPriority w:val="0"/>
    <w:pPr>
      <w:spacing w:after="120"/>
      <w:ind w:left="420" w:leftChars="200"/>
    </w:pPr>
    <w:rPr>
      <w:sz w:val="16"/>
      <w:szCs w:val="16"/>
    </w:rPr>
  </w:style>
  <w:style w:type="paragraph" w:styleId="2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4">
    <w:name w:val="index 1"/>
    <w:basedOn w:val="1"/>
    <w:next w:val="1"/>
    <w:qFormat/>
    <w:uiPriority w:val="0"/>
    <w:pPr>
      <w:spacing w:line="380" w:lineRule="exact"/>
      <w:ind w:firstLine="360" w:firstLineChars="150"/>
    </w:pPr>
    <w:rPr>
      <w:rFonts w:ascii="宋体" w:hAnsi="宋体"/>
      <w:sz w:val="24"/>
    </w:rPr>
  </w:style>
  <w:style w:type="paragraph" w:styleId="25">
    <w:name w:val="Title"/>
    <w:basedOn w:val="1"/>
    <w:qFormat/>
    <w:uiPriority w:val="0"/>
    <w:pPr>
      <w:spacing w:before="240" w:after="60"/>
      <w:jc w:val="center"/>
      <w:outlineLvl w:val="0"/>
    </w:pPr>
    <w:rPr>
      <w:rFonts w:ascii="Arial" w:hAnsi="Arial" w:cs="Arial"/>
      <w:b/>
      <w:bCs/>
      <w:sz w:val="32"/>
      <w:szCs w:val="32"/>
    </w:rPr>
  </w:style>
  <w:style w:type="paragraph" w:styleId="26">
    <w:name w:val="annotation subject"/>
    <w:basedOn w:val="12"/>
    <w:next w:val="12"/>
    <w:qFormat/>
    <w:uiPriority w:val="0"/>
    <w:rPr>
      <w:b/>
      <w:bCs/>
    </w:rPr>
  </w:style>
  <w:style w:type="paragraph" w:styleId="27">
    <w:name w:val="Body Text First Indent"/>
    <w:basedOn w:val="1"/>
    <w:qFormat/>
    <w:uiPriority w:val="0"/>
    <w:pPr>
      <w:overflowPunct w:val="0"/>
      <w:autoSpaceDE w:val="0"/>
      <w:autoSpaceDN w:val="0"/>
      <w:adjustRightInd w:val="0"/>
      <w:spacing w:line="360" w:lineRule="auto"/>
      <w:ind w:firstLine="539"/>
    </w:pPr>
    <w:rPr>
      <w:kern w:val="0"/>
      <w:sz w:val="28"/>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basedOn w:val="30"/>
    <w:qFormat/>
    <w:uiPriority w:val="0"/>
  </w:style>
  <w:style w:type="character" w:styleId="32">
    <w:name w:val="FollowedHyperlink"/>
    <w:basedOn w:val="30"/>
    <w:qFormat/>
    <w:uiPriority w:val="0"/>
    <w:rPr>
      <w:color w:val="4D4D4D"/>
      <w:u w:val="none"/>
    </w:rPr>
  </w:style>
  <w:style w:type="character" w:styleId="33">
    <w:name w:val="Emphasis"/>
    <w:basedOn w:val="30"/>
    <w:qFormat/>
    <w:uiPriority w:val="0"/>
    <w:rPr>
      <w:color w:val="CC0000"/>
    </w:rPr>
  </w:style>
  <w:style w:type="character" w:styleId="34">
    <w:name w:val="Hyperlink"/>
    <w:basedOn w:val="30"/>
    <w:qFormat/>
    <w:uiPriority w:val="0"/>
    <w:rPr>
      <w:color w:val="000000"/>
      <w:u w:val="none"/>
    </w:rPr>
  </w:style>
  <w:style w:type="character" w:styleId="35">
    <w:name w:val="annotation reference"/>
    <w:basedOn w:val="30"/>
    <w:qFormat/>
    <w:uiPriority w:val="0"/>
    <w:rPr>
      <w:sz w:val="21"/>
      <w:szCs w:val="21"/>
    </w:rPr>
  </w:style>
  <w:style w:type="character" w:customStyle="1" w:styleId="36">
    <w:name w:val="标题 1 Char"/>
    <w:basedOn w:val="30"/>
    <w:link w:val="5"/>
    <w:qFormat/>
    <w:uiPriority w:val="0"/>
    <w:rPr>
      <w:rFonts w:ascii="Plotter" w:hAnsi="Plotter" w:eastAsia="宋体"/>
      <w:b/>
      <w:bCs/>
      <w:kern w:val="44"/>
      <w:sz w:val="44"/>
      <w:szCs w:val="44"/>
      <w:lang w:val="en-US" w:eastAsia="zh-CN" w:bidi="ar-SA"/>
    </w:rPr>
  </w:style>
  <w:style w:type="character" w:customStyle="1" w:styleId="37">
    <w:name w:val="cur"/>
    <w:basedOn w:val="30"/>
    <w:qFormat/>
    <w:uiPriority w:val="0"/>
    <w:rPr>
      <w:shd w:val="clear" w:color="auto" w:fill="FF0000"/>
    </w:rPr>
  </w:style>
  <w:style w:type="character" w:customStyle="1" w:styleId="38">
    <w:name w:val="页眉 Char1"/>
    <w:basedOn w:val="30"/>
    <w:qFormat/>
    <w:uiPriority w:val="0"/>
    <w:rPr>
      <w:rFonts w:hint="default" w:ascii="Calibri" w:hAnsi="Calibri" w:cs="Calibri"/>
    </w:rPr>
  </w:style>
  <w:style w:type="character" w:customStyle="1" w:styleId="39">
    <w:name w:val="on"/>
    <w:basedOn w:val="30"/>
    <w:qFormat/>
    <w:uiPriority w:val="0"/>
    <w:rPr>
      <w:color w:val="FFFFFF"/>
    </w:rPr>
  </w:style>
  <w:style w:type="character" w:customStyle="1" w:styleId="40">
    <w:name w:val="标题 2 Char"/>
    <w:basedOn w:val="30"/>
    <w:link w:val="6"/>
    <w:qFormat/>
    <w:uiPriority w:val="0"/>
    <w:rPr>
      <w:rFonts w:ascii="Arial" w:hAnsi="Arial" w:eastAsia="黑体"/>
      <w:b/>
      <w:bCs/>
      <w:kern w:val="2"/>
      <w:sz w:val="32"/>
      <w:szCs w:val="32"/>
      <w:lang w:val="en-US" w:eastAsia="zh-CN" w:bidi="ar-SA"/>
    </w:rPr>
  </w:style>
  <w:style w:type="character" w:customStyle="1" w:styleId="41">
    <w:name w:val="normal2"/>
    <w:basedOn w:val="30"/>
    <w:qFormat/>
    <w:uiPriority w:val="0"/>
    <w:rPr>
      <w:color w:val="FFFFFF"/>
    </w:rPr>
  </w:style>
  <w:style w:type="character" w:customStyle="1" w:styleId="42">
    <w:name w:val="正文文本缩进 Char"/>
    <w:basedOn w:val="30"/>
    <w:link w:val="14"/>
    <w:qFormat/>
    <w:uiPriority w:val="0"/>
    <w:rPr>
      <w:kern w:val="2"/>
      <w:sz w:val="21"/>
      <w:szCs w:val="24"/>
    </w:rPr>
  </w:style>
  <w:style w:type="character" w:customStyle="1" w:styleId="43">
    <w:name w:val="postbody1"/>
    <w:basedOn w:val="30"/>
    <w:qFormat/>
    <w:uiPriority w:val="0"/>
    <w:rPr>
      <w:sz w:val="21"/>
    </w:rPr>
  </w:style>
  <w:style w:type="character" w:customStyle="1" w:styleId="44">
    <w:name w:val="titbg1"/>
    <w:basedOn w:val="30"/>
    <w:qFormat/>
    <w:uiPriority w:val="0"/>
    <w:rPr>
      <w:shd w:val="clear" w:color="auto" w:fill="378ED7"/>
    </w:rPr>
  </w:style>
  <w:style w:type="character" w:customStyle="1" w:styleId="45">
    <w:name w:val="段落 Char"/>
    <w:basedOn w:val="30"/>
    <w:link w:val="46"/>
    <w:qFormat/>
    <w:uiPriority w:val="0"/>
    <w:rPr>
      <w:rFonts w:eastAsia="宋体"/>
      <w:b/>
      <w:kern w:val="24"/>
      <w:sz w:val="21"/>
      <w:szCs w:val="21"/>
      <w:lang w:val="en-US" w:eastAsia="zh-CN" w:bidi="ar-SA"/>
    </w:rPr>
  </w:style>
  <w:style w:type="paragraph" w:customStyle="1" w:styleId="46">
    <w:name w:val="段落"/>
    <w:basedOn w:val="1"/>
    <w:link w:val="45"/>
    <w:qFormat/>
    <w:uiPriority w:val="0"/>
    <w:pPr>
      <w:tabs>
        <w:tab w:val="left" w:pos="1021"/>
      </w:tabs>
      <w:spacing w:line="360" w:lineRule="auto"/>
      <w:jc w:val="center"/>
    </w:pPr>
    <w:rPr>
      <w:b/>
      <w:kern w:val="24"/>
      <w:szCs w:val="21"/>
    </w:rPr>
  </w:style>
  <w:style w:type="character" w:customStyle="1" w:styleId="47">
    <w:name w:val="gwds_nopic"/>
    <w:basedOn w:val="30"/>
    <w:qFormat/>
    <w:uiPriority w:val="0"/>
  </w:style>
  <w:style w:type="character" w:customStyle="1" w:styleId="48">
    <w:name w:val="error"/>
    <w:basedOn w:val="30"/>
    <w:qFormat/>
    <w:uiPriority w:val="0"/>
    <w:rPr>
      <w:color w:val="EA5200"/>
    </w:rPr>
  </w:style>
  <w:style w:type="character" w:customStyle="1" w:styleId="49">
    <w:name w:val="正文文本 Char"/>
    <w:qFormat/>
    <w:uiPriority w:val="0"/>
    <w:rPr>
      <w:rFonts w:eastAsia="宋体"/>
      <w:kern w:val="2"/>
      <w:sz w:val="21"/>
      <w:szCs w:val="24"/>
      <w:lang w:val="en-US" w:eastAsia="zh-CN" w:bidi="ar-SA"/>
    </w:rPr>
  </w:style>
  <w:style w:type="character" w:customStyle="1" w:styleId="50">
    <w:name w:val="apple-converted-space"/>
    <w:basedOn w:val="30"/>
    <w:qFormat/>
    <w:uiPriority w:val="0"/>
  </w:style>
  <w:style w:type="character" w:customStyle="1" w:styleId="51">
    <w:name w:val="正文11"/>
    <w:basedOn w:val="30"/>
    <w:qFormat/>
    <w:uiPriority w:val="0"/>
    <w:rPr>
      <w:color w:val="000000"/>
    </w:rPr>
  </w:style>
  <w:style w:type="character" w:customStyle="1" w:styleId="52">
    <w:name w:val="d1"/>
    <w:basedOn w:val="30"/>
    <w:qFormat/>
    <w:uiPriority w:val="0"/>
    <w:rPr>
      <w:rFonts w:hint="default" w:ascii="ˎ̥" w:hAnsi="ˎ̥"/>
      <w:color w:val="5C5C5C"/>
      <w:sz w:val="23"/>
      <w:szCs w:val="23"/>
      <w:u w:val="none"/>
    </w:rPr>
  </w:style>
  <w:style w:type="character" w:customStyle="1" w:styleId="53">
    <w:name w:val="cur1"/>
    <w:basedOn w:val="30"/>
    <w:qFormat/>
    <w:uiPriority w:val="0"/>
    <w:rPr>
      <w:b/>
    </w:rPr>
  </w:style>
  <w:style w:type="character" w:customStyle="1" w:styleId="54">
    <w:name w:val="表头 Char"/>
    <w:basedOn w:val="30"/>
    <w:link w:val="55"/>
    <w:qFormat/>
    <w:uiPriority w:val="0"/>
    <w:rPr>
      <w:rFonts w:ascii="宋体" w:hAnsi="宋体" w:eastAsia="黑体"/>
      <w:spacing w:val="6"/>
      <w:kern w:val="2"/>
      <w:position w:val="10"/>
      <w:sz w:val="21"/>
      <w:lang w:val="en-US" w:eastAsia="zh-CN" w:bidi="ar-SA"/>
    </w:rPr>
  </w:style>
  <w:style w:type="paragraph" w:customStyle="1" w:styleId="55">
    <w:name w:val="表头"/>
    <w:basedOn w:val="56"/>
    <w:next w:val="1"/>
    <w:link w:val="54"/>
    <w:qFormat/>
    <w:uiPriority w:val="0"/>
    <w:pPr>
      <w:spacing w:before="240" w:line="480" w:lineRule="exact"/>
      <w:ind w:firstLine="0" w:firstLineChars="0"/>
      <w:jc w:val="center"/>
    </w:pPr>
    <w:rPr>
      <w:rFonts w:eastAsia="黑体"/>
      <w:spacing w:val="6"/>
      <w:position w:val="10"/>
    </w:rPr>
  </w:style>
  <w:style w:type="paragraph" w:customStyle="1" w:styleId="56">
    <w:name w:val="正文1"/>
    <w:basedOn w:val="1"/>
    <w:qFormat/>
    <w:uiPriority w:val="0"/>
    <w:pPr>
      <w:widowControl/>
      <w:spacing w:line="360" w:lineRule="auto"/>
      <w:ind w:firstLine="200" w:firstLineChars="200"/>
    </w:pPr>
    <w:rPr>
      <w:kern w:val="0"/>
      <w:sz w:val="24"/>
      <w:szCs w:val="28"/>
    </w:rPr>
  </w:style>
  <w:style w:type="character" w:customStyle="1" w:styleId="57">
    <w:name w:val="页眉 Char2"/>
    <w:basedOn w:val="30"/>
    <w:link w:val="20"/>
    <w:qFormat/>
    <w:uiPriority w:val="0"/>
    <w:rPr>
      <w:rFonts w:eastAsia="宋体"/>
      <w:kern w:val="2"/>
      <w:sz w:val="18"/>
      <w:szCs w:val="18"/>
      <w:lang w:val="en-US" w:eastAsia="zh-CN" w:bidi="ar-SA"/>
    </w:rPr>
  </w:style>
  <w:style w:type="character" w:customStyle="1" w:styleId="58">
    <w:name w:val="标题 3 Char"/>
    <w:basedOn w:val="30"/>
    <w:link w:val="7"/>
    <w:qFormat/>
    <w:uiPriority w:val="0"/>
    <w:rPr>
      <w:rFonts w:eastAsia="宋体"/>
      <w:b/>
      <w:kern w:val="2"/>
      <w:sz w:val="24"/>
      <w:lang w:val="en-US" w:eastAsia="zh-CN" w:bidi="ar-SA"/>
    </w:rPr>
  </w:style>
  <w:style w:type="character" w:customStyle="1" w:styleId="59">
    <w:name w:val="cur2"/>
    <w:basedOn w:val="30"/>
    <w:qFormat/>
    <w:uiPriority w:val="0"/>
    <w:rPr>
      <w:b/>
    </w:rPr>
  </w:style>
  <w:style w:type="character" w:customStyle="1" w:styleId="60">
    <w:name w:val="正文文本 Char1"/>
    <w:basedOn w:val="30"/>
    <w:link w:val="2"/>
    <w:qFormat/>
    <w:uiPriority w:val="0"/>
    <w:rPr>
      <w:rFonts w:eastAsia="宋体"/>
      <w:kern w:val="2"/>
      <w:sz w:val="21"/>
      <w:lang w:val="en-US" w:eastAsia="zh-CN" w:bidi="ar-SA"/>
    </w:rPr>
  </w:style>
  <w:style w:type="character" w:customStyle="1" w:styleId="61">
    <w:name w:val="批注框文本 Char"/>
    <w:basedOn w:val="30"/>
    <w:link w:val="18"/>
    <w:qFormat/>
    <w:uiPriority w:val="0"/>
    <w:rPr>
      <w:rFonts w:eastAsia="宋体"/>
      <w:kern w:val="2"/>
      <w:sz w:val="18"/>
      <w:szCs w:val="18"/>
      <w:lang w:val="en-US" w:eastAsia="zh-CN" w:bidi="ar-SA"/>
    </w:rPr>
  </w:style>
  <w:style w:type="character" w:customStyle="1" w:styleId="62">
    <w:name w:val="gwds_nopic2"/>
    <w:basedOn w:val="30"/>
    <w:qFormat/>
    <w:uiPriority w:val="0"/>
  </w:style>
  <w:style w:type="character" w:customStyle="1" w:styleId="63">
    <w:name w:val="页眉 Char"/>
    <w:basedOn w:val="30"/>
    <w:qFormat/>
    <w:uiPriority w:val="0"/>
    <w:rPr>
      <w:rFonts w:ascii="幼圆" w:eastAsia="幼圆"/>
      <w:kern w:val="2"/>
      <w:sz w:val="18"/>
      <w:szCs w:val="18"/>
      <w:lang w:val="en-US" w:eastAsia="zh-CN" w:bidi="ar-SA"/>
    </w:rPr>
  </w:style>
  <w:style w:type="character" w:customStyle="1" w:styleId="64">
    <w:name w:val="unnamed1"/>
    <w:basedOn w:val="30"/>
    <w:qFormat/>
    <w:uiPriority w:val="0"/>
  </w:style>
  <w:style w:type="character" w:customStyle="1" w:styleId="65">
    <w:name w:val="normal1"/>
    <w:basedOn w:val="30"/>
    <w:qFormat/>
    <w:uiPriority w:val="0"/>
    <w:rPr>
      <w:color w:val="FFFFFF"/>
    </w:rPr>
  </w:style>
  <w:style w:type="character" w:customStyle="1" w:styleId="66">
    <w:name w:val="apple-style-span"/>
    <w:basedOn w:val="30"/>
    <w:qFormat/>
    <w:uiPriority w:val="0"/>
  </w:style>
  <w:style w:type="character" w:customStyle="1" w:styleId="67">
    <w:name w:val="中气表头 Char"/>
    <w:basedOn w:val="30"/>
    <w:link w:val="68"/>
    <w:qFormat/>
    <w:uiPriority w:val="0"/>
    <w:rPr>
      <w:rFonts w:ascii="黑体" w:eastAsia="黑体"/>
      <w:b/>
      <w:kern w:val="2"/>
      <w:sz w:val="21"/>
      <w:lang w:val="en-US" w:eastAsia="zh-CN" w:bidi="ar-SA"/>
    </w:rPr>
  </w:style>
  <w:style w:type="paragraph" w:customStyle="1" w:styleId="68">
    <w:name w:val="中气表头"/>
    <w:basedOn w:val="1"/>
    <w:link w:val="67"/>
    <w:qFormat/>
    <w:uiPriority w:val="0"/>
    <w:pPr>
      <w:jc w:val="center"/>
    </w:pPr>
    <w:rPr>
      <w:rFonts w:ascii="黑体" w:eastAsia="黑体"/>
      <w:b/>
    </w:rPr>
  </w:style>
  <w:style w:type="character" w:customStyle="1" w:styleId="69">
    <w:name w:val="title"/>
    <w:basedOn w:val="30"/>
    <w:qFormat/>
    <w:uiPriority w:val="0"/>
  </w:style>
  <w:style w:type="character" w:customStyle="1" w:styleId="70">
    <w:name w:val="gwds_nopic1"/>
    <w:basedOn w:val="30"/>
    <w:qFormat/>
    <w:uiPriority w:val="0"/>
  </w:style>
  <w:style w:type="character" w:customStyle="1" w:styleId="71">
    <w:name w:val="Char Char9"/>
    <w:basedOn w:val="30"/>
    <w:qFormat/>
    <w:uiPriority w:val="0"/>
    <w:rPr>
      <w:rFonts w:eastAsia="宋体"/>
      <w:kern w:val="2"/>
      <w:sz w:val="24"/>
      <w:lang w:val="en-US" w:eastAsia="zh-CN" w:bidi="ar-SA"/>
    </w:rPr>
  </w:style>
  <w:style w:type="character" w:customStyle="1" w:styleId="72">
    <w:name w:val="Char Char5"/>
    <w:basedOn w:val="30"/>
    <w:qFormat/>
    <w:uiPriority w:val="0"/>
    <w:rPr>
      <w:rFonts w:eastAsia="宋体"/>
      <w:kern w:val="2"/>
      <w:sz w:val="18"/>
      <w:lang w:val="en-US" w:eastAsia="zh-CN" w:bidi="ar-SA"/>
    </w:rPr>
  </w:style>
  <w:style w:type="character" w:customStyle="1" w:styleId="73">
    <w:name w:val="正文缩进 Char"/>
    <w:basedOn w:val="30"/>
    <w:link w:val="9"/>
    <w:qFormat/>
    <w:uiPriority w:val="0"/>
    <w:rPr>
      <w:rFonts w:ascii="宋体" w:hAnsi="宋体" w:eastAsia="宋体"/>
      <w:kern w:val="2"/>
      <w:sz w:val="21"/>
      <w:lang w:val="en-US" w:eastAsia="zh-CN" w:bidi="ar-SA"/>
    </w:rPr>
  </w:style>
  <w:style w:type="character" w:customStyle="1" w:styleId="74">
    <w:name w:val="表字居中 Char"/>
    <w:basedOn w:val="30"/>
    <w:link w:val="75"/>
    <w:qFormat/>
    <w:uiPriority w:val="0"/>
    <w:rPr>
      <w:rFonts w:eastAsia="宋体"/>
      <w:kern w:val="2"/>
      <w:sz w:val="21"/>
      <w:szCs w:val="21"/>
      <w:lang w:val="en-US" w:eastAsia="zh-CN" w:bidi="ar-SA"/>
    </w:rPr>
  </w:style>
  <w:style w:type="paragraph" w:customStyle="1" w:styleId="75">
    <w:name w:val="表字居中"/>
    <w:basedOn w:val="1"/>
    <w:link w:val="74"/>
    <w:qFormat/>
    <w:uiPriority w:val="0"/>
    <w:pPr>
      <w:spacing w:line="400" w:lineRule="exact"/>
      <w:jc w:val="center"/>
    </w:pPr>
    <w:rPr>
      <w:szCs w:val="21"/>
    </w:rPr>
  </w:style>
  <w:style w:type="character" w:customStyle="1" w:styleId="76">
    <w:name w:val="我的正文 Char"/>
    <w:basedOn w:val="30"/>
    <w:link w:val="77"/>
    <w:qFormat/>
    <w:uiPriority w:val="0"/>
    <w:rPr>
      <w:rFonts w:eastAsia="宋体"/>
      <w:sz w:val="28"/>
      <w:lang w:val="en-US" w:eastAsia="en-US" w:bidi="en-US"/>
    </w:rPr>
  </w:style>
  <w:style w:type="paragraph" w:customStyle="1" w:styleId="77">
    <w:name w:val="我的正文"/>
    <w:basedOn w:val="1"/>
    <w:link w:val="76"/>
    <w:qFormat/>
    <w:uiPriority w:val="0"/>
    <w:pPr>
      <w:widowControl/>
      <w:ind w:firstLine="538"/>
    </w:pPr>
    <w:rPr>
      <w:sz w:val="28"/>
      <w:lang w:eastAsia="en-US" w:bidi="en-US"/>
    </w:rPr>
  </w:style>
  <w:style w:type="character" w:customStyle="1" w:styleId="78">
    <w:name w:val="页脚 Char"/>
    <w:basedOn w:val="30"/>
    <w:link w:val="19"/>
    <w:qFormat/>
    <w:uiPriority w:val="0"/>
    <w:rPr>
      <w:rFonts w:hint="default" w:ascii="Calibri" w:hAnsi="Calibri" w:cs="Calibri"/>
    </w:rPr>
  </w:style>
  <w:style w:type="character" w:customStyle="1" w:styleId="79">
    <w:name w:val="checked"/>
    <w:basedOn w:val="30"/>
    <w:qFormat/>
    <w:uiPriority w:val="0"/>
  </w:style>
  <w:style w:type="character" w:customStyle="1" w:styleId="80">
    <w:name w:val="titbg2"/>
    <w:basedOn w:val="30"/>
    <w:qFormat/>
    <w:uiPriority w:val="0"/>
    <w:rPr>
      <w:shd w:val="clear" w:color="auto" w:fill="378ED7"/>
    </w:rPr>
  </w:style>
  <w:style w:type="character" w:customStyle="1" w:styleId="81">
    <w:name w:val="on6"/>
    <w:basedOn w:val="30"/>
    <w:qFormat/>
    <w:uiPriority w:val="0"/>
    <w:rPr>
      <w:color w:val="FFFFFF"/>
    </w:rPr>
  </w:style>
  <w:style w:type="character" w:customStyle="1" w:styleId="82">
    <w:name w:val="on4"/>
    <w:basedOn w:val="30"/>
    <w:qFormat/>
    <w:uiPriority w:val="0"/>
    <w:rPr>
      <w:color w:val="FFFFFF"/>
    </w:rPr>
  </w:style>
  <w:style w:type="character" w:customStyle="1" w:styleId="83">
    <w:name w:val="表格文字 Char"/>
    <w:basedOn w:val="30"/>
    <w:link w:val="84"/>
    <w:qFormat/>
    <w:uiPriority w:val="0"/>
    <w:rPr>
      <w:rFonts w:ascii="宋体" w:hAnsi="宋体" w:eastAsia="宋体"/>
      <w:kern w:val="2"/>
      <w:sz w:val="21"/>
      <w:lang w:val="en-US" w:eastAsia="zh-CN" w:bidi="ar-SA"/>
    </w:rPr>
  </w:style>
  <w:style w:type="paragraph" w:customStyle="1" w:styleId="84">
    <w:name w:val="表格文字"/>
    <w:basedOn w:val="1"/>
    <w:link w:val="83"/>
    <w:qFormat/>
    <w:uiPriority w:val="0"/>
    <w:pPr>
      <w:adjustRightInd w:val="0"/>
      <w:snapToGrid w:val="0"/>
      <w:jc w:val="center"/>
    </w:pPr>
    <w:rPr>
      <w:rFonts w:ascii="宋体" w:hAnsi="宋体"/>
    </w:rPr>
  </w:style>
  <w:style w:type="paragraph" w:customStyle="1" w:styleId="85">
    <w:name w:val="中气正文"/>
    <w:basedOn w:val="1"/>
    <w:qFormat/>
    <w:uiPriority w:val="0"/>
    <w:pPr>
      <w:spacing w:line="360" w:lineRule="auto"/>
      <w:ind w:firstLine="200" w:firstLineChars="200"/>
    </w:pPr>
    <w:rPr>
      <w:sz w:val="24"/>
      <w:szCs w:val="24"/>
    </w:rPr>
  </w:style>
  <w:style w:type="paragraph" w:customStyle="1" w:styleId="86">
    <w:name w:val="样式 首行缩进:  2 字符"/>
    <w:basedOn w:val="1"/>
    <w:qFormat/>
    <w:uiPriority w:val="0"/>
    <w:pPr>
      <w:spacing w:line="500" w:lineRule="exact"/>
      <w:ind w:firstLine="200" w:firstLineChars="200"/>
    </w:pPr>
    <w:rPr>
      <w:rFonts w:cs="宋体"/>
      <w:sz w:val="24"/>
    </w:rPr>
  </w:style>
  <w:style w:type="paragraph" w:customStyle="1" w:styleId="87">
    <w:name w:val="1 Char"/>
    <w:basedOn w:val="1"/>
    <w:qFormat/>
    <w:uiPriority w:val="0"/>
    <w:pPr>
      <w:adjustRightInd w:val="0"/>
      <w:spacing w:line="360" w:lineRule="atLeast"/>
      <w:textAlignment w:val="baseline"/>
    </w:pPr>
  </w:style>
  <w:style w:type="paragraph" w:customStyle="1" w:styleId="88">
    <w:name w:val="标题1"/>
    <w:basedOn w:val="1"/>
    <w:next w:val="89"/>
    <w:qFormat/>
    <w:uiPriority w:val="0"/>
    <w:pPr>
      <w:spacing w:beforeLines="100" w:afterLines="100" w:line="360" w:lineRule="auto"/>
      <w:ind w:left="-56"/>
      <w:jc w:val="center"/>
      <w:outlineLvl w:val="0"/>
    </w:pPr>
    <w:rPr>
      <w:rFonts w:eastAsia="黑体"/>
      <w:sz w:val="32"/>
      <w:szCs w:val="22"/>
    </w:rPr>
  </w:style>
  <w:style w:type="paragraph" w:customStyle="1" w:styleId="89">
    <w:name w:val="报告文本"/>
    <w:basedOn w:val="90"/>
    <w:qFormat/>
    <w:uiPriority w:val="0"/>
    <w:pPr>
      <w:ind w:left="0" w:firstLine="200" w:firstLineChars="200"/>
      <w:outlineLvl w:val="9"/>
    </w:pPr>
    <w:rPr>
      <w:sz w:val="24"/>
    </w:rPr>
  </w:style>
  <w:style w:type="paragraph" w:customStyle="1" w:styleId="90">
    <w:name w:val="标题二"/>
    <w:basedOn w:val="88"/>
    <w:next w:val="89"/>
    <w:qFormat/>
    <w:uiPriority w:val="0"/>
    <w:pPr>
      <w:spacing w:beforeLines="0" w:afterLines="0"/>
      <w:ind w:left="-57"/>
      <w:jc w:val="left"/>
      <w:outlineLvl w:val="1"/>
    </w:pPr>
    <w:rPr>
      <w:sz w:val="30"/>
    </w:rPr>
  </w:style>
  <w:style w:type="paragraph" w:customStyle="1" w:styleId="91">
    <w:name w:val="中气附图"/>
    <w:basedOn w:val="25"/>
    <w:qFormat/>
    <w:uiPriority w:val="0"/>
    <w:pPr>
      <w:tabs>
        <w:tab w:val="left" w:pos="480"/>
      </w:tabs>
      <w:spacing w:before="0" w:after="0" w:line="360" w:lineRule="auto"/>
      <w:ind w:left="480" w:hanging="480"/>
    </w:pPr>
    <w:rPr>
      <w:rFonts w:eastAsia="黑体"/>
      <w:b w:val="0"/>
    </w:rPr>
  </w:style>
  <w:style w:type="paragraph" w:customStyle="1" w:styleId="92">
    <w:name w:val="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93">
    <w:name w:val="表格内容"/>
    <w:basedOn w:val="1"/>
    <w:next w:val="1"/>
    <w:qFormat/>
    <w:uiPriority w:val="0"/>
    <w:pPr>
      <w:jc w:val="center"/>
    </w:pPr>
    <w:rPr>
      <w:rFonts w:cs="宋体"/>
    </w:rPr>
  </w:style>
  <w:style w:type="paragraph" w:customStyle="1" w:styleId="94">
    <w:name w:val="Char Char Char Char1"/>
    <w:basedOn w:val="1"/>
    <w:qFormat/>
    <w:uiPriority w:val="0"/>
    <w:rPr>
      <w:sz w:val="24"/>
      <w:szCs w:val="24"/>
    </w:rPr>
  </w:style>
  <w:style w:type="paragraph" w:customStyle="1" w:styleId="95">
    <w:name w:val="reader-word-layer reader-word-s7-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6">
    <w:name w:val="样式1"/>
    <w:basedOn w:val="7"/>
    <w:qFormat/>
    <w:uiPriority w:val="0"/>
    <w:pPr>
      <w:tabs>
        <w:tab w:val="left" w:pos="1609"/>
      </w:tabs>
      <w:spacing w:beforeLines="50" w:afterLines="50" w:line="360" w:lineRule="auto"/>
      <w:ind w:left="1609" w:hanging="709"/>
      <w:jc w:val="left"/>
    </w:pPr>
  </w:style>
  <w:style w:type="paragraph" w:customStyle="1" w:styleId="97">
    <w:name w:val="默认段落字体 Para Char"/>
    <w:basedOn w:val="1"/>
    <w:qFormat/>
    <w:uiPriority w:val="0"/>
    <w:pPr>
      <w:spacing w:line="360" w:lineRule="auto"/>
      <w:ind w:firstLine="200" w:firstLineChars="200"/>
    </w:pPr>
  </w:style>
  <w:style w:type="paragraph" w:customStyle="1" w:styleId="98">
    <w:name w:val="样式 样式1 + 段前: 0.5 行 段后: 0.5 行"/>
    <w:basedOn w:val="96"/>
    <w:qFormat/>
    <w:uiPriority w:val="0"/>
    <w:pPr>
      <w:spacing w:before="50" w:after="50"/>
    </w:pPr>
    <w:rPr>
      <w:rFonts w:cs="宋体"/>
      <w:bCs w:val="0"/>
      <w:szCs w:val="20"/>
    </w:rPr>
  </w:style>
  <w:style w:type="paragraph" w:customStyle="1" w:styleId="99">
    <w:name w:val="reader-word-layer reader-word-s7-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0">
    <w:name w:val="Char1"/>
    <w:basedOn w:val="1"/>
    <w:qFormat/>
    <w:uiPriority w:val="0"/>
    <w:pPr>
      <w:keepNext/>
      <w:keepLines/>
      <w:tabs>
        <w:tab w:val="left" w:pos="2160"/>
      </w:tabs>
      <w:adjustRightInd w:val="0"/>
      <w:snapToGrid w:val="0"/>
      <w:spacing w:before="120" w:after="120" w:line="360" w:lineRule="auto"/>
      <w:ind w:left="2160" w:hanging="420"/>
      <w:outlineLvl w:val="3"/>
    </w:pPr>
  </w:style>
  <w:style w:type="paragraph" w:customStyle="1" w:styleId="101">
    <w:name w:val="表文字"/>
    <w:basedOn w:val="1"/>
    <w:qFormat/>
    <w:uiPriority w:val="0"/>
    <w:pPr>
      <w:overflowPunct w:val="0"/>
      <w:autoSpaceDE w:val="0"/>
      <w:autoSpaceDN w:val="0"/>
      <w:adjustRightInd w:val="0"/>
      <w:spacing w:line="240" w:lineRule="atLeast"/>
      <w:jc w:val="center"/>
      <w:textAlignment w:val="baseline"/>
    </w:pPr>
    <w:rPr>
      <w:kern w:val="0"/>
      <w:sz w:val="24"/>
    </w:rPr>
  </w:style>
  <w:style w:type="paragraph" w:customStyle="1" w:styleId="102">
    <w:name w:val="章标题"/>
    <w:basedOn w:val="1"/>
    <w:qFormat/>
    <w:uiPriority w:val="0"/>
    <w:pPr>
      <w:widowControl/>
      <w:spacing w:before="158" w:after="153" w:line="323" w:lineRule="atLeast"/>
      <w:jc w:val="center"/>
      <w:textAlignment w:val="baseline"/>
    </w:pPr>
    <w:rPr>
      <w:rFonts w:ascii="Arial" w:eastAsia="黑体"/>
      <w:color w:val="000000"/>
      <w:kern w:val="0"/>
      <w:sz w:val="31"/>
      <w:u w:color="000000"/>
    </w:rPr>
  </w:style>
  <w:style w:type="paragraph" w:customStyle="1" w:styleId="103">
    <w:name w:val="Char Char Char"/>
    <w:basedOn w:val="11"/>
    <w:qFormat/>
    <w:uiPriority w:val="0"/>
    <w:pPr>
      <w:adjustRightInd w:val="0"/>
      <w:spacing w:line="436" w:lineRule="exact"/>
      <w:ind w:left="357"/>
      <w:jc w:val="left"/>
      <w:outlineLvl w:val="3"/>
    </w:pPr>
  </w:style>
  <w:style w:type="paragraph" w:customStyle="1" w:styleId="104">
    <w:name w:val="Char Char Char Char Char Char1 Char"/>
    <w:basedOn w:val="1"/>
    <w:qFormat/>
    <w:uiPriority w:val="0"/>
    <w:pPr>
      <w:spacing w:line="360" w:lineRule="auto"/>
    </w:pPr>
    <w:rPr>
      <w:sz w:val="24"/>
      <w:szCs w:val="24"/>
    </w:rPr>
  </w:style>
  <w:style w:type="paragraph" w:customStyle="1" w:styleId="105">
    <w:name w:val="样式 样式 小四 加粗 行距: 1.5 倍行距 首行缩进:  2 字符 + 左侧:  2 字符 首行缩进:  2 字符 右侧..."/>
    <w:basedOn w:val="1"/>
    <w:qFormat/>
    <w:uiPriority w:val="0"/>
    <w:pPr>
      <w:snapToGrid w:val="0"/>
      <w:spacing w:beforeLines="50" w:afterLines="50"/>
      <w:ind w:left="200" w:leftChars="200" w:right="200" w:rightChars="200"/>
      <w:jc w:val="left"/>
    </w:pPr>
    <w:rPr>
      <w:rFonts w:cs="宋体"/>
      <w:b/>
      <w:bCs/>
      <w:sz w:val="28"/>
    </w:rPr>
  </w:style>
  <w:style w:type="paragraph" w:customStyle="1" w:styleId="106">
    <w:name w:val="reader-word-layer reader-word-s7-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7">
    <w:name w:val="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08">
    <w:name w:val="1表格"/>
    <w:basedOn w:val="1"/>
    <w:qFormat/>
    <w:uiPriority w:val="0"/>
    <w:pPr>
      <w:snapToGrid w:val="0"/>
      <w:spacing w:line="160" w:lineRule="atLeast"/>
      <w:jc w:val="center"/>
    </w:pPr>
    <w:rPr>
      <w:rFonts w:eastAsia="仿宋_GB2312"/>
    </w:rPr>
  </w:style>
  <w:style w:type="paragraph" w:customStyle="1" w:styleId="109">
    <w:name w:val="表格"/>
    <w:basedOn w:val="1"/>
    <w:qFormat/>
    <w:uiPriority w:val="0"/>
    <w:pPr>
      <w:adjustRightInd w:val="0"/>
      <w:spacing w:before="40" w:after="40"/>
      <w:textAlignment w:val="baseline"/>
    </w:pPr>
    <w:rPr>
      <w:rFonts w:ascii="昆仑仿宋" w:eastAsia="昆仑仿宋"/>
      <w:kern w:val="0"/>
      <w:sz w:val="24"/>
    </w:rPr>
  </w:style>
  <w:style w:type="paragraph" w:customStyle="1" w:styleId="110">
    <w:name w:val="zhang正文"/>
    <w:basedOn w:val="14"/>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111">
    <w:name w:val="文本框"/>
    <w:basedOn w:val="1"/>
    <w:qFormat/>
    <w:uiPriority w:val="0"/>
    <w:pPr>
      <w:adjustRightInd w:val="0"/>
      <w:snapToGrid w:val="0"/>
      <w:spacing w:line="300" w:lineRule="exact"/>
      <w:jc w:val="center"/>
    </w:pPr>
    <w:rPr>
      <w:sz w:val="24"/>
      <w:szCs w:val="24"/>
    </w:rPr>
  </w:style>
  <w:style w:type="paragraph" w:customStyle="1" w:styleId="112">
    <w:name w:val="环正文"/>
    <w:basedOn w:val="1"/>
    <w:qFormat/>
    <w:uiPriority w:val="0"/>
    <w:pPr>
      <w:widowControl/>
      <w:suppressAutoHyphens/>
      <w:adjustRightInd w:val="0"/>
      <w:textAlignment w:val="baseline"/>
    </w:pPr>
    <w:rPr>
      <w:rFonts w:ascii="宋体" w:hAnsi="宋体"/>
      <w:kern w:val="0"/>
      <w:sz w:val="24"/>
      <w:u w:val="single"/>
    </w:rPr>
  </w:style>
  <w:style w:type="paragraph" w:customStyle="1" w:styleId="113">
    <w:name w:val="reader-word-layer reader-word-s7-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4">
    <w:name w:val="3 Char"/>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115">
    <w:name w:val="正文(首行缩进)"/>
    <w:basedOn w:val="1"/>
    <w:qFormat/>
    <w:uiPriority w:val="0"/>
    <w:pPr>
      <w:adjustRightInd w:val="0"/>
      <w:snapToGrid w:val="0"/>
      <w:ind w:firstLine="200" w:firstLineChars="200"/>
    </w:pPr>
    <w:rPr>
      <w:snapToGrid w:val="0"/>
      <w:szCs w:val="24"/>
    </w:rPr>
  </w:style>
  <w:style w:type="paragraph" w:customStyle="1" w:styleId="116">
    <w:name w:val="Char Char Char Char Char Char Char"/>
    <w:basedOn w:val="1"/>
    <w:next w:val="1"/>
    <w:qFormat/>
    <w:uiPriority w:val="0"/>
    <w:pPr>
      <w:spacing w:line="360" w:lineRule="auto"/>
      <w:ind w:firstLine="200" w:firstLineChars="200"/>
    </w:pPr>
  </w:style>
  <w:style w:type="paragraph" w:customStyle="1" w:styleId="117">
    <w:name w:val="Char Char Char Char"/>
    <w:basedOn w:val="1"/>
    <w:qFormat/>
    <w:uiPriority w:val="0"/>
    <w:pPr>
      <w:spacing w:line="360" w:lineRule="auto"/>
    </w:pPr>
    <w:rPr>
      <w:rFonts w:ascii="宋体" w:hAnsi="宋体" w:cs="Courier New"/>
      <w:sz w:val="24"/>
      <w:szCs w:val="24"/>
    </w:rPr>
  </w:style>
  <w:style w:type="paragraph" w:customStyle="1" w:styleId="118">
    <w:name w:val="Char Char Char Char2"/>
    <w:basedOn w:val="1"/>
    <w:qFormat/>
    <w:uiPriority w:val="0"/>
  </w:style>
  <w:style w:type="paragraph" w:customStyle="1" w:styleId="119">
    <w:name w:val="reader-word-layer reader-word-s7-12 reader-word-s7-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0">
    <w:name w:val="reader-word-layer reader-word-s7-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1">
    <w:name w:val="p15"/>
    <w:basedOn w:val="1"/>
    <w:qFormat/>
    <w:uiPriority w:val="0"/>
    <w:pPr>
      <w:widowControl/>
    </w:pPr>
    <w:rPr>
      <w:kern w:val="0"/>
    </w:rPr>
  </w:style>
  <w:style w:type="paragraph" w:customStyle="1" w:styleId="122">
    <w:name w:val="下划线标题"/>
    <w:next w:val="89"/>
    <w:qFormat/>
    <w:uiPriority w:val="0"/>
    <w:pPr>
      <w:spacing w:line="360" w:lineRule="auto"/>
      <w:ind w:firstLine="200" w:firstLineChars="200"/>
    </w:pPr>
    <w:rPr>
      <w:rFonts w:ascii="Times New Roman" w:hAnsi="Times New Roman" w:eastAsia="宋体" w:cs="Times New Roman"/>
      <w:b/>
      <w:kern w:val="2"/>
      <w:sz w:val="24"/>
      <w:szCs w:val="22"/>
      <w:u w:val="single"/>
      <w:lang w:val="en-US" w:eastAsia="zh-CN" w:bidi="ar-SA"/>
    </w:rPr>
  </w:style>
  <w:style w:type="paragraph" w:customStyle="1" w:styleId="123">
    <w:name w:val="reader-word-layer reader-word-s7-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4">
    <w:name w:val="表格中"/>
    <w:basedOn w:val="1"/>
    <w:qFormat/>
    <w:uiPriority w:val="0"/>
    <w:pPr>
      <w:adjustRightInd w:val="0"/>
      <w:snapToGrid w:val="0"/>
      <w:spacing w:line="260" w:lineRule="exact"/>
      <w:jc w:val="center"/>
    </w:pPr>
    <w:rPr>
      <w:rFonts w:ascii="宋体"/>
      <w:sz w:val="18"/>
    </w:rPr>
  </w:style>
  <w:style w:type="paragraph" w:customStyle="1" w:styleId="125">
    <w:name w:val="reader-word-layer reader-word-s7-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6">
    <w:name w:val="表标题"/>
    <w:basedOn w:val="84"/>
    <w:next w:val="1"/>
    <w:qFormat/>
    <w:uiPriority w:val="0"/>
    <w:pPr>
      <w:adjustRightInd/>
      <w:spacing w:afterLines="25"/>
    </w:pPr>
    <w:rPr>
      <w:rFonts w:ascii="Times New Roman" w:hAnsi="Times New Roman"/>
      <w:b/>
    </w:rPr>
  </w:style>
  <w:style w:type="paragraph" w:customStyle="1" w:styleId="127">
    <w:name w:val="Char Char Char Char Char Char Char Char Char Char1"/>
    <w:basedOn w:val="1"/>
    <w:qFormat/>
    <w:uiPriority w:val="0"/>
    <w:pPr>
      <w:widowControl/>
      <w:spacing w:after="160" w:line="240" w:lineRule="exact"/>
      <w:jc w:val="left"/>
    </w:pPr>
    <w:rPr>
      <w:rFonts w:ascii="Verdana" w:hAnsi="Verdana"/>
      <w:kern w:val="0"/>
      <w:sz w:val="20"/>
      <w:lang w:eastAsia="en-US"/>
    </w:rPr>
  </w:style>
  <w:style w:type="paragraph" w:customStyle="1" w:styleId="128">
    <w:name w:val="3 Char Char Char Char"/>
    <w:basedOn w:val="1"/>
    <w:next w:val="6"/>
    <w:qFormat/>
    <w:uiPriority w:val="0"/>
    <w:rPr>
      <w:rFonts w:eastAsia="黑体"/>
      <w:sz w:val="24"/>
      <w:szCs w:val="24"/>
    </w:rPr>
  </w:style>
  <w:style w:type="paragraph" w:customStyle="1" w:styleId="129">
    <w:name w:val="Char Char Char Char Char Char Char Char Char Char Char Char Char Char Char Char Char Char Char"/>
    <w:basedOn w:val="1"/>
    <w:qFormat/>
    <w:uiPriority w:val="0"/>
    <w:pPr>
      <w:spacing w:line="360" w:lineRule="auto"/>
      <w:ind w:firstLine="200" w:firstLineChars="200"/>
    </w:pPr>
  </w:style>
  <w:style w:type="paragraph" w:customStyle="1" w:styleId="1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1">
    <w:name w:val="表头文字"/>
    <w:basedOn w:val="89"/>
    <w:qFormat/>
    <w:uiPriority w:val="0"/>
    <w:pPr>
      <w:spacing w:line="240" w:lineRule="auto"/>
      <w:ind w:firstLine="0" w:firstLineChars="0"/>
      <w:jc w:val="center"/>
    </w:pPr>
    <w:rPr>
      <w:b/>
      <w:sz w:val="21"/>
    </w:rPr>
  </w:style>
  <w:style w:type="paragraph" w:customStyle="1" w:styleId="132">
    <w:name w:val="正文文字"/>
    <w:basedOn w:val="1"/>
    <w:qFormat/>
    <w:uiPriority w:val="0"/>
    <w:pPr>
      <w:spacing w:line="560" w:lineRule="exact"/>
      <w:ind w:firstLine="200" w:firstLineChars="200"/>
    </w:pPr>
    <w:rPr>
      <w:sz w:val="24"/>
    </w:rPr>
  </w:style>
  <w:style w:type="paragraph" w:customStyle="1" w:styleId="133">
    <w:name w:val="样式 小四 首行缩进:  0.85 厘米 行距: 1.5 倍行距"/>
    <w:basedOn w:val="1"/>
    <w:qFormat/>
    <w:uiPriority w:val="0"/>
    <w:pPr>
      <w:spacing w:line="360" w:lineRule="auto"/>
      <w:ind w:firstLine="482"/>
    </w:pPr>
    <w:rPr>
      <w:sz w:val="24"/>
      <w:szCs w:val="24"/>
    </w:rPr>
  </w:style>
  <w:style w:type="paragraph" w:customStyle="1" w:styleId="134">
    <w:name w:val="样式 首行缩进:  1.01 厘米"/>
    <w:basedOn w:val="1"/>
    <w:qFormat/>
    <w:uiPriority w:val="0"/>
    <w:pPr>
      <w:spacing w:line="500" w:lineRule="exact"/>
      <w:ind w:firstLine="573"/>
    </w:pPr>
    <w:rPr>
      <w:rFonts w:cs="宋体"/>
      <w:sz w:val="24"/>
    </w:rPr>
  </w:style>
  <w:style w:type="paragraph" w:customStyle="1" w:styleId="135">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136">
    <w:name w:val="题注1"/>
    <w:basedOn w:val="10"/>
    <w:next w:val="10"/>
    <w:qFormat/>
    <w:uiPriority w:val="0"/>
    <w:pPr>
      <w:spacing w:line="360" w:lineRule="auto"/>
      <w:jc w:val="center"/>
    </w:pPr>
    <w:rPr>
      <w:rFonts w:ascii="Times New Roman" w:hAnsi="Times New Roman" w:eastAsia="宋体"/>
      <w:b/>
      <w:bCs/>
      <w:kern w:val="44"/>
      <w:sz w:val="21"/>
      <w:szCs w:val="21"/>
      <w:u w:val="single"/>
    </w:rPr>
  </w:style>
  <w:style w:type="paragraph" w:customStyle="1" w:styleId="13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8">
    <w:name w:val="Char"/>
    <w:basedOn w:val="1"/>
    <w:qFormat/>
    <w:uiPriority w:val="0"/>
    <w:pPr>
      <w:spacing w:line="360" w:lineRule="auto"/>
      <w:ind w:firstLine="200" w:firstLineChars="200"/>
    </w:pPr>
    <w:rPr>
      <w:rFonts w:ascii="宋体" w:hAnsi="宋体" w:cs="宋体"/>
      <w:sz w:val="24"/>
      <w:szCs w:val="24"/>
    </w:rPr>
  </w:style>
  <w:style w:type="paragraph" w:customStyle="1" w:styleId="139">
    <w:name w:val="Char Char Char Char Char Char1 Char Char Char Char Char Char Char Char Char Char Char Char Char Char Char Char"/>
    <w:basedOn w:val="1"/>
    <w:qFormat/>
    <w:uiPriority w:val="0"/>
    <w:rPr>
      <w:sz w:val="24"/>
      <w:szCs w:val="24"/>
    </w:rPr>
  </w:style>
  <w:style w:type="paragraph" w:customStyle="1" w:styleId="140">
    <w:name w:val="Char2"/>
    <w:basedOn w:val="1"/>
    <w:qFormat/>
    <w:uiPriority w:val="0"/>
    <w:pPr>
      <w:snapToGrid w:val="0"/>
      <w:spacing w:line="360" w:lineRule="auto"/>
      <w:ind w:firstLine="529" w:firstLineChars="200"/>
    </w:pPr>
    <w:rPr>
      <w:rFonts w:ascii="宋体" w:hAnsi="宋体"/>
      <w:b/>
      <w:szCs w:val="24"/>
    </w:rPr>
  </w:style>
  <w:style w:type="paragraph" w:customStyle="1" w:styleId="141">
    <w:name w:val="表头1"/>
    <w:basedOn w:val="1"/>
    <w:next w:val="1"/>
    <w:qFormat/>
    <w:uiPriority w:val="0"/>
    <w:pPr>
      <w:tabs>
        <w:tab w:val="left" w:pos="605"/>
      </w:tabs>
      <w:adjustRightInd w:val="0"/>
      <w:snapToGrid w:val="0"/>
      <w:jc w:val="center"/>
    </w:pPr>
    <w:rPr>
      <w:rFonts w:eastAsia="黑体"/>
      <w:szCs w:val="28"/>
    </w:rPr>
  </w:style>
  <w:style w:type="paragraph" w:customStyle="1" w:styleId="142">
    <w:name w:val="reader-word-layer reader-word-s7-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3">
    <w:name w:val="法规"/>
    <w:basedOn w:val="1"/>
    <w:qFormat/>
    <w:uiPriority w:val="0"/>
    <w:pPr>
      <w:tabs>
        <w:tab w:val="left" w:pos="400"/>
      </w:tabs>
      <w:spacing w:line="440" w:lineRule="exact"/>
      <w:ind w:firstLine="400"/>
    </w:pPr>
    <w:rPr>
      <w:sz w:val="25"/>
    </w:rPr>
  </w:style>
  <w:style w:type="paragraph" w:customStyle="1" w:styleId="144">
    <w:name w:val="reader-word-layer reader-word-s7-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5">
    <w:name w:val="reader-word-layer reader-word-s7-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6">
    <w:name w:val="表头样式"/>
    <w:basedOn w:val="1"/>
    <w:qFormat/>
    <w:uiPriority w:val="0"/>
    <w:pPr>
      <w:spacing w:line="360" w:lineRule="auto"/>
      <w:jc w:val="center"/>
    </w:pPr>
    <w:rPr>
      <w:rFonts w:ascii="宋体" w:hAnsi="宋体"/>
      <w:b/>
      <w:szCs w:val="21"/>
    </w:rPr>
  </w:style>
  <w:style w:type="paragraph" w:customStyle="1" w:styleId="147">
    <w:name w:val="列出段落1"/>
    <w:basedOn w:val="1"/>
    <w:qFormat/>
    <w:uiPriority w:val="0"/>
    <w:pPr>
      <w:spacing w:line="360" w:lineRule="auto"/>
      <w:ind w:firstLine="200" w:firstLineChars="200"/>
    </w:pPr>
    <w:rPr>
      <w:rFonts w:ascii="Calibri" w:hAnsi="Calibri"/>
      <w:kern w:val="0"/>
      <w:sz w:val="24"/>
      <w:szCs w:val="22"/>
    </w:rPr>
  </w:style>
  <w:style w:type="paragraph" w:customStyle="1" w:styleId="148">
    <w:name w:val="表格1"/>
    <w:basedOn w:val="1"/>
    <w:qFormat/>
    <w:uiPriority w:val="0"/>
    <w:pPr>
      <w:adjustRightInd w:val="0"/>
      <w:spacing w:line="240" w:lineRule="atLeast"/>
      <w:ind w:right="-113"/>
      <w:jc w:val="center"/>
    </w:pPr>
    <w:rPr>
      <w:color w:val="000000"/>
      <w:kern w:val="0"/>
    </w:rPr>
  </w:style>
  <w:style w:type="paragraph" w:customStyle="1" w:styleId="149">
    <w:name w:val="报告书正文"/>
    <w:basedOn w:val="1"/>
    <w:qFormat/>
    <w:uiPriority w:val="0"/>
    <w:pPr>
      <w:spacing w:line="300" w:lineRule="auto"/>
      <w:ind w:firstLine="200" w:firstLineChars="200"/>
    </w:pPr>
    <w:rPr>
      <w:sz w:val="24"/>
      <w:szCs w:val="20"/>
    </w:rPr>
  </w:style>
  <w:style w:type="paragraph" w:customStyle="1" w:styleId="150">
    <w:name w:val="表格中文字"/>
    <w:basedOn w:val="1"/>
    <w:qFormat/>
    <w:uiPriority w:val="0"/>
    <w:pPr>
      <w:adjustRightInd w:val="0"/>
      <w:snapToGrid w:val="0"/>
      <w:jc w:val="center"/>
    </w:pPr>
    <w:rPr>
      <w:kern w:val="18"/>
      <w:szCs w:val="21"/>
    </w:rPr>
  </w:style>
  <w:style w:type="paragraph" w:customStyle="1" w:styleId="151">
    <w:name w:val="我的样式"/>
    <w:qFormat/>
    <w:uiPriority w:val="0"/>
    <w:pPr>
      <w:widowControl w:val="0"/>
      <w:spacing w:after="200" w:line="360" w:lineRule="auto"/>
      <w:ind w:firstLine="200" w:firstLineChars="200"/>
      <w:jc w:val="both"/>
    </w:pPr>
    <w:rPr>
      <w:rFonts w:ascii="Times New Roman" w:hAnsi="Times New Roman" w:eastAsia="宋体" w:cstheme="minorBidi"/>
      <w:kern w:val="2"/>
      <w:sz w:val="24"/>
      <w:szCs w:val="21"/>
      <w:lang w:val="en-US" w:eastAsia="zh-CN" w:bidi="ar-SA"/>
    </w:rPr>
  </w:style>
  <w:style w:type="paragraph" w:customStyle="1" w:styleId="152">
    <w:name w:val="A0正文"/>
    <w:basedOn w:val="1"/>
    <w:qFormat/>
    <w:uiPriority w:val="0"/>
    <w:pPr>
      <w:spacing w:line="360" w:lineRule="auto"/>
      <w:ind w:firstLine="200" w:firstLineChars="200"/>
    </w:pPr>
    <w:rPr>
      <w:rFonts w:ascii="Calibri" w:hAnsi="Calibri" w:cs="宋体"/>
      <w:sz w:val="24"/>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517"/>
    <customShpInfo spid="_x0000_s1518"/>
    <customShpInfo spid="_x0000_s1521"/>
    <customShpInfo spid="_x0000_s1523"/>
    <customShpInfo spid="_x0000_s1524"/>
    <customShpInfo spid="_x0000_s1525"/>
    <customShpInfo spid="_x0000_s1522"/>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9"/>
    <customShpInfo spid="_x0000_s152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47AADD-B151-45A7-A1F2-B267D12B0393}">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65</Pages>
  <Words>6623</Words>
  <Characters>37757</Characters>
  <Lines>314</Lines>
  <Paragraphs>88</Paragraphs>
  <TotalTime>0</TotalTime>
  <ScaleCrop>false</ScaleCrop>
  <LinksUpToDate>false</LinksUpToDate>
  <CharactersWithSpaces>44292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2010-12-09T17:02:00Z</dcterms:created>
  <dc:creator>微软中国</dc:creator>
  <cp:lastModifiedBy>梦里芙蓉</cp:lastModifiedBy>
  <cp:lastPrinted>2018-07-20T03:54:00Z</cp:lastPrinted>
  <dcterms:modified xsi:type="dcterms:W3CDTF">2020-09-11T01:10:22Z</dcterms:modified>
  <dc:title>建设项目基本情况</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