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Lines="0" w:line="312" w:lineRule="auto"/>
        <w:jc w:val="center"/>
        <w:rPr>
          <w:rFonts w:ascii="宋体" w:cs="宋体"/>
          <w:b/>
          <w:bCs/>
          <w:kern w:val="0"/>
          <w:sz w:val="44"/>
          <w:szCs w:val="44"/>
        </w:rPr>
      </w:pPr>
      <w:bookmarkStart w:id="0" w:name="OLE_LINK3"/>
      <w:bookmarkStart w:id="1" w:name="OLE_LINK4"/>
      <w:bookmarkStart w:id="2" w:name="OLE_LINK1"/>
      <w:bookmarkStart w:id="3" w:name="OLE_LINK2"/>
      <w:r>
        <w:rPr>
          <w:rFonts w:ascii="宋体" w:cs="宋体"/>
          <w:b/>
          <w:bCs/>
          <w:kern w:val="0"/>
          <w:sz w:val="44"/>
          <w:szCs w:val="44"/>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3175</wp:posOffset>
                </wp:positionV>
                <wp:extent cx="5082540" cy="108966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082540" cy="1089660"/>
                        </a:xfrm>
                        <a:prstGeom prst="rect">
                          <a:avLst/>
                        </a:prstGeom>
                        <a:noFill/>
                        <a:ln>
                          <a:noFill/>
                        </a:ln>
                      </wps:spPr>
                      <wps:txbx>
                        <w:txbxContent>
                          <w:p>
                            <w:pPr>
                              <w:spacing w:after="312"/>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txbxContent>
                      </wps:txbx>
                      <wps:bodyPr upright="1"/>
                    </wps:wsp>
                  </a:graphicData>
                </a:graphic>
              </wp:anchor>
            </w:drawing>
          </mc:Choice>
          <mc:Fallback>
            <w:pict>
              <v:shape id="文本框 2" o:spid="_x0000_s1026" o:spt="202" type="#_x0000_t202" style="position:absolute;left:0pt;margin-left:4.1pt;margin-top:0.25pt;height:85.8pt;width:400.2pt;z-index:251658240;mso-width-relative:page;mso-height-relative:page;" filled="f" stroked="f" coordsize="21600,21600" o:gfxdata="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2xx8s9MAAAAGAQAADwAAAAAAAAABACAAAAAiAAAAZHJzL2Rvd25yZXYu&#10;eG1sUEsBAhQAFAAAAAgAh07iQJXrzXCOAQAAAQMAAA4AAAAAAAAAAQAgAAAAIgEAAGRycy9lMm9E&#10;b2MueG1sUEsFBgAAAAAGAAYAWQEAACIFAAAAAA==&#10;">
                <v:fill on="f" focussize="0,0"/>
                <v:stroke on="f"/>
                <v:imagedata o:title=""/>
                <o:lock v:ext="edit" aspectratio="f"/>
                <v:textbox>
                  <w:txbxContent>
                    <w:p>
                      <w:pPr>
                        <w:spacing w:after="312"/>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txbxContent>
                </v:textbox>
              </v:shape>
            </w:pict>
          </mc:Fallback>
        </mc:AlternateContent>
      </w:r>
    </w:p>
    <w:p>
      <w:pPr>
        <w:widowControl/>
        <w:snapToGrid w:val="0"/>
        <w:spacing w:afterLines="0" w:line="312" w:lineRule="auto"/>
        <w:jc w:val="center"/>
        <w:rPr>
          <w:rFonts w:ascii="宋体" w:cs="宋体"/>
          <w:b/>
          <w:bCs/>
          <w:kern w:val="0"/>
          <w:sz w:val="44"/>
          <w:szCs w:val="44"/>
        </w:rPr>
      </w:pPr>
    </w:p>
    <w:p>
      <w:pPr>
        <w:widowControl/>
        <w:snapToGrid w:val="0"/>
        <w:spacing w:afterLines="0" w:line="312" w:lineRule="auto"/>
        <w:jc w:val="center"/>
        <w:rPr>
          <w:rFonts w:ascii="仿宋" w:hAnsi="仿宋" w:eastAsia="仿宋"/>
          <w:sz w:val="32"/>
          <w:szCs w:val="32"/>
        </w:rPr>
      </w:pPr>
      <w:r>
        <w:rPr>
          <w:rFonts w:ascii="宋体" w:cs="宋体"/>
          <w:b/>
          <w:bCs/>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278765</wp:posOffset>
                </wp:positionV>
                <wp:extent cx="5486400" cy="0"/>
                <wp:effectExtent l="0" t="19050" r="0" b="19050"/>
                <wp:wrapNone/>
                <wp:docPr id="2" name="直线 3"/>
                <wp:cNvGraphicFramePr/>
                <a:graphic xmlns:a="http://schemas.openxmlformats.org/drawingml/2006/main">
                  <a:graphicData uri="http://schemas.microsoft.com/office/word/2010/wordprocessingShape">
                    <wps:wsp>
                      <wps:cNvSpPr/>
                      <wps:spPr>
                        <a:xfrm>
                          <a:off x="0" y="0"/>
                          <a:ext cx="5486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5pt;margin-top:21.95pt;height:0pt;width:432pt;z-index:251659264;mso-width-relative:page;mso-height-relative:page;" filled="f" stroked="t" coordsize="21600,21600" o:gfxdata="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2MqN9sAAAAIAQAADwAAAAAAAAABACAAAAAi&#10;AAAAZHJzL2Rvd25yZXYueG1sUEsBAhQAFAAAAAgAh07iQKPQUvjOAQAAjgMAAA4AAAAAAAAAAQAg&#10;AAAAKgEAAGRycy9lMm9Eb2MueG1sUEsFBgAAAAAGAAYAWQEAAGoFAAAAAA==&#10;">
                <v:fill on="f" focussize="0,0"/>
                <v:stroke weight="3pt" color="#FF0000" joinstyle="round"/>
                <v:imagedata o:title=""/>
                <o:lock v:ext="edit" aspectratio="f"/>
              </v:line>
            </w:pict>
          </mc:Fallback>
        </mc:AlternateContent>
      </w:r>
      <w:r>
        <w:rPr>
          <w:rFonts w:ascii="仿宋" w:hAnsi="仿宋" w:eastAsia="仿宋"/>
          <w:sz w:val="32"/>
          <w:szCs w:val="32"/>
        </w:rPr>
        <w:t xml:space="preserve">                                     </w:t>
      </w:r>
      <w:bookmarkEnd w:id="0"/>
      <w:bookmarkEnd w:id="1"/>
      <w:bookmarkEnd w:id="2"/>
      <w:bookmarkEnd w:id="3"/>
    </w:p>
    <w:p>
      <w:pPr>
        <w:widowControl/>
        <w:snapToGrid w:val="0"/>
        <w:spacing w:afterLines="0" w:line="312" w:lineRule="auto"/>
        <w:jc w:val="center"/>
        <w:rPr>
          <w:rFonts w:ascii="仿宋" w:hAnsi="仿宋" w:eastAsia="仿宋"/>
          <w:sz w:val="32"/>
          <w:szCs w:val="32"/>
        </w:rPr>
      </w:pPr>
    </w:p>
    <w:p>
      <w:pPr>
        <w:snapToGrid w:val="0"/>
        <w:spacing w:line="336" w:lineRule="auto"/>
        <w:jc w:val="center"/>
        <w:rPr>
          <w:rFonts w:ascii="宋体" w:cs="宋体"/>
          <w:b/>
          <w:bCs/>
          <w:sz w:val="44"/>
          <w:szCs w:val="44"/>
        </w:rPr>
      </w:pPr>
      <w:bookmarkStart w:id="4" w:name="_GoBack"/>
      <w:r>
        <w:rPr>
          <w:rFonts w:hint="eastAsia" w:ascii="宋体" w:hAnsi="宋体" w:cs="宋体"/>
          <w:b/>
          <w:bCs/>
          <w:sz w:val="44"/>
          <w:szCs w:val="44"/>
        </w:rPr>
        <w:t>华容县教育体育局</w:t>
      </w:r>
    </w:p>
    <w:p>
      <w:pPr>
        <w:snapToGrid w:val="0"/>
        <w:spacing w:line="336" w:lineRule="auto"/>
        <w:jc w:val="center"/>
        <w:rPr>
          <w:rFonts w:ascii="宋体" w:cs="宋体"/>
          <w:b/>
          <w:bCs/>
          <w:sz w:val="44"/>
          <w:szCs w:val="44"/>
        </w:rPr>
      </w:pPr>
      <w:r>
        <w:rPr>
          <w:rFonts w:hint="eastAsia" w:ascii="宋体" w:hAnsi="宋体" w:cs="宋体"/>
          <w:b/>
          <w:bCs/>
          <w:sz w:val="44"/>
          <w:szCs w:val="44"/>
        </w:rPr>
        <w:t>“三立”教育活动实施方案</w:t>
      </w:r>
    </w:p>
    <w:bookmarkEnd w:id="4"/>
    <w:p>
      <w:pPr>
        <w:snapToGrid w:val="0"/>
        <w:spacing w:line="336" w:lineRule="auto"/>
        <w:ind w:firstLine="640" w:firstLineChars="200"/>
        <w:rPr>
          <w:rFonts w:ascii="仿宋_GB2312" w:hAnsi="仿宋_GB2312" w:eastAsia="仿宋_GB2312" w:cs="仿宋_GB2312"/>
          <w:sz w:val="32"/>
          <w:szCs w:val="32"/>
        </w:rPr>
      </w:pP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习近平总书记对新时代教育工作的相关指示精神，深入推进“两个快乐”计划，激发全体师生志存高远、爱岗敬业的精神，促进教体事业健康、和谐、持续发展，经研究，决定在全县教体系统开展“三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学生立志、教师立德、干部立功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教育活动，特制定本方案。</w:t>
      </w:r>
    </w:p>
    <w:p>
      <w:pPr>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以党的十九大精神和习近平新时代中国特色社会主义思想为指导，深入学习贯彻全国、全省教育大会精神，始终把教育放在重中之重来抓，突出特色化、全局性作用，落实“三立”教育活动的有效开展。</w:t>
      </w:r>
    </w:p>
    <w:p>
      <w:pPr>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二、组织领导</w:t>
      </w:r>
    </w:p>
    <w:p>
      <w:pPr>
        <w:snapToGrid w:val="0"/>
        <w:spacing w:line="336" w:lineRule="auto"/>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成立华容县教体系统“三立”教育活动领导小组。由党委书记、局长任组长，局长办公会成员任副组长，相关股室负责人为成员。领导小组下设办公室，由人事股股长兼任办公室主任。</w:t>
      </w:r>
    </w:p>
    <w:p>
      <w:pPr>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三、具体内容</w:t>
      </w:r>
    </w:p>
    <w:p>
      <w:pPr>
        <w:snapToGrid w:val="0"/>
        <w:spacing w:line="336"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（一）学生立志，胸怀理想有抱负</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展主题教育活动。①开展读书明志活动。积极开展“立志新时代”为主题的学生读书活动，引导学生从小树立远大志向。②开展主题演讲比赛。分学段组织主题演讲比赛，引导全体学生争当新时代的建设者和接班人。</w:t>
      </w:r>
      <w:r>
        <w:rPr>
          <w:rFonts w:hint="eastAsia" w:ascii="楷体_GB2312" w:hAnsi="仿宋_GB2312" w:eastAsia="楷体_GB2312" w:cs="仿宋_GB2312"/>
          <w:sz w:val="32"/>
          <w:szCs w:val="32"/>
        </w:rPr>
        <w:t>【责任股室：</w:t>
      </w:r>
      <w:r>
        <w:rPr>
          <w:rFonts w:hint="eastAsia" w:ascii="楷体_GB2312" w:hAnsi="楷体_GB2312" w:eastAsia="楷体_GB2312" w:cs="楷体_GB2312"/>
          <w:bCs/>
          <w:sz w:val="32"/>
          <w:szCs w:val="32"/>
        </w:rPr>
        <w:t>基教股</w:t>
      </w:r>
      <w:r>
        <w:rPr>
          <w:rFonts w:hint="eastAsia" w:ascii="楷体_GB2312" w:hAnsi="仿宋_GB2312" w:eastAsia="楷体_GB2312" w:cs="仿宋_GB2312"/>
          <w:sz w:val="32"/>
          <w:szCs w:val="32"/>
        </w:rPr>
        <w:t>】</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开展励志讲座活动。邀请知名校友、名优教师、名优校长开展励志讲座，激励学生努力学习，树立远大的理想。</w:t>
      </w:r>
      <w:r>
        <w:rPr>
          <w:rFonts w:hint="eastAsia" w:ascii="楷体_GB2312" w:hAnsi="仿宋_GB2312" w:eastAsia="楷体_GB2312" w:cs="仿宋_GB2312"/>
          <w:sz w:val="32"/>
          <w:szCs w:val="32"/>
        </w:rPr>
        <w:t>【责任股室：</w:t>
      </w:r>
      <w:r>
        <w:rPr>
          <w:rFonts w:hint="eastAsia" w:ascii="楷体_GB2312" w:hAnsi="楷体_GB2312" w:eastAsia="楷体_GB2312" w:cs="楷体_GB2312"/>
          <w:bCs/>
          <w:sz w:val="32"/>
          <w:szCs w:val="32"/>
        </w:rPr>
        <w:t>基教股、教师工作股</w:t>
      </w:r>
      <w:r>
        <w:rPr>
          <w:rFonts w:hint="eastAsia" w:ascii="楷体_GB2312" w:hAnsi="仿宋_GB2312" w:eastAsia="楷体_GB2312" w:cs="仿宋_GB2312"/>
          <w:sz w:val="32"/>
          <w:szCs w:val="32"/>
        </w:rPr>
        <w:t>】</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开展素质扩展活动。开展学生户外远足、研学旅行、参观教育基地等活动，培养学生意志力，扩展视野，提升实践能力；组织“电影学堂”活动，定期组织学生观看励志影片，激励和教育学生。</w:t>
      </w:r>
      <w:r>
        <w:rPr>
          <w:rFonts w:hint="eastAsia" w:ascii="楷体_GB2312" w:hAnsi="仿宋_GB2312" w:eastAsia="楷体_GB2312" w:cs="仿宋_GB2312"/>
          <w:sz w:val="32"/>
          <w:szCs w:val="32"/>
        </w:rPr>
        <w:t>【责任股室：</w:t>
      </w:r>
      <w:r>
        <w:rPr>
          <w:rFonts w:hint="eastAsia" w:ascii="楷体_GB2312" w:hAnsi="楷体_GB2312" w:eastAsia="楷体_GB2312" w:cs="楷体_GB2312"/>
          <w:bCs/>
          <w:sz w:val="32"/>
          <w:szCs w:val="32"/>
        </w:rPr>
        <w:t>基教股</w:t>
      </w:r>
      <w:r>
        <w:rPr>
          <w:rFonts w:hint="eastAsia" w:ascii="楷体_GB2312" w:hAnsi="仿宋_GB2312" w:eastAsia="楷体_GB2312" w:cs="仿宋_GB2312"/>
          <w:sz w:val="32"/>
          <w:szCs w:val="32"/>
        </w:rPr>
        <w:t>】</w:t>
      </w:r>
    </w:p>
    <w:p>
      <w:pPr>
        <w:snapToGrid w:val="0"/>
        <w:spacing w:line="336" w:lineRule="auto"/>
        <w:ind w:firstLine="640" w:firstLineChars="200"/>
        <w:rPr>
          <w:rFonts w:ascii="楷体_GB2312" w:hAnsi="仿宋_GB2312" w:eastAsia="楷体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开展典型引路活动。开展“新时代少年”“优秀学生”“优秀学生干部”评选活动，树立和推介先进典型，进一步发挥榜样的引领作用。</w:t>
      </w:r>
      <w:r>
        <w:rPr>
          <w:rFonts w:hint="eastAsia" w:ascii="楷体_GB2312" w:hAnsi="仿宋_GB2312" w:eastAsia="楷体_GB2312" w:cs="仿宋_GB2312"/>
          <w:sz w:val="32"/>
          <w:szCs w:val="32"/>
        </w:rPr>
        <w:t>【责任股室：</w:t>
      </w:r>
      <w:r>
        <w:rPr>
          <w:rFonts w:hint="eastAsia" w:ascii="楷体_GB2312" w:hAnsi="楷体_GB2312" w:eastAsia="楷体_GB2312" w:cs="楷体_GB2312"/>
          <w:bCs/>
          <w:sz w:val="32"/>
          <w:szCs w:val="32"/>
        </w:rPr>
        <w:t>基教股、办公室</w:t>
      </w:r>
      <w:r>
        <w:rPr>
          <w:rFonts w:hint="eastAsia" w:ascii="楷体_GB2312" w:hAnsi="仿宋_GB2312" w:eastAsia="楷体_GB2312" w:cs="仿宋_GB2312"/>
          <w:sz w:val="32"/>
          <w:szCs w:val="32"/>
        </w:rPr>
        <w:t>】</w:t>
      </w:r>
    </w:p>
    <w:p>
      <w:pPr>
        <w:snapToGrid w:val="0"/>
        <w:spacing w:line="336"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（二）教师立德，立足本职有成效</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担当教育新使命。采取自学与集中学习相结合的方式，组织教师深入学习党的十九大精神和习近平新时代中国特色社会主义思想，学习《教育法》《新时代中小学教师职业行为十项准则》等教育法律法规，组织教师业务理论考试，以考促学，不断提高教师思想政治素质和师德水平。</w:t>
      </w:r>
      <w:r>
        <w:rPr>
          <w:rFonts w:hint="eastAsia" w:ascii="楷体_GB2312" w:hAnsi="楷体_GB2312" w:eastAsia="楷体_GB2312" w:cs="楷体_GB2312"/>
          <w:bCs/>
          <w:sz w:val="32"/>
          <w:szCs w:val="32"/>
        </w:rPr>
        <w:t>【责任股室：党建办、教师工作股】</w:t>
      </w:r>
    </w:p>
    <w:p>
      <w:pPr>
        <w:snapToGrid w:val="0"/>
        <w:spacing w:line="336" w:lineRule="auto"/>
        <w:ind w:firstLine="640" w:firstLineChars="200"/>
        <w:rPr>
          <w:rFonts w:ascii="楷体_GB2312" w:hAnsi="仿宋_GB2312" w:eastAsia="楷体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主题活动立师德。深入开展以“如何做新时代的优秀教师”为主题的征文活动，让广大教师不忘初心，提振精气神。开展以“争做有理想信念、有道德情操、有扎实学识、有仁爱之心‘四有’好教师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”为主题的演讲活动，引导广大教师爱岗敬业、廉洁从教、为人师表。</w:t>
      </w:r>
      <w:r>
        <w:rPr>
          <w:rFonts w:hint="eastAsia" w:ascii="楷体_GB2312" w:hAnsi="仿宋_GB2312" w:eastAsia="楷体_GB2312" w:cs="仿宋_GB2312"/>
          <w:sz w:val="32"/>
          <w:szCs w:val="32"/>
        </w:rPr>
        <w:t>【责任股室：工会】</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教学比武活动。为进一步推动课堂教学改革，促进教师共同探讨教学艺术、提升教学质量的积极性，学校要为教师搭建施展才华的平台，组织开展立足于本职的教学比武活动，推动“一师一优课，一课一名师”活动的深入开展。</w:t>
      </w:r>
      <w:r>
        <w:rPr>
          <w:rFonts w:hint="eastAsia" w:ascii="楷体_GB2312" w:hAnsi="仿宋_GB2312" w:eastAsia="楷体_GB2312" w:cs="仿宋_GB2312"/>
          <w:sz w:val="32"/>
          <w:szCs w:val="32"/>
        </w:rPr>
        <w:t>【责任股室：教研室、基教股】</w:t>
      </w:r>
    </w:p>
    <w:p>
      <w:pPr>
        <w:snapToGrid w:val="0"/>
        <w:spacing w:line="336" w:lineRule="auto"/>
        <w:ind w:firstLine="640" w:firstLineChars="200"/>
        <w:rPr>
          <w:rFonts w:ascii="楷体_GB2312" w:hAnsi="仿宋_GB2312" w:eastAsia="楷体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表彰评比树典型。开展“师德标兵”“四有”好老师、“最美乡村教师”等评选活动，组织优秀教师讲师团进行事迹宣讲，用优秀典型带动广大教师争先创优。</w:t>
      </w:r>
      <w:r>
        <w:rPr>
          <w:rFonts w:hint="eastAsia" w:ascii="楷体_GB2312" w:hAnsi="仿宋_GB2312" w:eastAsia="楷体_GB2312" w:cs="仿宋_GB2312"/>
          <w:sz w:val="32"/>
          <w:szCs w:val="32"/>
        </w:rPr>
        <w:t>【责任股室：人事股、教师工作股】</w:t>
      </w:r>
    </w:p>
    <w:p>
      <w:pPr>
        <w:snapToGrid w:val="0"/>
        <w:spacing w:line="336"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（三）干部立功，实干担当有作为</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忠诚履职，突出党建引领。</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）加强思想教育。根据教体系统“支部建设年”有关要求，以“两学一做”活动为载体，贯彻党的十九大精神和全国、全省教育大会精神，以习近平新时代中国特色社会主义思想武装头脑。【责任股室：党建办】</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）开展“双带双促”活动。落实党员干部政治带头、业务带头、促管理提升、促质量提高，推动党建与教育教学深度融合，提升教育教学质量。【责任股室：党建办、基教股】</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担当尽责，奋力建功一线。</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）深入教学当表率。落实“一线工作法”，学校行政干部要深入教学一线上课听课评课，参与教研教改，机关办联系点干部每月下校不少于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次，听课不少于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校长及教学管理人员每学期听课不少于</w:t>
      </w:r>
      <w:r>
        <w:rPr>
          <w:rFonts w:hint="eastAsia" w:ascii="仿宋_GB2312" w:hAnsi="仿宋_GB2312" w:eastAsia="仿宋_GB2312" w:cs="仿宋_GB2312"/>
          <w:sz w:val="32"/>
          <w:szCs w:val="32"/>
          <w:lang w:val="en-US" w:eastAsia="zh-CN"/>
        </w:rPr>
        <w:t>40节，其他班子成员不少于20节，并有相应的</w:t>
      </w:r>
      <w:r>
        <w:rPr>
          <w:rFonts w:hint="eastAsia" w:ascii="仿宋_GB2312" w:hAnsi="仿宋_GB2312" w:eastAsia="仿宋_GB2312" w:cs="仿宋_GB2312"/>
          <w:sz w:val="32"/>
          <w:szCs w:val="32"/>
        </w:rPr>
        <w:t>记录。【责任股室：</w:t>
      </w:r>
      <w:r>
        <w:rPr>
          <w:rFonts w:hint="eastAsia" w:ascii="仿宋_GB2312" w:hAnsi="仿宋_GB2312" w:eastAsia="仿宋_GB2312" w:cs="仿宋_GB2312"/>
          <w:sz w:val="32"/>
          <w:szCs w:val="32"/>
          <w:lang w:eastAsia="zh-CN"/>
        </w:rPr>
        <w:t>基教股、</w:t>
      </w:r>
      <w:r>
        <w:rPr>
          <w:rFonts w:hint="eastAsia" w:ascii="仿宋_GB2312" w:hAnsi="仿宋_GB2312" w:eastAsia="仿宋_GB2312" w:cs="仿宋_GB2312"/>
          <w:sz w:val="32"/>
          <w:szCs w:val="32"/>
        </w:rPr>
        <w:t>党建办、人事股】</w:t>
      </w:r>
    </w:p>
    <w:p>
      <w:pPr>
        <w:snapToGrid w:val="0"/>
        <w:spacing w:line="336"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）工会活动聚合力。建设好教工之家，有计划地开展教师户外拓展活动，校内组建兴趣爱好小组，丰富教职工的业余生活，提升教师幸福指数，提高集体凝聚力。【责任股室：工会】</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）阅读活动增书香。倡导“学习阅读”之风，高标准建好图书阅览室，全面推进“书香校园”建设。①全员阅读。各单位组织广大教师每期阅读</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本推荐读本，做好读书笔记，撰写阅读感悟、反思、心得体会。②读书交流。以读书座谈会等形式，组织教师进行读书交流，分享读书心得体会。【责任股室：工会、办公室】</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推进青年教师培养工程。①深入落实《关于切实加强青年教师培养的实施方案》要求，把青年教师留得住、教得好作为学校发展要务。②推进人才库建设。发现和培养好后备力量，给青年后备干部创造平台。【责任股室：教师工作股、人事股】</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争先创优，提升教育形象。</w:t>
      </w:r>
    </w:p>
    <w:p>
      <w:pPr>
        <w:snapToGrid w:val="0"/>
        <w:spacing w:line="336" w:lineRule="auto"/>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开展“亮牌示范”活动。通过党员干部教师佩戴党徽，把身份亮出来；开展党员先锋岗活动，促进党员干部发挥先锋模范作用。【责任股室：党建办】</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）开展“服务群众”活动。开展干部志愿服务、结对帮扶、走访慰问等活动，帮助群众解决实际问题。【责任股室：办公室、工会、助学中心】</w:t>
      </w:r>
    </w:p>
    <w:p>
      <w:pPr>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）开展“教育管理标兵”评选活动。评选一批在教育教学管理工作中的先进典型，并授予“教育管理标兵”荣誉称号。【责任股室：人事股】</w:t>
      </w:r>
    </w:p>
    <w:p>
      <w:pPr>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napToGrid w:val="0"/>
        <w:spacing w:line="336"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提高认识，加强领导。</w:t>
      </w:r>
      <w:r>
        <w:rPr>
          <w:rFonts w:hint="eastAsia" w:ascii="仿宋_GB2312" w:hAnsi="仿宋_GB2312" w:eastAsia="仿宋_GB2312" w:cs="仿宋_GB2312"/>
          <w:sz w:val="32"/>
          <w:szCs w:val="32"/>
        </w:rPr>
        <w:t>全县教体系统“三立”教育活动的开展，意义重大，影响深远，各牵头股室（每项具体任务排第一的为牵头股室）要细化工作方案，落实相关工作；各单位成立“三立”教育活动实施工作小组，制定切合学校实际的具体实施办法，确保活动有计划开展。</w:t>
      </w:r>
    </w:p>
    <w:p>
      <w:pPr>
        <w:snapToGrid w:val="0"/>
        <w:spacing w:line="336"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担当作为，狠抓落实。</w:t>
      </w:r>
      <w:r>
        <w:rPr>
          <w:rFonts w:hint="eastAsia" w:ascii="仿宋_GB2312" w:hAnsi="仿宋_GB2312" w:eastAsia="仿宋_GB2312" w:cs="仿宋_GB2312"/>
          <w:sz w:val="32"/>
          <w:szCs w:val="32"/>
        </w:rPr>
        <w:t>以“两个快乐”计划为导向，把工作落实作为着力点，活动开展要彰显特色，坚持求真务实，力戒形式主义，对于活动中涌现出来的先进典型要正面宣传，确保活动有效开展。</w:t>
      </w:r>
    </w:p>
    <w:p>
      <w:pPr>
        <w:snapToGrid w:val="0"/>
        <w:spacing w:line="336"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健全机制，强化考核。</w:t>
      </w:r>
      <w:r>
        <w:rPr>
          <w:rFonts w:hint="eastAsia" w:ascii="仿宋_GB2312" w:hAnsi="仿宋_GB2312" w:eastAsia="仿宋_GB2312" w:cs="仿宋_GB2312"/>
          <w:sz w:val="32"/>
          <w:szCs w:val="32"/>
        </w:rPr>
        <w:t>各责任股室通过查阅活动资料、现场走访调查等形式，对各项工作落实情况进行考核，并将考核结果纳入各单位年终千分制管理考核内容。督导室、督学责任区、机关联系点干部要定期下校督查，确保“三立”教育活动落到实处。</w:t>
      </w:r>
    </w:p>
    <w:p>
      <w:pPr>
        <w:snapToGrid w:val="0"/>
        <w:spacing w:line="336"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napToGrid w:val="0"/>
        <w:spacing w:line="336" w:lineRule="auto"/>
        <w:ind w:firstLine="640" w:firstLineChars="200"/>
        <w:rPr>
          <w:rFonts w:ascii="仿宋_GB2312" w:hAnsi="仿宋_GB2312" w:eastAsia="仿宋_GB2312" w:cs="仿宋_GB2312"/>
          <w:sz w:val="32"/>
          <w:szCs w:val="32"/>
        </w:rPr>
      </w:pPr>
    </w:p>
    <w:p>
      <w:pPr>
        <w:snapToGrid w:val="0"/>
        <w:spacing w:line="336" w:lineRule="auto"/>
        <w:ind w:firstLine="640" w:firstLineChars="200"/>
        <w:rPr>
          <w:rFonts w:ascii="仿宋_GB2312" w:hAnsi="仿宋_GB2312" w:eastAsia="仿宋_GB2312" w:cs="仿宋_GB2312"/>
          <w:sz w:val="32"/>
          <w:szCs w:val="32"/>
        </w:rPr>
      </w:pPr>
    </w:p>
    <w:p>
      <w:pPr>
        <w:snapToGrid w:val="0"/>
        <w:spacing w:line="336" w:lineRule="auto"/>
        <w:ind w:firstLine="6080" w:firstLineChars="1900"/>
        <w:rPr>
          <w:rFonts w:asci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- 3 -</w:t>
                          </w:r>
                          <w:r>
                            <w:rPr>
                              <w:rFonts w:ascii="宋体" w:hAnsi="宋体" w:cs="宋体"/>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KW3LUBAABcAwAADgAAAGRycy9lMm9Eb2MueG1srVNNrtMwEN4jcQfL&#10;e5q0C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P+fMC0cjOn/9cv724/z9M1vWqx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CKW&#10;3LUBAABcAwAADgAAAAAAAAABACAAAAAeAQAAZHJzL2Uyb0RvYy54bWxQSwUGAAAAAAYABgBZAQAA&#10;RQUAAAAA&#10;">
              <v:fill on="f" focussize="0,0"/>
              <v:stroke on="f"/>
              <v:imagedata o:title=""/>
              <o:lock v:ext="edit" aspectratio="f"/>
              <v:textbox inset="0mm,0mm,0mm,0mm" style="mso-fit-shape-to-text:t;">
                <w:txbxContent>
                  <w:p>
                    <w:pPr>
                      <w:pStyle w:val="3"/>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- 3 -</w:t>
                    </w:r>
                    <w:r>
                      <w:rPr>
                        <w:rFonts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C6"/>
    <w:rsid w:val="0000124A"/>
    <w:rsid w:val="00092F0A"/>
    <w:rsid w:val="000C249A"/>
    <w:rsid w:val="000E66FF"/>
    <w:rsid w:val="00110E72"/>
    <w:rsid w:val="00146168"/>
    <w:rsid w:val="001B1CE9"/>
    <w:rsid w:val="001B3FB1"/>
    <w:rsid w:val="00212102"/>
    <w:rsid w:val="00214AB4"/>
    <w:rsid w:val="00256F16"/>
    <w:rsid w:val="002679D2"/>
    <w:rsid w:val="00272988"/>
    <w:rsid w:val="00295F54"/>
    <w:rsid w:val="002C2CE7"/>
    <w:rsid w:val="002D2DDE"/>
    <w:rsid w:val="00303B02"/>
    <w:rsid w:val="003C6FA7"/>
    <w:rsid w:val="00417925"/>
    <w:rsid w:val="00456A6E"/>
    <w:rsid w:val="00462C8D"/>
    <w:rsid w:val="00483A26"/>
    <w:rsid w:val="00495AE4"/>
    <w:rsid w:val="004C2DDB"/>
    <w:rsid w:val="004D0D31"/>
    <w:rsid w:val="004E0293"/>
    <w:rsid w:val="004E7209"/>
    <w:rsid w:val="0052511E"/>
    <w:rsid w:val="0053138F"/>
    <w:rsid w:val="00551AA5"/>
    <w:rsid w:val="00557C18"/>
    <w:rsid w:val="005A2EFF"/>
    <w:rsid w:val="00623A1B"/>
    <w:rsid w:val="00663A38"/>
    <w:rsid w:val="00665ED0"/>
    <w:rsid w:val="00667DD8"/>
    <w:rsid w:val="00695786"/>
    <w:rsid w:val="00695DFD"/>
    <w:rsid w:val="006D4750"/>
    <w:rsid w:val="006D6550"/>
    <w:rsid w:val="006E1EE6"/>
    <w:rsid w:val="0074047A"/>
    <w:rsid w:val="007535A9"/>
    <w:rsid w:val="00776D7B"/>
    <w:rsid w:val="007B7C33"/>
    <w:rsid w:val="007C114E"/>
    <w:rsid w:val="007D26DD"/>
    <w:rsid w:val="007E2FAC"/>
    <w:rsid w:val="00801BD4"/>
    <w:rsid w:val="00810274"/>
    <w:rsid w:val="00893021"/>
    <w:rsid w:val="008C3FC2"/>
    <w:rsid w:val="008C5701"/>
    <w:rsid w:val="008E09CE"/>
    <w:rsid w:val="009A7FD3"/>
    <w:rsid w:val="009B0D0B"/>
    <w:rsid w:val="009C0C4B"/>
    <w:rsid w:val="009E00AA"/>
    <w:rsid w:val="00A02009"/>
    <w:rsid w:val="00A10CDC"/>
    <w:rsid w:val="00A505F3"/>
    <w:rsid w:val="00B23D6D"/>
    <w:rsid w:val="00B64366"/>
    <w:rsid w:val="00B95FC6"/>
    <w:rsid w:val="00BD5A7E"/>
    <w:rsid w:val="00C13205"/>
    <w:rsid w:val="00C62E83"/>
    <w:rsid w:val="00C72FE9"/>
    <w:rsid w:val="00CB3C50"/>
    <w:rsid w:val="00CD253D"/>
    <w:rsid w:val="00D40CCD"/>
    <w:rsid w:val="00D80DE8"/>
    <w:rsid w:val="00D86A2E"/>
    <w:rsid w:val="00DA5C27"/>
    <w:rsid w:val="00DB5A09"/>
    <w:rsid w:val="00DD3090"/>
    <w:rsid w:val="00E16C6C"/>
    <w:rsid w:val="00E44889"/>
    <w:rsid w:val="00E5061A"/>
    <w:rsid w:val="00E665C7"/>
    <w:rsid w:val="00EC7C29"/>
    <w:rsid w:val="00F56B7E"/>
    <w:rsid w:val="00F8493C"/>
    <w:rsid w:val="00F87484"/>
    <w:rsid w:val="00FB41C8"/>
    <w:rsid w:val="01B87569"/>
    <w:rsid w:val="0214195F"/>
    <w:rsid w:val="06BA492B"/>
    <w:rsid w:val="0A9E27EA"/>
    <w:rsid w:val="0C3C7C3A"/>
    <w:rsid w:val="0F26728B"/>
    <w:rsid w:val="11851B79"/>
    <w:rsid w:val="135B3046"/>
    <w:rsid w:val="143B3D69"/>
    <w:rsid w:val="157D36B9"/>
    <w:rsid w:val="1BF92F2A"/>
    <w:rsid w:val="1C6C0149"/>
    <w:rsid w:val="1DD95CE3"/>
    <w:rsid w:val="20464594"/>
    <w:rsid w:val="20962DFD"/>
    <w:rsid w:val="222D1F58"/>
    <w:rsid w:val="228B09EE"/>
    <w:rsid w:val="22DD457F"/>
    <w:rsid w:val="238C50FD"/>
    <w:rsid w:val="239840E3"/>
    <w:rsid w:val="26A51EF8"/>
    <w:rsid w:val="2794433F"/>
    <w:rsid w:val="283C4869"/>
    <w:rsid w:val="29F928DE"/>
    <w:rsid w:val="2D3F3E2D"/>
    <w:rsid w:val="2E567502"/>
    <w:rsid w:val="2F035E8A"/>
    <w:rsid w:val="2FB55431"/>
    <w:rsid w:val="30B33059"/>
    <w:rsid w:val="30BC1FFA"/>
    <w:rsid w:val="30E4240F"/>
    <w:rsid w:val="311C0F41"/>
    <w:rsid w:val="31512281"/>
    <w:rsid w:val="344D0161"/>
    <w:rsid w:val="350B7BA3"/>
    <w:rsid w:val="35C2401F"/>
    <w:rsid w:val="394865C6"/>
    <w:rsid w:val="3A3D19DB"/>
    <w:rsid w:val="3BF82D1B"/>
    <w:rsid w:val="3CE04AD0"/>
    <w:rsid w:val="3D1C039C"/>
    <w:rsid w:val="3DB061A2"/>
    <w:rsid w:val="3F1A54FA"/>
    <w:rsid w:val="40F10558"/>
    <w:rsid w:val="41AF53F9"/>
    <w:rsid w:val="41DB1EE6"/>
    <w:rsid w:val="43121D55"/>
    <w:rsid w:val="439D4DA3"/>
    <w:rsid w:val="47820B38"/>
    <w:rsid w:val="479639A5"/>
    <w:rsid w:val="49B0190E"/>
    <w:rsid w:val="4AF10143"/>
    <w:rsid w:val="4BBC4107"/>
    <w:rsid w:val="4C737B2E"/>
    <w:rsid w:val="4D1663C9"/>
    <w:rsid w:val="4DDF3154"/>
    <w:rsid w:val="4F04447D"/>
    <w:rsid w:val="4FBF6E1F"/>
    <w:rsid w:val="514249F8"/>
    <w:rsid w:val="55CF7175"/>
    <w:rsid w:val="56130040"/>
    <w:rsid w:val="56CE39DB"/>
    <w:rsid w:val="57E25322"/>
    <w:rsid w:val="5BCE31EE"/>
    <w:rsid w:val="60BF0CF9"/>
    <w:rsid w:val="61966C60"/>
    <w:rsid w:val="61F029AB"/>
    <w:rsid w:val="62F66442"/>
    <w:rsid w:val="63490D22"/>
    <w:rsid w:val="69CB70C8"/>
    <w:rsid w:val="6CAF7903"/>
    <w:rsid w:val="6CD5711E"/>
    <w:rsid w:val="6ED113E0"/>
    <w:rsid w:val="6EDA155A"/>
    <w:rsid w:val="6EEC7AEC"/>
    <w:rsid w:val="705D0563"/>
    <w:rsid w:val="70D97768"/>
    <w:rsid w:val="710A6745"/>
    <w:rsid w:val="71F96697"/>
    <w:rsid w:val="746E1BC1"/>
    <w:rsid w:val="749F5F3B"/>
    <w:rsid w:val="76DE0A93"/>
    <w:rsid w:val="779843C9"/>
    <w:rsid w:val="7A364D58"/>
    <w:rsid w:val="7BD76033"/>
    <w:rsid w:val="7C2742EA"/>
    <w:rsid w:val="7C472428"/>
    <w:rsid w:val="7E1D2291"/>
    <w:rsid w:val="7E8B3F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semiHidden/>
    <w:qFormat/>
    <w:uiPriority w:val="99"/>
    <w:rPr>
      <w:rFonts w:cs="Times New Roman"/>
      <w:color w:val="0000FF"/>
      <w:u w:val="single"/>
    </w:rPr>
  </w:style>
  <w:style w:type="character" w:customStyle="1" w:styleId="10">
    <w:name w:val="Heading 1 Char"/>
    <w:basedOn w:val="6"/>
    <w:link w:val="2"/>
    <w:locked/>
    <w:uiPriority w:val="99"/>
    <w:rPr>
      <w:rFonts w:ascii="Calibri" w:hAnsi="Calibri" w:cs="Times New Roman"/>
      <w:b/>
      <w:bCs/>
      <w:kern w:val="44"/>
      <w:sz w:val="44"/>
      <w:szCs w:val="44"/>
    </w:rPr>
  </w:style>
  <w:style w:type="character" w:customStyle="1" w:styleId="11">
    <w:name w:val="Footer Char"/>
    <w:basedOn w:val="6"/>
    <w:link w:val="3"/>
    <w:semiHidden/>
    <w:locked/>
    <w:uiPriority w:val="99"/>
    <w:rPr>
      <w:rFonts w:cs="Times New Roman"/>
      <w:sz w:val="18"/>
      <w:szCs w:val="18"/>
    </w:rPr>
  </w:style>
  <w:style w:type="character" w:customStyle="1" w:styleId="12">
    <w:name w:val="Header Char"/>
    <w:basedOn w:val="6"/>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367</Words>
  <Characters>2093</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2019-03-21T05:29:00Z</dcterms:created>
  <dc:creator>PC</dc:creator>
  <cp:lastModifiedBy>水墨年华C</cp:lastModifiedBy>
  <cp:lastPrinted>2019-04-15T06:52:00Z</cp:lastPrinted>
  <dcterms:modified xsi:type="dcterms:W3CDTF">2019-04-22T04:06:52Z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