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退役军人事务局（本级）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整体支出绩效评价基础数据表</w:t>
      </w:r>
    </w:p>
    <w:tbl>
      <w:tblPr>
        <w:tblStyle w:val="6"/>
        <w:tblW w:w="499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1793"/>
        <w:gridCol w:w="2234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rPr>
                <w:rFonts w:hint="default" w:ascii="新宋体" w:hAnsi="新宋体" w:eastAsia="新宋体" w:cs="新宋体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  <w:t xml:space="preserve">       10        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628.9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108.2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224.42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1.03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1.03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7042.96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7719.02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.死亡抚恤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316.27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.义务兵优待金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108.45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601.92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3.光荣院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4.其他优抚支出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6047.98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6649.46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5.军队移交政府的离退休人员安置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77.58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6.军队转业干部安置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185.05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7.优抚对象医疗补助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209.4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393.26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8.其他支出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97.65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严格财务管理制度，严格按中央“八项”规定，控制一般性支出，按预算支出管理。</w:t>
            </w: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        填报日期：          联系电话：            单位负责人签字：</w:t>
      </w:r>
      <w:r>
        <w:rPr>
          <w:rFonts w:hint="default" w:ascii="Times New Roman" w:hAnsi="Times New Roman" w:eastAsia="仿宋_GB2312" w:cs="Times New Roman"/>
          <w:sz w:val="22"/>
        </w:rPr>
        <w:br w:type="page"/>
      </w: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退役军人事务局（本级）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整体支出绩效自评表</w:t>
      </w:r>
    </w:p>
    <w:tbl>
      <w:tblPr>
        <w:tblStyle w:val="6"/>
        <w:tblW w:w="499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807"/>
        <w:gridCol w:w="796"/>
        <w:gridCol w:w="969"/>
        <w:gridCol w:w="1070"/>
        <w:gridCol w:w="928"/>
        <w:gridCol w:w="540"/>
        <w:gridCol w:w="937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0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华容县退役军人事务局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9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108.2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7943.44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7973.44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7943.44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224.42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项目支出：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7719.02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1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2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1" w:hRule="atLeast"/>
          <w:jc w:val="center"/>
        </w:trPr>
        <w:tc>
          <w:tcPr>
            <w:tcW w:w="59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目标1：发放各类抚恤对象抚恤补助资金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目标2：优抚对象办理医疗保障资金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rPr>
                <w:rFonts w:hint="default" w:ascii="宋体" w:hAnsi="宋体" w:eastAsia="仿宋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目标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：维护伤残军人、因公</w:t>
            </w:r>
            <w:r>
              <w:rPr>
                <w:rFonts w:hint="eastAsia" w:ascii="仿宋" w:hAnsi="仿宋" w:eastAsia="仿宋"/>
                <w:szCs w:val="21"/>
              </w:rPr>
              <w:t>牺牲军人　　和病故军人权益</w:t>
            </w:r>
          </w:p>
          <w:p>
            <w:pPr>
              <w:pStyle w:val="4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目标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：落实计划安置退役士官</w:t>
            </w:r>
          </w:p>
        </w:tc>
        <w:tc>
          <w:tcPr>
            <w:tcW w:w="22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目标1：发放各类抚恤对象抚恤补助资金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5328.35</w:t>
            </w:r>
            <w:r>
              <w:rPr>
                <w:rFonts w:hint="eastAsia" w:ascii="宋体" w:hAnsi="宋体" w:cs="宋体"/>
                <w:sz w:val="21"/>
                <w:szCs w:val="21"/>
              </w:rPr>
              <w:t>万元；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目标2：优抚对象办理医疗保障资金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393.26</w:t>
            </w:r>
            <w:r>
              <w:rPr>
                <w:rFonts w:hint="eastAsia" w:ascii="宋体" w:hAnsi="宋体" w:cs="宋体"/>
                <w:sz w:val="21"/>
                <w:szCs w:val="21"/>
              </w:rPr>
              <w:t>万元；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目标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：维护伤残军人、因公牺牲军人和病故军人权益，共发放补助资金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1925.04</w:t>
            </w:r>
            <w:r>
              <w:rPr>
                <w:rFonts w:hint="eastAsia" w:ascii="宋体" w:hAnsi="宋体" w:cs="宋体"/>
                <w:sz w:val="21"/>
                <w:szCs w:val="21"/>
              </w:rPr>
              <w:t>万元；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目标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</w:rPr>
              <w:t>：落实计划安置退役士官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72.37</w:t>
            </w:r>
            <w:r>
              <w:rPr>
                <w:rFonts w:hint="eastAsia" w:ascii="宋体" w:hAnsi="宋体" w:cs="宋体"/>
                <w:sz w:val="21"/>
                <w:szCs w:val="21"/>
              </w:rPr>
              <w:t>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,发放一次性补助。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优抚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对象人数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按政策应享尽享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按政策应享尽享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优抚对象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纳入保障范围率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≥90%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90%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落实计划安置退役士官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highlight w:val="none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27    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highlight w:val="none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27    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维护伤残军人、因公牺牲军人和病故军人权益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维护伤残军人、因公牺牲军人和病故军人权益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维护伤残军人、因公牺牲军人和病故军人权益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落实各类抚恤补助政策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资金使用率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资金到位率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100%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100%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优抚对象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管理信息系统</w:t>
            </w: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正确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率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≥95%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97%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资金到位时效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sz w:val="24"/>
              </w:rPr>
              <w:t>≤12月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sz w:val="24"/>
              </w:rPr>
              <w:t>≤12月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210" w:firstLineChars="10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按预算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607.15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公用经费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按预算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106.2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按预算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8095.77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维护优抚对象权益和社会稳定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维护优抚对象权益和社会稳定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维护优抚对象权益和社会稳定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优抚政策知晓率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≥9</w:t>
            </w: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95%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优抚对象权益的保障作用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长期可持续性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长期可持续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政策实施满意度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7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填表人：      填报日期：         联系电话：    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r>
        <w:rPr>
          <w:rFonts w:hint="default" w:ascii="Times New Roman" w:hAnsi="Times New Roman" w:eastAsia="仿宋_GB2312" w:cs="Times New Roman"/>
          <w:sz w:val="2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退役军人事务局（本级）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退役军人事务（本级）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部门（单位）基本情况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default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华容县退役军人事务局为独立核算单位，其余退役军人服务中心、军队离退休管理所、县光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荣</w:t>
      </w:r>
      <w:r>
        <w:rPr>
          <w:rFonts w:hint="eastAsia" w:ascii="仿宋" w:hAnsi="仿宋" w:eastAsia="仿宋" w:cs="仿宋_GB2312"/>
          <w:sz w:val="30"/>
          <w:szCs w:val="30"/>
        </w:rPr>
        <w:t>院、东山光荣院、塔市光荣院、洪山头光荣院、南山光荣院、烈士陵园管理所等属于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退役军人服务中心分支机构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二、基本支出情况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年度财政预算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基本支出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224.42</w:t>
      </w:r>
      <w:r>
        <w:rPr>
          <w:rFonts w:hint="eastAsia" w:ascii="仿宋" w:hAnsi="仿宋" w:eastAsia="仿宋" w:cs="仿宋_GB2312"/>
          <w:sz w:val="30"/>
          <w:szCs w:val="30"/>
        </w:rPr>
        <w:t>万元，其中：人员支出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191.94</w:t>
      </w:r>
      <w:r>
        <w:rPr>
          <w:rFonts w:hint="eastAsia" w:ascii="仿宋" w:hAnsi="仿宋" w:eastAsia="仿宋" w:cs="仿宋_GB2312"/>
          <w:sz w:val="30"/>
          <w:szCs w:val="30"/>
        </w:rPr>
        <w:t>万元，公用支出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32.48</w:t>
      </w:r>
      <w:r>
        <w:rPr>
          <w:rFonts w:hint="eastAsia" w:ascii="仿宋" w:hAnsi="仿宋" w:eastAsia="仿宋" w:cs="仿宋_GB2312"/>
          <w:sz w:val="30"/>
          <w:szCs w:val="30"/>
        </w:rPr>
        <w:t>万元。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三、项目支出情况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b/>
          <w:bCs/>
          <w:kern w:val="2"/>
          <w:sz w:val="30"/>
          <w:szCs w:val="30"/>
          <w:lang w:val="en-US" w:eastAsia="zh-CN" w:bidi="ar-SA"/>
        </w:rPr>
        <w:t>1、专项资金安排落实、总投入等情况分析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2022年度，我局专项资金全年预算安排总额7719.02万元，主要用于死亡抚恤2万元、义务兵优待601.92万元、光荣院经费0万元、其他优抚支出6649.46万元、军队移交政府离退休人员安置0万元、军队转业干部安置72.37万元和优抚对象医疗补助393.26万元。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b/>
          <w:bCs/>
          <w:kern w:val="2"/>
          <w:sz w:val="30"/>
          <w:szCs w:val="30"/>
          <w:lang w:val="en-US" w:eastAsia="zh-CN" w:bidi="ar-SA"/>
        </w:rPr>
        <w:t>2、专项资金实际使用情况及管理情况分析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2022年度，我局专项资金实际执行总额7719.02万元，其中，死亡抚恤2万元、义务兵优待601.92万元、光荣院经费0万元、其他优抚支出6649.46万元、军队移交政府离退休人员安置0万元、军队转业干部安置72.37万元和优抚对象医疗补助393.26万元。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为贯彻执行国家预算法，加强预算绩效管理，我局严格按预算绩效管理的相关要求开展预算工作，我局2022年总支出为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7943.44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万元。其中：基本支出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224.42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万元,占总支出的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2.8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%;项目支出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7719.02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万元,占总支出的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97.2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%。我局切实以绩效管理为目标，健全单位绩效管理工作机制，明确责任，努力提高绩效管理工作水平；加强单位制度建设，提升预算管理质量。合理保障各类救助对象保障标准，使救助对象基本生活得以有效保障，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通过通过优抚专项资金的使用，切实做好抚恤优待工作，维护好优抚对象合法权益，保障优抚对象生活水平；对军休人员和企业军转干人员予以妥善安置，强化社会拥军氛围。显著的改善并丰富了军休人员生活，完成预期指标；优抚对象医疗保障资金方面，包含残疾军人因伤口复发住院期间伙食补助、医疗救助资金、医疗补助资金三个方面，该项资金的使用涉及县内大量残疾军人、“三属”、在乡复员军人，进一步减轻个人医疗负担。同时，对部分因重病、大灾、意外伤害导致家庭生活特别困难的退役军人发放医疗补助，为困难退役军人提供了医疗方面的支持和保障，极大地体现了党和政府对退役军人的重视和关爱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、存在的问题及原因分析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1、资金预算刚性不够，预算编制与实际支出项目有的存在差异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2、资金预算量与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退役军人事务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发展需求增加存在矛盾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、下一步改进措施</w:t>
      </w:r>
    </w:p>
    <w:p>
      <w:pPr>
        <w:pStyle w:val="2"/>
        <w:ind w:firstLine="1280" w:firstLineChars="4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1、严格按预算安排支出，压缩非必要的机构运行经费、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2、有效运用绩效评价结果，逐步增加预算资金，缓解资金不足与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退役军人事务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发展需求的矛盾。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、其他需要说明的情况</w:t>
      </w:r>
      <w:r>
        <w:rPr>
          <w:rFonts w:hint="eastAsia" w:eastAsia="黑体" w:cs="Times New Roman"/>
          <w:sz w:val="32"/>
          <w:szCs w:val="32"/>
          <w:lang w:eastAsia="zh-CN"/>
        </w:rPr>
        <w:t>：无。</w:t>
      </w: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C230A"/>
    <w:multiLevelType w:val="singleLevel"/>
    <w:tmpl w:val="FB2C23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428B13CA"/>
    <w:rsid w:val="428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rPr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2023-12-13T02:47:00Z</dcterms:created>
  <dc:creator>戴</dc:creator>
  <cp:lastModifiedBy>戴</cp:lastModifiedBy>
  <dcterms:modified xsi:type="dcterms:W3CDTF">2023-12-13T02:48:03Z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90146D1EEA9E4FF3BBB80EB26200DD60_11</vt:lpwstr>
  </property>
</Properties>
</file>