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after="120" w:afterLines="50"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年度部门整体支出绩效评价基础数据表</w:t>
      </w:r>
    </w:p>
    <w:tbl>
      <w:tblPr>
        <w:tblStyle w:val="7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8"/>
        <w:gridCol w:w="1956"/>
        <w:gridCol w:w="2437"/>
        <w:gridCol w:w="16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财政供养人员情况（人）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编制数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202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年实际在职人数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经费控制情况（万元）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2021年决算数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202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年预算数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202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一、基本支出：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新宋体"/>
                <w:lang w:val="en-US" w:eastAsia="zh-CN"/>
              </w:rPr>
              <w:t>2677.67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3039.71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新宋体"/>
                <w:lang w:val="en-US" w:eastAsia="zh-CN"/>
              </w:rPr>
              <w:t>3039.71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其中：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三公经费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2.94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公务用车购置和维护经费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其中：公车购置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公车运行维护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出国经费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公务接待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2.94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二、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项目支出：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县级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专项资金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（一个专项一行）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.XX项目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3.XX项目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厉行节约保障措施</w:t>
            </w:r>
          </w:p>
        </w:tc>
        <w:tc>
          <w:tcPr>
            <w:tcW w:w="326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科学化精细化管理，明确责任，多措并举，加强监督检查</w:t>
            </w:r>
          </w:p>
        </w:tc>
      </w:tr>
    </w:tbl>
    <w:p>
      <w:pPr>
        <w:widowControl/>
        <w:spacing w:afterLines="0" w:line="400" w:lineRule="exact"/>
        <w:jc w:val="left"/>
        <w:rPr>
          <w:rFonts w:hint="eastAsia" w:ascii="新宋体" w:hAnsi="新宋体" w:eastAsia="新宋体" w:cs="新宋体"/>
          <w:sz w:val="21"/>
          <w:szCs w:val="21"/>
          <w:lang w:eastAsia="zh-CN"/>
        </w:rPr>
      </w:pPr>
      <w:r>
        <w:rPr>
          <w:rFonts w:hint="eastAsia" w:ascii="新宋体" w:hAnsi="新宋体" w:eastAsia="新宋体" w:cs="新宋体"/>
          <w:sz w:val="21"/>
          <w:szCs w:val="21"/>
        </w:rPr>
        <w:t>说明：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以上数据均来源于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部门决算报表，其中</w:t>
      </w:r>
      <w:r>
        <w:rPr>
          <w:rFonts w:hint="eastAsia" w:ascii="新宋体" w:hAnsi="新宋体" w:eastAsia="新宋体" w:cs="新宋体"/>
          <w:sz w:val="21"/>
          <w:szCs w:val="21"/>
        </w:rPr>
        <w:t>“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基本支出</w:t>
      </w:r>
      <w:r>
        <w:rPr>
          <w:rFonts w:hint="eastAsia" w:ascii="新宋体" w:hAnsi="新宋体" w:eastAsia="新宋体" w:cs="新宋体"/>
          <w:sz w:val="21"/>
          <w:szCs w:val="21"/>
        </w:rPr>
        <w:t>”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数据参照基本支出决算明细表（财决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05-1表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）；“三公经费”数据参照机构运行信息表（财决附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03表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）；</w:t>
      </w:r>
      <w:r>
        <w:rPr>
          <w:rFonts w:hint="eastAsia" w:ascii="新宋体" w:hAnsi="新宋体" w:eastAsia="新宋体" w:cs="新宋体"/>
          <w:sz w:val="21"/>
          <w:szCs w:val="21"/>
        </w:rPr>
        <w:t>“项目支出”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数据参照项目支出决算明细表（财决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05-2表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）。</w:t>
      </w:r>
    </w:p>
    <w:p>
      <w:pPr>
        <w:widowControl/>
        <w:spacing w:after="0" w:afterLines="0" w:line="400" w:lineRule="exact"/>
        <w:jc w:val="left"/>
        <w:rPr>
          <w:rFonts w:hint="default" w:ascii="Times New Roman" w:hAnsi="Times New Roman" w:eastAsia="仿宋_GB2312" w:cs="Times New Roman"/>
          <w:sz w:val="22"/>
        </w:rPr>
      </w:pPr>
    </w:p>
    <w:p>
      <w:pPr>
        <w:rPr>
          <w:rFonts w:hint="eastAsia" w:eastAsia="仿宋_GB2312"/>
          <w:lang w:eastAsia="zh-CN"/>
        </w:rPr>
      </w:pPr>
      <w:r>
        <w:rPr>
          <w:rFonts w:hint="default" w:ascii="Times New Roman" w:hAnsi="Times New Roman" w:eastAsia="仿宋_GB2312" w:cs="Times New Roman"/>
          <w:sz w:val="22"/>
        </w:rPr>
        <w:t>填表人：</w:t>
      </w:r>
      <w:r>
        <w:rPr>
          <w:rFonts w:hint="eastAsia" w:eastAsia="仿宋_GB2312" w:cs="Times New Roman"/>
          <w:sz w:val="22"/>
          <w:lang w:eastAsia="zh-CN"/>
        </w:rPr>
        <w:t>涂福荣</w:t>
      </w:r>
      <w:r>
        <w:rPr>
          <w:rFonts w:hint="default" w:ascii="Times New Roman" w:hAnsi="Times New Roman" w:eastAsia="仿宋_GB2312" w:cs="Times New Roman"/>
          <w:sz w:val="22"/>
        </w:rPr>
        <w:t xml:space="preserve">  填报日期：</w:t>
      </w:r>
      <w:r>
        <w:rPr>
          <w:rFonts w:hint="eastAsia" w:eastAsia="仿宋_GB2312" w:cs="Times New Roman"/>
          <w:sz w:val="22"/>
          <w:lang w:val="en-US" w:eastAsia="zh-CN"/>
        </w:rPr>
        <w:t>2023.7.10</w:t>
      </w:r>
      <w:r>
        <w:rPr>
          <w:rFonts w:hint="default" w:ascii="Times New Roman" w:hAnsi="Times New Roman" w:eastAsia="仿宋_GB2312" w:cs="Times New Roman"/>
          <w:sz w:val="22"/>
        </w:rPr>
        <w:t xml:space="preserve">  联系电话：</w:t>
      </w:r>
      <w:r>
        <w:rPr>
          <w:rFonts w:hint="eastAsia" w:eastAsia="仿宋_GB2312" w:cs="Times New Roman"/>
          <w:sz w:val="22"/>
          <w:lang w:val="en-US" w:eastAsia="zh-CN"/>
        </w:rPr>
        <w:t>13786040377</w:t>
      </w:r>
      <w:r>
        <w:rPr>
          <w:rFonts w:hint="default" w:ascii="Times New Roman" w:hAnsi="Times New Roman" w:eastAsia="仿宋_GB2312" w:cs="Times New Roman"/>
          <w:sz w:val="22"/>
        </w:rPr>
        <w:t xml:space="preserve">  单位负责人签字：</w:t>
      </w:r>
      <w:r>
        <w:rPr>
          <w:rFonts w:hint="eastAsia" w:eastAsia="仿宋_GB2312" w:cs="Times New Roman"/>
          <w:sz w:val="22"/>
          <w:lang w:eastAsia="zh-CN"/>
        </w:rPr>
        <w:t>林森</w:t>
      </w:r>
    </w:p>
    <w:p/>
    <w:p>
      <w:pPr>
        <w:pStyle w:val="2"/>
      </w:pPr>
    </w:p>
    <w:p/>
    <w:p>
      <w:pPr>
        <w:widowControl/>
        <w:spacing w:after="0" w:afterLines="0" w:line="40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年度部门整体支出绩效自评表</w:t>
      </w:r>
    </w:p>
    <w:tbl>
      <w:tblPr>
        <w:tblStyle w:val="7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861"/>
        <w:gridCol w:w="869"/>
        <w:gridCol w:w="1055"/>
        <w:gridCol w:w="1114"/>
        <w:gridCol w:w="1161"/>
        <w:gridCol w:w="585"/>
        <w:gridCol w:w="1023"/>
        <w:gridCol w:w="1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级预算部门名称</w:t>
            </w:r>
          </w:p>
        </w:tc>
        <w:tc>
          <w:tcPr>
            <w:tcW w:w="443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华容县操军镇人民政府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561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预算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93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预算数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预算数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执行数</w:t>
            </w:r>
          </w:p>
        </w:tc>
        <w:tc>
          <w:tcPr>
            <w:tcW w:w="3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分值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执行率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1" w:type="pct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93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年度资金总额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  <w:t>878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  <w:t>3039.71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3039.71</w:t>
            </w:r>
          </w:p>
        </w:tc>
        <w:tc>
          <w:tcPr>
            <w:tcW w:w="3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10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10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按收入性质分：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3039.71</w:t>
            </w:r>
          </w:p>
        </w:tc>
        <w:tc>
          <w:tcPr>
            <w:tcW w:w="2338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按支出性质分：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3039.71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10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其中：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一般公共预算：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  <w:t>2926.19</w:t>
            </w:r>
          </w:p>
        </w:tc>
        <w:tc>
          <w:tcPr>
            <w:tcW w:w="2338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其中：基本支出：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1100.14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10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630" w:firstLineChars="30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政府性基金拨款：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113.52</w:t>
            </w:r>
          </w:p>
        </w:tc>
        <w:tc>
          <w:tcPr>
            <w:tcW w:w="2338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630" w:firstLineChars="30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项目支出：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1939.57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10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纳入专户管理的非税收入拨款：</w:t>
            </w:r>
          </w:p>
        </w:tc>
        <w:tc>
          <w:tcPr>
            <w:tcW w:w="2338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1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10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1260" w:firstLineChars="60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其他资金：</w:t>
            </w:r>
          </w:p>
        </w:tc>
        <w:tc>
          <w:tcPr>
            <w:tcW w:w="2338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总体目标</w:t>
            </w:r>
          </w:p>
        </w:tc>
        <w:tc>
          <w:tcPr>
            <w:tcW w:w="21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预期目标</w:t>
            </w:r>
          </w:p>
        </w:tc>
        <w:tc>
          <w:tcPr>
            <w:tcW w:w="233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21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目标1：抓好招商引资，加快乡镇发展，促进乡镇经济增长；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目标2：聚力乡村振兴，促进群众生活生产条件全面改善；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目标3：抓好居民医疗保险工作，使群众老有所医；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目标4：抓好安全生产，对重大安全事故零容忍；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目标5：做好社会救助工作，保障群众利益，使群众满意度达9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%以上。</w:t>
            </w:r>
          </w:p>
        </w:tc>
        <w:tc>
          <w:tcPr>
            <w:tcW w:w="233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（一）坚持党建统揽，基层组织建设全面加强。一是换届选举圆满顺利。二是党史学习教育走深走实。三是重点工作落实落细。四是人才培养多措并举。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（二）坚持统筹兼顾，乡村振兴全面推进。一是产业发展新突破。二是</w:t>
            </w: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基础设施新完善。三是生态环境新面貌。四是民生事业新发展。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（三）坚持底线思维，社会大局持续向好。一是抓实信访维稳。二是抓严安全生产。三是抓好治陋习树新风。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按以上三点已完成目标任务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标</w:t>
            </w: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三级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指标值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完成值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(50分)</w:t>
            </w:r>
          </w:p>
        </w:tc>
        <w:tc>
          <w:tcPr>
            <w:tcW w:w="4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基层党建工作覆盖率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=100%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农村人居环境治理覆盖村（居）个数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13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个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210" w:firstLineChars="10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210" w:firstLineChars="10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农产品检测样品个数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5000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个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5000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both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招商引资争资金额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≥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5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00万元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300万元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210" w:firstLineChars="10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党建工作考核合格率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项目验收合格率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救助发放精准率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重大安全事故发生率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%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%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资金到位率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成本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支出合理合规率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标</w:t>
            </w: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三级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指标值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完成值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（30分）</w:t>
            </w:r>
          </w:p>
        </w:tc>
        <w:tc>
          <w:tcPr>
            <w:tcW w:w="4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益指标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农民人均收入同比增长率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≥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5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%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5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%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村社区综合服务群众能力水平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有效提升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有效提升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4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益指标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重大集访越级上访事件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零发生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零发生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4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  <w:t>优化创建平安和谐新农村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有效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有效</w:t>
            </w:r>
          </w:p>
        </w:tc>
        <w:tc>
          <w:tcPr>
            <w:tcW w:w="3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4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益指标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农村人居环境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明显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改善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明显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改善</w:t>
            </w:r>
          </w:p>
        </w:tc>
        <w:tc>
          <w:tcPr>
            <w:tcW w:w="3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210" w:firstLineChars="10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4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可持续影响指标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稳步改善基础设施、确保社会经济稳定、健康发展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持续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持续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（10分）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服务对象满意度指标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社会公众或服务对象满意度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≥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95%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328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总分</w:t>
            </w:r>
          </w:p>
        </w:tc>
        <w:tc>
          <w:tcPr>
            <w:tcW w:w="3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97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</w:tbl>
    <w:p>
      <w:pPr>
        <w:rPr>
          <w:rFonts w:hint="eastAsia" w:eastAsia="仿宋_GB2312" w:cs="Times New Roman"/>
          <w:sz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2"/>
        </w:rPr>
        <w:t>说明：</w:t>
      </w:r>
      <w:r>
        <w:rPr>
          <w:rFonts w:hint="eastAsia" w:eastAsia="仿宋_GB2312" w:cs="Times New Roman"/>
          <w:sz w:val="22"/>
          <w:lang w:eastAsia="zh-CN"/>
        </w:rPr>
        <w:t>以上数据参照</w:t>
      </w:r>
      <w:r>
        <w:rPr>
          <w:rFonts w:hint="eastAsia" w:eastAsia="仿宋_GB2312" w:cs="Times New Roman"/>
          <w:sz w:val="22"/>
          <w:lang w:val="en-US" w:eastAsia="zh-CN"/>
        </w:rPr>
        <w:t>2022年部门决算报表中的“收入支出决算总表”(财决01表)。</w:t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eastAsia" w:eastAsia="仿宋_GB2312"/>
          <w:lang w:eastAsia="zh-CN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填表人：</w:t>
      </w:r>
      <w:r>
        <w:rPr>
          <w:rFonts w:hint="eastAsia" w:eastAsia="仿宋_GB2312" w:cs="Times New Roman"/>
          <w:sz w:val="22"/>
          <w:szCs w:val="22"/>
          <w:lang w:eastAsia="zh-CN"/>
        </w:rPr>
        <w:t>涂福荣</w:t>
      </w:r>
      <w:r>
        <w:rPr>
          <w:rFonts w:hint="eastAsia" w:eastAsia="仿宋_GB2312" w:cs="Times New Roman"/>
          <w:sz w:val="22"/>
          <w:szCs w:val="2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2"/>
          <w:szCs w:val="22"/>
        </w:rPr>
        <w:t>填报日期：</w:t>
      </w:r>
      <w:r>
        <w:rPr>
          <w:rFonts w:hint="eastAsia" w:eastAsia="仿宋_GB2312" w:cs="Times New Roman"/>
          <w:sz w:val="22"/>
          <w:szCs w:val="22"/>
          <w:lang w:val="en-US" w:eastAsia="zh-CN"/>
        </w:rPr>
        <w:t>2023.7.10</w:t>
      </w: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   联系电话：</w:t>
      </w:r>
      <w:r>
        <w:rPr>
          <w:rFonts w:hint="eastAsia" w:eastAsia="仿宋_GB2312" w:cs="Times New Roman"/>
          <w:sz w:val="22"/>
          <w:szCs w:val="22"/>
          <w:lang w:val="en-US" w:eastAsia="zh-CN"/>
        </w:rPr>
        <w:t>13786040377</w:t>
      </w: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   单位负责人签字：</w:t>
      </w:r>
      <w:r>
        <w:rPr>
          <w:rFonts w:hint="eastAsia" w:eastAsia="仿宋_GB2312" w:cs="Times New Roman"/>
          <w:sz w:val="22"/>
          <w:szCs w:val="22"/>
          <w:lang w:eastAsia="zh-CN"/>
        </w:rPr>
        <w:t>林森</w:t>
      </w:r>
    </w:p>
    <w:p>
      <w:pPr>
        <w:pStyle w:val="2"/>
      </w:pPr>
    </w:p>
    <w:p/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方正小标宋_GBK" w:cs="Times New Roman"/>
          <w:sz w:val="52"/>
          <w:szCs w:val="5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年度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华容县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操军镇人民政府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整体支出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绩效自评报告</w:t>
      </w:r>
    </w:p>
    <w:p>
      <w:pPr>
        <w:jc w:val="center"/>
        <w:rPr>
          <w:rFonts w:hint="default" w:ascii="Times New Roman" w:hAnsi="Times New Roman" w:eastAsia="方正小标宋_GBK" w:cs="Times New Roman"/>
          <w:b/>
          <w:sz w:val="52"/>
          <w:szCs w:val="5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部门（单位）名称：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（盖章）</w:t>
      </w:r>
    </w:p>
    <w:p>
      <w:pPr>
        <w:spacing w:line="60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eastAsia" w:eastAsia="楷体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楷体_GB2312" w:cs="Times New Roman"/>
          <w:sz w:val="32"/>
          <w:szCs w:val="32"/>
        </w:rPr>
        <w:t xml:space="preserve">年 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楷体_GB2312" w:cs="Times New Roman"/>
          <w:sz w:val="32"/>
          <w:szCs w:val="32"/>
        </w:rPr>
        <w:t xml:space="preserve"> 月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楷体_GB2312" w:cs="Times New Roman"/>
          <w:sz w:val="32"/>
          <w:szCs w:val="32"/>
        </w:rPr>
        <w:t xml:space="preserve">  日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1906" w:h="16838"/>
          <w:pgMar w:top="1701" w:right="141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（此页为封面）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年度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华容县操军镇人民政府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整体支出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绩效自评报告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贯彻落实《中共中央国务院关于全面实施预算绩效管理的意见》精神和省财政厅“绩效管理提升年”行动方案，根据华容县财政局《关于开展2022年度财政支出绩效自评工作的通知》（华财函〔2023〕63号），华容县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操军镇人民政府</w:t>
      </w:r>
      <w:r>
        <w:rPr>
          <w:rFonts w:hint="eastAsia" w:ascii="宋体" w:hAnsi="宋体" w:eastAsia="宋体" w:cs="宋体"/>
          <w:sz w:val="28"/>
          <w:szCs w:val="28"/>
        </w:rPr>
        <w:t>2022年度部门整体支出开展绩效自评，现将情况汇报如下：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部门（单位）基本情况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（一）部门（单位）基本情况</w:t>
      </w:r>
    </w:p>
    <w:p>
      <w:pPr>
        <w:pStyle w:val="9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620" w:lineRule="exact"/>
        <w:ind w:firstLine="560" w:firstLineChars="200"/>
        <w:jc w:val="both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单位为财政全额预算拨款单位，核定人员编制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90</w:t>
      </w:r>
      <w:r>
        <w:rPr>
          <w:rFonts w:hint="eastAsia" w:ascii="宋体" w:hAnsi="宋体" w:eastAsia="宋体" w:cs="宋体"/>
          <w:bCs/>
          <w:sz w:val="28"/>
          <w:szCs w:val="28"/>
        </w:rPr>
        <w:t>人，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(其中：行政编制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38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名；事业全额编制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名;事业差额编制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fldChar w:fldCharType="begin">
          <w:fldData xml:space="preserve">NgA5ADEAMQBGADUANwBEADgARgA0ADUANAAwADgARABCADMAOABGADUAQgBEADkAQQBBADgAQwBD
ADQAMQBCAA==
</w:fldData>
        </w:fldChar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instrText xml:space="preserve">Addin 差额</w:instrTex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shd w:val="clear" w:color="FFFFFF" w:fill="FFFFFF"/>
          <w:lang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名；自收自支编制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fldChar w:fldCharType="begin">
          <w:fldData xml:space="preserve">QgBCADkAMABDAEUARgA4ADAAMwA1ADkANAA4ADgAQwBBADIAMQAyADkAOQBBAEUAOAA2ADgANQA1
ADQAMgBCAA==
</w:fldData>
        </w:fldChar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instrText xml:space="preserve">Addin 自收自支</w:instrTex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shd w:val="clear" w:color="FFFFFF" w:fill="FFFFFF"/>
          <w:lang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名；工勤编制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fldChar w:fldCharType="begin">
          <w:fldData xml:space="preserve">RgA4AEQAMAA3ADMARAA4AEMARAAwADAANABDADAANAA5AEQARQBGADMAOAA2ADYARQA3ADgANgBD
ADMAMwAzAA==
</w:fldData>
        </w:fldChar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instrText xml:space="preserve">Addin 工勤编制</w:instrTex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shd w:val="clear" w:color="FFFFFF" w:fill="FFFFFF"/>
          <w:lang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名)；</w:t>
      </w:r>
      <w:r>
        <w:rPr>
          <w:rFonts w:hint="eastAsia" w:ascii="宋体" w:hAnsi="宋体" w:eastAsia="宋体" w:cs="宋体"/>
          <w:bCs/>
          <w:sz w:val="28"/>
          <w:szCs w:val="28"/>
        </w:rPr>
        <w:t>实有人数为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82</w:t>
      </w:r>
      <w:r>
        <w:rPr>
          <w:rFonts w:hint="eastAsia" w:ascii="宋体" w:hAnsi="宋体" w:eastAsia="宋体" w:cs="宋体"/>
          <w:bCs/>
          <w:sz w:val="28"/>
          <w:szCs w:val="28"/>
        </w:rPr>
        <w:t>人。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（其中：全额人员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人；差额人员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fldChar w:fldCharType="begin">
          <w:fldData xml:space="preserve">MQBDADUANAAzADcAMgAzADYARQBFADAANAAyAEQAOAA5AEMANQAwAEQAOABBADAAOAA4ADMANgBB
ADcAQQBEAA==
</w:fldData>
        </w:fldChar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instrText xml:space="preserve">Addin 差额编制人员</w:instrTex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shd w:val="clear" w:color="FFFFFF" w:fill="FFFFFF"/>
          <w:lang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人）。</w:t>
      </w:r>
    </w:p>
    <w:p>
      <w:pPr>
        <w:spacing w:line="560" w:lineRule="exact"/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1、职责职能：</w:t>
      </w:r>
    </w:p>
    <w:p>
      <w:pPr>
        <w:spacing w:line="560" w:lineRule="exact"/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人民政府：全民贯彻落实党和国家在农村的各项方针政策和法律法规，加强基层组织建设，完善党对农村工作的领导，紧紧围绕促进经济发展、增加农民收入，强化公共服务、着力改善民生，加强社会管理、维护农村稳定，推进基层民主、促进农村和谐四个方面履职。</w:t>
      </w:r>
    </w:p>
    <w:p>
      <w:pPr>
        <w:spacing w:line="560" w:lineRule="exact"/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财政所：负责贯彻执行有关财政、预算、财务、会计等方面的法律法规和政策；编制本镇财政预决算、管理和监督全镇各项财政收支，资金调度和拨款；指导全镇的会计工作，加强对农村财务工作的指导和监督；加强对国家专项资金的监督、将惠民政策落到实处；完成上级财政和乡镇安排的其他工作。</w:t>
      </w:r>
    </w:p>
    <w:p>
      <w:pPr>
        <w:spacing w:line="560" w:lineRule="exact"/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镇农业综合服务中心：负责种植业、养殖业、林业、水产业、农业机械新技术的引进、试验示范、培训推广、技术服务和农业林业病虫害预测预报及防治指导工作；负责国家强制免疫的动物疫病免疫接种以及相关工作；负责农产品质量安全检测监督服务工作；承办农村经济统计、农民专业合作组织管理等工作。</w:t>
      </w:r>
    </w:p>
    <w:p>
      <w:pPr>
        <w:spacing w:line="560" w:lineRule="exact"/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镇社会事业综合服务中心：协助社会事务办公室的工作，具体承办科技、教育体育、文化旅游广电、卫生健康与计划生育、人力资源和社会保障、民政、社区建设、医疗保障、住房和城乡建设、村镇规划、村镇建设、住房保障、交通运输、生态环境保护、残疾人事业、慈善等方面的公益服务性、技术性工作。</w:t>
      </w:r>
    </w:p>
    <w:p>
      <w:pPr>
        <w:spacing w:line="560" w:lineRule="exact"/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镇退役军人服务站：负责退役军人就业创业、优抚帮扶、权益保障、数据信息采集、走访慰问等事务性工作。</w:t>
      </w:r>
    </w:p>
    <w:p>
      <w:pPr>
        <w:spacing w:line="560" w:lineRule="exact"/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镇综合行政执法大队：负责本辖区内综合行政执法工作；依法依规相对集中行使乡村集镇管理、住房建设、自然资源、生态环境保护、市场监管、交通运输、应急管理、安全生产、农业农村、文化旅游等方面的行政执法权；负责执法信息报送；配合县级执法部门开展联合执法、专业执法，负责日常巡查、综合检查、接受投诉举报、协助调查取证等工作。</w:t>
      </w:r>
    </w:p>
    <w:p>
      <w:pPr>
        <w:spacing w:line="560" w:lineRule="exact"/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镇</w:t>
      </w:r>
      <w:r>
        <w:rPr>
          <w:rFonts w:hint="eastAsia" w:ascii="宋体" w:hAnsi="宋体" w:eastAsia="宋体" w:cs="宋体"/>
          <w:bCs/>
          <w:sz w:val="28"/>
          <w:szCs w:val="28"/>
        </w:rPr>
        <w:t>水利管理服务站：负责宣传防汛、水土保持、水资源等法律法规的宣传；负责农田水利规划、堤防建设与管理及防汛救灾工作；辖区内农村供水工程的规划、质量监督和安全运营；乡镇党委政府及其他业务部门安排的其他事项。</w:t>
      </w:r>
    </w:p>
    <w:p>
      <w:pPr>
        <w:numPr>
          <w:ilvl w:val="0"/>
          <w:numId w:val="2"/>
        </w:numPr>
        <w:spacing w:line="560" w:lineRule="exact"/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机构设置：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单位内设6个科室：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党政办公室(行政审批办公室)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党建办公室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经济发展办公室（农业农村工作办公室）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社会事务办公室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自然资源和生态环境办公室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社会治安和应急管理办公室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FFFFF"/>
          <w:lang w:val="en-US" w:eastAsia="zh-CN" w:bidi="ar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下设5个事业单位：社会事务业综合服务中心、农业综合服务中心、</w:t>
      </w: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综合行政执法大队</w:t>
      </w: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退役军人服务站、</w:t>
      </w: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水利管理服务站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，其他机构有纪委、监察、人武部、财政所、工会、团委、妇联。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560"/>
        <w:jc w:val="lef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（二）部门（单位）整体支出规模</w:t>
      </w:r>
    </w:p>
    <w:p>
      <w:pPr>
        <w:spacing w:line="560" w:lineRule="exact"/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1、收入情况：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2022年</w:t>
      </w:r>
      <w:r>
        <w:rPr>
          <w:rFonts w:hint="eastAsia" w:ascii="宋体" w:hAnsi="宋体" w:eastAsia="宋体" w:cs="宋体"/>
          <w:bCs/>
          <w:sz w:val="28"/>
          <w:szCs w:val="28"/>
        </w:rPr>
        <w:t>收入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3039.71</w:t>
      </w:r>
      <w:r>
        <w:rPr>
          <w:rFonts w:hint="eastAsia" w:ascii="宋体" w:hAnsi="宋体" w:eastAsia="宋体" w:cs="宋体"/>
          <w:bCs/>
          <w:sz w:val="28"/>
          <w:szCs w:val="28"/>
        </w:rPr>
        <w:t>万元，其中：财政拨款收入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3039.71</w:t>
      </w:r>
      <w:r>
        <w:rPr>
          <w:rFonts w:hint="eastAsia" w:ascii="宋体" w:hAnsi="宋体" w:eastAsia="宋体" w:cs="宋体"/>
          <w:bCs/>
          <w:sz w:val="28"/>
          <w:szCs w:val="28"/>
        </w:rPr>
        <w:t>万元。</w:t>
      </w:r>
    </w:p>
    <w:p>
      <w:pPr>
        <w:spacing w:line="560" w:lineRule="exact"/>
        <w:ind w:firstLine="56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2、支出情况: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2022年</w:t>
      </w:r>
      <w:r>
        <w:rPr>
          <w:rFonts w:hint="eastAsia" w:ascii="宋体" w:hAnsi="宋体" w:eastAsia="宋体" w:cs="宋体"/>
          <w:bCs/>
          <w:sz w:val="28"/>
          <w:szCs w:val="28"/>
        </w:rPr>
        <w:t>支出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3039.71</w:t>
      </w:r>
      <w:r>
        <w:rPr>
          <w:rFonts w:hint="eastAsia" w:ascii="宋体" w:hAnsi="宋体" w:eastAsia="宋体" w:cs="宋体"/>
          <w:bCs/>
          <w:sz w:val="28"/>
          <w:szCs w:val="28"/>
        </w:rPr>
        <w:t>万元，其中：基本支出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1100.14</w:t>
      </w:r>
      <w:r>
        <w:rPr>
          <w:rFonts w:hint="eastAsia" w:ascii="宋体" w:hAnsi="宋体" w:eastAsia="宋体" w:cs="宋体"/>
          <w:bCs/>
          <w:sz w:val="28"/>
          <w:szCs w:val="28"/>
        </w:rPr>
        <w:t>万元（人员支出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928.56</w:t>
      </w:r>
      <w:r>
        <w:rPr>
          <w:rFonts w:hint="eastAsia" w:ascii="宋体" w:hAnsi="宋体" w:eastAsia="宋体" w:cs="宋体"/>
          <w:bCs/>
          <w:sz w:val="28"/>
          <w:szCs w:val="28"/>
        </w:rPr>
        <w:t>万元，公用支出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171.58</w:t>
      </w:r>
      <w:r>
        <w:rPr>
          <w:rFonts w:hint="eastAsia" w:ascii="宋体" w:hAnsi="宋体" w:eastAsia="宋体" w:cs="宋体"/>
          <w:bCs/>
          <w:sz w:val="28"/>
          <w:szCs w:val="28"/>
        </w:rPr>
        <w:t>万元）；项目支出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1939.57</w:t>
      </w:r>
      <w:r>
        <w:rPr>
          <w:rFonts w:hint="eastAsia" w:ascii="宋体" w:hAnsi="宋体" w:eastAsia="宋体" w:cs="宋体"/>
          <w:bCs/>
          <w:sz w:val="28"/>
          <w:szCs w:val="28"/>
        </w:rPr>
        <w:t>万元。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基本支出情况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2022年本部门基本支出预算数</w:t>
      </w: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3039.71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万元，实际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支出数</w:t>
      </w: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3039.71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万元，主要是为保障部门正常运转、完成日常工作任务而发生的各项支出，包括用于工资福利支出等人员经费以及办公费、印刷费、水电费、办公设备购置等公用经费。明细如下：人员经费支出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895.78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万元，其中基本工资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272.86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万元，津贴补贴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165.08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万元，奖金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44.72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万元，绩效工资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209.58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万元，机关事业单位基本养老保险缴费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93.18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万元，职业年金缴费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万元，职工基本医疗保险缴费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47.77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万元，其他社会保障缴费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3.89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万元，住房公积金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58.7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万元，其他工资福利支出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对个人和家庭的补助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774.26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；资本性支出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1194.59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万元。公用经费支出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175.08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万元，其中</w:t>
      </w:r>
      <w:r>
        <w:rPr>
          <w:rFonts w:hint="eastAsia" w:ascii="宋体" w:hAnsi="宋体" w:eastAsia="宋体" w:cs="宋体"/>
          <w:bCs/>
          <w:sz w:val="28"/>
          <w:szCs w:val="28"/>
        </w:rPr>
        <w:t>“三公经费”预算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8"/>
          <w:szCs w:val="28"/>
        </w:rPr>
        <w:t>万元，实际开支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0.89</w:t>
      </w:r>
      <w:r>
        <w:rPr>
          <w:rFonts w:hint="eastAsia" w:ascii="宋体" w:hAnsi="宋体" w:eastAsia="宋体" w:cs="宋体"/>
          <w:bCs/>
          <w:sz w:val="28"/>
          <w:szCs w:val="28"/>
        </w:rPr>
        <w:t>万元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，比上年减少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2.05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万元。</w:t>
      </w:r>
    </w:p>
    <w:p>
      <w:pPr>
        <w:spacing w:line="560" w:lineRule="exact"/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按照例行节约，物尽其用的原则，资产管理采取统一建账，统一核算管理，对每件固定资产使用明确保管职责，闲置的资产，由办公室统一调整，合理流动，发挥其效益；至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2022</w:t>
      </w:r>
      <w:r>
        <w:rPr>
          <w:rFonts w:hint="eastAsia" w:ascii="宋体" w:hAnsi="宋体" w:eastAsia="宋体" w:cs="宋体"/>
          <w:bCs/>
          <w:sz w:val="28"/>
          <w:szCs w:val="28"/>
        </w:rPr>
        <w:t>年末固定资产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144.67</w:t>
      </w:r>
      <w:r>
        <w:rPr>
          <w:rFonts w:hint="eastAsia" w:ascii="宋体" w:hAnsi="宋体" w:eastAsia="宋体" w:cs="宋体"/>
          <w:bCs/>
          <w:sz w:val="28"/>
          <w:szCs w:val="28"/>
        </w:rPr>
        <w:t>万元。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项目支出情况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840" w:firstLineChars="300"/>
        <w:jc w:val="left"/>
        <w:textAlignment w:val="center"/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2022年无项目支出。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部门整体支出绩效情况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560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目标一：保障政府各项工作的正常运行。2022年我镇全年每月按时发放了工资、津贴补贴等，缴纳了住房公积金和基本养老保险、医保金等社会保险缴费,及时支付了机关各单位履行职能所需求的办公费、印刷费、水电费、邮电费、维修维护费、差旅费等日常开支,坚决执行上级工资津贴政策，执行率达到100%，在职人员的满意度达到100%。目标二：加快推进粮食生产，全面推进乡村振兴。2022年全年抓好粮食生产，扩大双季稻生产，集中整治耕地抛荒，加快农户厕所改造，粮食生产任务全年完成率达到100%，农民增收、农业增效、农村发展，就业率增加，粮食补贴发放人民群众满意度达到98%。目标三：不断完善民生事业，增进民生福祉。2022年全镇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较好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完成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各项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交通基础设施及水利建设项目，新农村合作医疗和新农保工作覆盖面达到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90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%以上，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及时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救助特困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低保、残疾人，使得困难群众能够得到及时救助，人民群众满意度达到9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%以上。目标四：持续深化平安乡镇建设，营造良好社会环境。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2022年全镇综合治理网格化管理，扫黑除恶、禁毒禁赌反电诈，信访维稳，定时巡逻制度，吸毒人员管控到位，全镇干部每年一次毛发检测完成，信访值班制确立，信访案件及时交办，按时受理办结，争创“三无”乡镇，全年工作任务完成率达98%，信访事项及时受理率100%，人民群众满意度达到95%以上。</w:t>
      </w:r>
    </w:p>
    <w:p>
      <w:pPr>
        <w:spacing w:line="56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根据年初工作规划和重点工作，围绕县委、县政府的工作部署，积极履行职责，强化管理，较好地完成了年度工作目标，同时加强预算收支的管理，建立健全内部管理制度，严格内部管理流程，部门整体支出管理得到了提升。通过对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2022</w:t>
      </w:r>
      <w:r>
        <w:rPr>
          <w:rFonts w:hint="eastAsia" w:ascii="宋体" w:hAnsi="宋体" w:eastAsia="宋体" w:cs="宋体"/>
          <w:bCs/>
          <w:sz w:val="28"/>
          <w:szCs w:val="28"/>
        </w:rPr>
        <w:t>年预算配置、预算管理、资产管理、职责履行、履职效益等内容的绩效考评，提高财政资金的使用效率，保障了机构的正常运转。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2022</w:t>
      </w:r>
      <w:r>
        <w:rPr>
          <w:rFonts w:hint="eastAsia" w:ascii="宋体" w:hAnsi="宋体" w:eastAsia="宋体" w:cs="宋体"/>
          <w:bCs/>
          <w:sz w:val="28"/>
          <w:szCs w:val="28"/>
        </w:rPr>
        <w:t>年部门整体支出绩效评价为优。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存在的问题及原因分析</w:t>
      </w:r>
    </w:p>
    <w:p>
      <w:pPr>
        <w:spacing w:line="560" w:lineRule="exact"/>
        <w:ind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一是存在预算执行前期支出进度较小，后期预算执行进度略显滞后支出压力大，部分项目年度内受不确定因素未完成执行进度。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二是有些目标设定不够合理，指标设定不科学，部分项目效果指标缺乏相对应的数量、质量资料，以致难以衡量项目效果，影响客观评价。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下一步改进措施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30" w:lineRule="atLeast"/>
        <w:ind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针对上述问题，在今后的预算绩效管理中进一步提高预算编制水平，</w:t>
      </w:r>
      <w:r>
        <w:rPr>
          <w:rFonts w:hint="eastAsia" w:ascii="宋体" w:hAnsi="宋体" w:eastAsia="宋体" w:cs="宋体"/>
          <w:bCs/>
          <w:sz w:val="28"/>
          <w:szCs w:val="28"/>
        </w:rPr>
        <w:t>按照预算规定的项目和用途严格财务审核，经费支出严格按预算规定项目的财务支出内容进行财务核算，在预算金额内严格控制费用的支出，先有预算，再有支出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做到应细尽细，对项目执行进度做更详细的预估，科学编制预算，更好的完成预算执行进度。加强各方面的调查研究，制定更为合理的绩效目标，</w:t>
      </w:r>
      <w:r>
        <w:rPr>
          <w:rFonts w:hint="eastAsia" w:ascii="宋体" w:hAnsi="宋体" w:eastAsia="宋体" w:cs="宋体"/>
          <w:bCs/>
          <w:sz w:val="28"/>
          <w:szCs w:val="28"/>
        </w:rPr>
        <w:t>预算财务分析常态化，定期做好预算支出财务分析，做好部门整体支出预算评价工作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以期能更科学的分配工作任务及重点支出，出色的完成预期目标。</w:t>
      </w:r>
    </w:p>
    <w:p>
      <w:pPr>
        <w:pStyle w:val="3"/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-220" w:leftChars="0" w:firstLine="640" w:firstLineChars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其他需要说明的情况</w:t>
      </w:r>
    </w:p>
    <w:p>
      <w:pPr>
        <w:pStyle w:val="3"/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  <w:sectPr>
          <w:pgSz w:w="11906" w:h="16838"/>
          <w:pgMar w:top="1984" w:right="1701" w:bottom="1984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无</w:t>
      </w: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pStyle w:val="3"/>
        <w:rPr>
          <w:rFonts w:hint="eastAsia" w:eastAsia="宋体"/>
          <w:lang w:val="en-US" w:eastAsia="zh-CN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BE7AAD"/>
    <w:multiLevelType w:val="singleLevel"/>
    <w:tmpl w:val="91BE7AAD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7A773C80"/>
    <w:multiLevelType w:val="singleLevel"/>
    <w:tmpl w:val="7A773C8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YzNhZmEwYTQ2NGJlMzE2M2I3Y2FhNzMzYWE1ODEifQ=="/>
  </w:docVars>
  <w:rsids>
    <w:rsidRoot w:val="0AD44BFC"/>
    <w:rsid w:val="0AD44BFC"/>
    <w:rsid w:val="128E59BC"/>
    <w:rsid w:val="7F27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[Normal]"/>
    <w:qFormat/>
    <w:uiPriority w:val="0"/>
    <w:rPr>
      <w:rFonts w:ascii="宋体" w:hAnsi="宋体" w:eastAsia="宋体" w:cs="Times New Roman"/>
      <w:sz w:val="24"/>
      <w:lang w:val="zh-CN" w:eastAsia="zh-CN" w:bidi="ar-SA"/>
    </w:rPr>
  </w:style>
  <w:style w:type="paragraph" w:styleId="10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4189</Words>
  <Characters>4617</Characters>
  <Lines>0</Lines>
  <Paragraphs>0</Paragraphs>
  <TotalTime>8</TotalTime>
  <ScaleCrop>false</ScaleCrop>
  <LinksUpToDate>false</LinksUpToDate>
  <CharactersWithSpaces>4678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2023-07-14T01:26:00Z</dcterms:created>
  <dc:creator>Administrator</dc:creator>
  <cp:lastModifiedBy>Administrator</cp:lastModifiedBy>
  <dcterms:modified xsi:type="dcterms:W3CDTF">2023-07-14T01:49:58Z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D8468A114B3D4EC8BF30B8C45F794525_11</vt:lpwstr>
  </property>
</Properties>
</file>