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10"/>
        <w:tblW w:w="4998" w:type="pct"/>
        <w:jc w:val="center"/>
        <w:tblLayout w:type="autofit"/>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23</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23</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306.46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292.52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368.01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1.75</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32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1.75</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108.22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845.67</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845.67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2021-2022年中型灌区续建配套与节水改造项目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760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760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val="en-US" w:eastAsia="zh-CN"/>
        </w:rPr>
        <w:t>:石小芳</w:t>
      </w:r>
      <w:r>
        <w:rPr>
          <w:rFonts w:hint="default" w:ascii="Times New Roman" w:hAnsi="Times New Roman" w:eastAsia="仿宋_GB2312" w:cs="Times New Roman"/>
          <w:sz w:val="22"/>
        </w:rPr>
        <w:t xml:space="preserve"> 填报日期： </w:t>
      </w:r>
      <w:r>
        <w:rPr>
          <w:rFonts w:hint="eastAsia" w:eastAsia="仿宋_GB2312" w:cs="Times New Roman"/>
          <w:sz w:val="22"/>
          <w:lang w:val="en-US" w:eastAsia="zh-CN"/>
        </w:rPr>
        <w:t>2023.07.06</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13974075336</w:t>
      </w:r>
      <w:r>
        <w:rPr>
          <w:rFonts w:hint="default" w:ascii="Times New Roman" w:hAnsi="Times New Roman" w:eastAsia="仿宋_GB2312" w:cs="Times New Roman"/>
          <w:sz w:val="22"/>
        </w:rPr>
        <w:t xml:space="preserve"> 单位负责人签字</w:t>
      </w:r>
      <w:r>
        <w:rPr>
          <w:rFonts w:hint="eastAsia" w:eastAsia="仿宋_GB2312" w:cs="Times New Roman"/>
          <w:sz w:val="22"/>
          <w:lang w:val="en-US" w:eastAsia="zh-CN"/>
        </w:rPr>
        <w:t>：汪志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10"/>
        <w:tblW w:w="4999" w:type="pct"/>
        <w:jc w:val="center"/>
        <w:tblLayout w:type="autofit"/>
        <w:tblCellMar>
          <w:top w:w="0" w:type="dxa"/>
          <w:left w:w="108" w:type="dxa"/>
          <w:bottom w:w="0" w:type="dxa"/>
          <w:right w:w="108" w:type="dxa"/>
        </w:tblCellMar>
      </w:tblPr>
      <w:tblGrid>
        <w:gridCol w:w="1099"/>
        <w:gridCol w:w="881"/>
        <w:gridCol w:w="867"/>
        <w:gridCol w:w="1057"/>
        <w:gridCol w:w="1103"/>
        <w:gridCol w:w="1072"/>
        <w:gridCol w:w="589"/>
        <w:gridCol w:w="1024"/>
        <w:gridCol w:w="1594"/>
      </w:tblGrid>
      <w:tr>
        <w:tblPrEx>
          <w:tblCellMar>
            <w:top w:w="0" w:type="dxa"/>
            <w:left w:w="108" w:type="dxa"/>
            <w:bottom w:w="0" w:type="dxa"/>
            <w:right w:w="108" w:type="dxa"/>
          </w:tblCellMar>
        </w:tblPrEx>
        <w:trPr>
          <w:trHeight w:val="1003" w:hRule="atLeast"/>
          <w:jc w:val="center"/>
        </w:trPr>
        <w:tc>
          <w:tcPr>
            <w:tcW w:w="5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0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华容县华一水库管理所</w:t>
            </w:r>
          </w:p>
        </w:tc>
      </w:tr>
      <w:tr>
        <w:tblPrEx>
          <w:tblCellMar>
            <w:top w:w="0" w:type="dxa"/>
            <w:left w:w="108" w:type="dxa"/>
            <w:bottom w:w="0" w:type="dxa"/>
            <w:right w:w="108" w:type="dxa"/>
          </w:tblCellMar>
        </w:tblPrEx>
        <w:trPr>
          <w:trHeight w:val="863" w:hRule="atLeast"/>
          <w:jc w:val="center"/>
        </w:trPr>
        <w:tc>
          <w:tcPr>
            <w:tcW w:w="59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41"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9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41"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292.52</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1213.68</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1213.68</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93.8%</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1213.68</w:t>
            </w:r>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1213.68</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339.01</w:t>
            </w:r>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368.01</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845.67</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874.67</w:t>
            </w:r>
            <w:bookmarkStart w:id="1" w:name="_GoBack"/>
            <w:bookmarkEnd w:id="1"/>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9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0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02"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9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04" w:type="pct"/>
            <w:gridSpan w:val="4"/>
            <w:tcBorders>
              <w:top w:val="single" w:color="auto" w:sz="4" w:space="0"/>
              <w:left w:val="nil"/>
              <w:bottom w:val="single" w:color="auto" w:sz="4" w:space="0"/>
              <w:right w:val="single" w:color="000000"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val="en-US" w:eastAsia="zh-CN"/>
              </w:rPr>
              <w:t>1,确</w:t>
            </w:r>
            <w:r>
              <w:rPr>
                <w:rFonts w:hint="eastAsia" w:ascii="仿宋" w:hAnsi="仿宋" w:eastAsia="仿宋" w:cs="仿宋"/>
                <w:color w:val="000000"/>
                <w:sz w:val="28"/>
                <w:szCs w:val="28"/>
                <w:lang w:eastAsia="zh-CN"/>
              </w:rPr>
              <w:t>保一座中性水库及六座小（二）型水库防洪保安。</w:t>
            </w:r>
          </w:p>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2</w:t>
            </w:r>
            <w:r>
              <w:rPr>
                <w:rFonts w:hint="eastAsia" w:ascii="仿宋" w:hAnsi="仿宋" w:eastAsia="仿宋" w:cs="仿宋"/>
                <w:color w:val="000000"/>
                <w:sz w:val="28"/>
                <w:szCs w:val="28"/>
                <w:lang w:val="en-US" w:eastAsia="zh-CN"/>
              </w:rPr>
              <w:t>,</w:t>
            </w:r>
            <w:r>
              <w:rPr>
                <w:rFonts w:hint="eastAsia" w:ascii="仿宋" w:hAnsi="仿宋" w:eastAsia="仿宋" w:cs="仿宋"/>
                <w:color w:val="000000"/>
                <w:sz w:val="28"/>
                <w:szCs w:val="28"/>
                <w:lang w:eastAsia="zh-CN"/>
              </w:rPr>
              <w:t>确保华一灌区</w:t>
            </w:r>
            <w:r>
              <w:rPr>
                <w:rFonts w:hint="eastAsia" w:ascii="仿宋" w:hAnsi="仿宋" w:eastAsia="仿宋" w:cs="仿宋"/>
                <w:color w:val="000000"/>
                <w:sz w:val="28"/>
                <w:szCs w:val="28"/>
                <w:lang w:val="en-US" w:eastAsia="zh-CN"/>
              </w:rPr>
              <w:t>2.5万亩农田的灌溉保收。</w:t>
            </w:r>
          </w:p>
          <w:p>
            <w:pPr>
              <w:keepNext w:val="0"/>
              <w:keepLines w:val="0"/>
              <w:numPr>
                <w:ilvl w:val="0"/>
                <w:numId w:val="0"/>
              </w:numPr>
              <w:suppressLineNumbers w:val="0"/>
              <w:autoSpaceDN w:val="0"/>
              <w:spacing w:before="0" w:beforeAutospacing="0" w:after="0" w:afterAutospacing="0" w:line="320" w:lineRule="exact"/>
              <w:ind w:left="0" w:right="0"/>
              <w:jc w:val="left"/>
              <w:textAlignment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3,华一水库日常保洁，防溺水等常规化工作。</w:t>
            </w:r>
          </w:p>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sz w:val="24"/>
              </w:rPr>
            </w:pPr>
            <w:r>
              <w:rPr>
                <w:rFonts w:hint="eastAsia" w:ascii="仿宋" w:hAnsi="仿宋" w:eastAsia="仿宋" w:cs="仿宋"/>
                <w:color w:val="000000"/>
                <w:sz w:val="28"/>
                <w:szCs w:val="28"/>
                <w:lang w:val="en-US" w:eastAsia="zh-CN"/>
              </w:rPr>
              <w:t>4，确保了三封工业园及石伏山工业园两大园区及兴华啤酒厂的工业用水。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2302"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确保水库安全度汛。</w:t>
            </w:r>
          </w:p>
          <w:p>
            <w:pPr>
              <w:pStyle w:val="8"/>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确保农田灌溉保收。</w:t>
            </w:r>
          </w:p>
          <w:p>
            <w:pPr>
              <w:pStyle w:val="8"/>
              <w:keepNext w:val="0"/>
              <w:keepLines w:val="0"/>
              <w:suppressLineNumbers w:val="0"/>
              <w:spacing w:before="0" w:beforeAutospacing="0" w:after="0" w:afterAutospacing="0"/>
              <w:ind w:left="0" w:right="0"/>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定时完成水库日常保洁及防溺水等工作。</w:t>
            </w:r>
          </w:p>
          <w:p>
            <w:pPr>
              <w:pStyle w:val="8"/>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8"/>
              <w:keepNext w:val="0"/>
              <w:keepLines w:val="0"/>
              <w:suppressLineNumbers w:val="0"/>
              <w:spacing w:before="0" w:beforeAutospacing="0" w:after="0" w:afterAutospacing="0"/>
              <w:ind w:left="0" w:right="0"/>
              <w:rPr>
                <w:rFonts w:hint="eastAsia"/>
                <w:lang w:val="en-US" w:eastAsia="zh-CN"/>
              </w:rPr>
            </w:pPr>
          </w:p>
          <w:p>
            <w:pPr>
              <w:pStyle w:val="8"/>
              <w:keepNext w:val="0"/>
              <w:keepLines w:val="0"/>
              <w:suppressLineNumbers w:val="0"/>
              <w:spacing w:before="0" w:beforeAutospacing="0" w:after="0" w:afterAutospacing="0"/>
              <w:ind w:left="0" w:right="0"/>
              <w:rPr>
                <w:rFonts w:hint="default"/>
                <w:lang w:val="en-US" w:eastAsia="zh-CN"/>
              </w:rPr>
            </w:pPr>
            <w:r>
              <w:rPr>
                <w:rFonts w:hint="eastAsia"/>
                <w:sz w:val="24"/>
                <w:szCs w:val="24"/>
                <w:lang w:val="en-US" w:eastAsia="zh-CN"/>
              </w:rPr>
              <w:t>确保两大园区及啤酒厂的工业用水。</w:t>
            </w:r>
          </w:p>
        </w:tc>
      </w:tr>
      <w:tr>
        <w:tblPrEx>
          <w:tblCellMar>
            <w:top w:w="0" w:type="dxa"/>
            <w:left w:w="108" w:type="dxa"/>
            <w:bottom w:w="0" w:type="dxa"/>
            <w:right w:w="108" w:type="dxa"/>
          </w:tblCellMar>
        </w:tblPrEx>
        <w:trPr>
          <w:trHeight w:val="850" w:hRule="atLeast"/>
          <w:jc w:val="center"/>
        </w:trPr>
        <w:tc>
          <w:tcPr>
            <w:tcW w:w="59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确保一座中型水库及六座小二型水库安全度汛</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15</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灌区节水改造水资源的利用率</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15</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按时完成</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99%</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预算控制数</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9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eastAsia="zh-CN"/>
              </w:rPr>
              <w:t>农民农田增产</w:t>
            </w:r>
            <w:r>
              <w:rPr>
                <w:rFonts w:hint="eastAsia" w:ascii="新宋体" w:hAnsi="新宋体" w:eastAsia="新宋体" w:cs="新宋体"/>
                <w:color w:val="000000"/>
                <w:sz w:val="21"/>
                <w:szCs w:val="21"/>
                <w:lang w:val="en-US" w:eastAsia="zh-CN"/>
              </w:rPr>
              <w:t>10%</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8</w:t>
            </w: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提高水利服务能力，保证农业增产增收</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8</w:t>
            </w: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改善水库水质，优化水库环境</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水库管理可持续影响良好程度</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6"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服务对象满意度</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6"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00" w:hRule="atLeast"/>
          <w:jc w:val="center"/>
        </w:trPr>
        <w:tc>
          <w:tcPr>
            <w:tcW w:w="59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6"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72"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8"/>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石小芳</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2023.07.10</w:t>
      </w:r>
      <w:r>
        <w:rPr>
          <w:rFonts w:hint="default" w:ascii="Times New Roman" w:hAnsi="Times New Roman" w:eastAsia="仿宋_GB2312" w:cs="Times New Roman"/>
          <w:sz w:val="22"/>
          <w:szCs w:val="22"/>
        </w:rPr>
        <w:t xml:space="preserve">   联系电话： </w:t>
      </w:r>
      <w:r>
        <w:rPr>
          <w:rFonts w:hint="eastAsia" w:eastAsia="仿宋_GB2312" w:cs="Times New Roman"/>
          <w:sz w:val="22"/>
          <w:szCs w:val="22"/>
          <w:lang w:val="en-US" w:eastAsia="zh-CN"/>
        </w:rPr>
        <w:t>13974075336</w:t>
      </w:r>
      <w:r>
        <w:rPr>
          <w:rFonts w:hint="default" w:ascii="Times New Roman" w:hAnsi="Times New Roman" w:eastAsia="仿宋_GB2312" w:cs="Times New Roman"/>
          <w:sz w:val="22"/>
          <w:szCs w:val="22"/>
        </w:rPr>
        <w:t xml:space="preserve">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eastAsia" w:eastAsia="仿宋_GB2312" w:cs="Times New Roman"/>
          <w:sz w:val="22"/>
          <w:szCs w:val="22"/>
          <w:lang w:eastAsia="zh-CN"/>
        </w:rPr>
        <w:t>汪志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华容县华一水库管理所</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eastAsia="zh-CN"/>
        </w:rPr>
        <w:t>华容县华一水库管理所</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07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10</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华容县华一水库管理所</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eastAsia" w:eastAsia="黑体" w:cs="Times New Roman"/>
          <w:sz w:val="32"/>
          <w:szCs w:val="32"/>
          <w:lang w:val="en-US" w:eastAsia="zh-CN"/>
        </w:rPr>
      </w:pPr>
      <w:r>
        <w:rPr>
          <w:rFonts w:hint="default" w:ascii="Times New Roman" w:hAnsi="Times New Roman" w:eastAsia="黑体" w:cs="Times New Roman"/>
          <w:sz w:val="32"/>
          <w:szCs w:val="32"/>
        </w:rPr>
        <w:t>部门（单位）基本情况</w:t>
      </w:r>
      <w:r>
        <w:rPr>
          <w:rFonts w:hint="eastAsia" w:eastAsia="黑体" w:cs="Times New Roman"/>
          <w:sz w:val="32"/>
          <w:szCs w:val="32"/>
          <w:lang w:val="en-US" w:eastAsia="zh-CN"/>
        </w:rPr>
        <w:t xml:space="preserve"> </w:t>
      </w:r>
    </w:p>
    <w:p>
      <w:pPr>
        <w:pStyle w:val="8"/>
        <w:numPr>
          <w:ilvl w:val="0"/>
          <w:numId w:val="0"/>
        </w:numPr>
        <w:rPr>
          <w:rFonts w:hint="default"/>
          <w:sz w:val="32"/>
          <w:szCs w:val="32"/>
          <w:lang w:val="en-US" w:eastAsia="zh-CN"/>
        </w:rPr>
      </w:pPr>
      <w:r>
        <w:rPr>
          <w:rFonts w:hint="eastAsia"/>
          <w:sz w:val="32"/>
          <w:szCs w:val="32"/>
          <w:lang w:val="en-US" w:eastAsia="zh-CN"/>
        </w:rPr>
        <w:t xml:space="preserve">        </w:t>
      </w:r>
      <w:r>
        <w:rPr>
          <w:rFonts w:hint="eastAsia" w:ascii="仿宋" w:hAnsi="仿宋" w:eastAsia="仿宋" w:cs="仿宋"/>
          <w:bCs/>
          <w:sz w:val="32"/>
          <w:szCs w:val="32"/>
          <w:lang w:val="en-US" w:eastAsia="zh-CN"/>
        </w:rPr>
        <w:t>华一水库属全额拨款事业单位，编制数23人，实有人数23人，隶属县水利局。</w:t>
      </w:r>
    </w:p>
    <w:p>
      <w:pPr>
        <w:pStyle w:val="16"/>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spacing w:line="560" w:lineRule="exact"/>
        <w:ind w:firstLine="960" w:firstLineChars="300"/>
        <w:rPr>
          <w:rFonts w:hint="default" w:ascii="Times New Roman" w:hAnsi="Times New Roman" w:eastAsia="黑体" w:cs="Times New Roman"/>
          <w:kern w:val="2"/>
          <w:sz w:val="32"/>
          <w:szCs w:val="32"/>
          <w:lang w:val="en-US" w:eastAsia="zh-CN" w:bidi="ar-SA"/>
        </w:rPr>
      </w:pPr>
      <w:r>
        <w:rPr>
          <w:rFonts w:hint="eastAsia" w:ascii="仿宋" w:hAnsi="仿宋" w:eastAsia="仿宋" w:cs="仿宋"/>
          <w:bCs/>
          <w:sz w:val="32"/>
          <w:szCs w:val="32"/>
          <w:lang w:eastAsia="zh-CN"/>
        </w:rPr>
        <w:t>华一水库</w:t>
      </w:r>
      <w:r>
        <w:rPr>
          <w:rFonts w:hint="eastAsia" w:ascii="仿宋" w:hAnsi="仿宋" w:eastAsia="仿宋" w:cs="仿宋"/>
          <w:bCs/>
          <w:sz w:val="32"/>
          <w:szCs w:val="32"/>
          <w:lang w:val="en-US" w:eastAsia="zh-CN"/>
        </w:rPr>
        <w:t>2022年度基本支出为：368.01万元.</w:t>
      </w:r>
    </w:p>
    <w:p>
      <w:pPr>
        <w:pStyle w:val="16"/>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numPr>
          <w:ilvl w:val="0"/>
          <w:numId w:val="0"/>
        </w:numPr>
        <w:spacing w:line="560" w:lineRule="exact"/>
        <w:ind w:leftChars="200"/>
        <w:rPr>
          <w:rFonts w:hint="default" w:ascii="Times New Roman" w:hAnsi="Times New Roman" w:eastAsia="黑体" w:cs="Times New Roman"/>
          <w:kern w:val="2"/>
          <w:sz w:val="32"/>
          <w:szCs w:val="32"/>
          <w:lang w:val="en-US" w:eastAsia="zh-CN" w:bidi="ar-SA"/>
        </w:rPr>
      </w:pPr>
      <w:r>
        <w:rPr>
          <w:rFonts w:hint="eastAsia" w:ascii="仿宋" w:hAnsi="仿宋" w:eastAsia="仿宋" w:cs="仿宋"/>
          <w:bCs/>
          <w:sz w:val="32"/>
          <w:szCs w:val="32"/>
          <w:lang w:val="en-US" w:eastAsia="zh-CN"/>
        </w:rPr>
        <w:t xml:space="preserve"> 华一水库2022年度项目支出为845.67万元。其中2021年-2022年度（华一水库灌区）中型灌区续建配套与节水改造工程760万元。</w:t>
      </w:r>
    </w:p>
    <w:p>
      <w:pPr>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部门整体支出绩效情况</w:t>
      </w:r>
    </w:p>
    <w:p>
      <w:pPr>
        <w:pStyle w:val="8"/>
        <w:widowControl w:val="0"/>
        <w:numPr>
          <w:ilvl w:val="0"/>
          <w:numId w:val="0"/>
        </w:numPr>
        <w:snapToGrid w:val="0"/>
        <w:jc w:val="left"/>
        <w:rPr>
          <w:rFonts w:hint="default"/>
        </w:rPr>
      </w:pPr>
    </w:p>
    <w:p>
      <w:pPr>
        <w:spacing w:line="560" w:lineRule="exact"/>
        <w:ind w:firstLine="900" w:firstLineChars="300"/>
        <w:jc w:val="left"/>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1，保证了2022年度七座水库安全度汛。</w:t>
      </w:r>
    </w:p>
    <w:p>
      <w:pPr>
        <w:numPr>
          <w:ilvl w:val="0"/>
          <w:numId w:val="0"/>
        </w:numPr>
        <w:autoSpaceDN w:val="0"/>
        <w:spacing w:line="320" w:lineRule="exact"/>
        <w:ind w:firstLine="900" w:firstLineChars="300"/>
        <w:jc w:val="left"/>
        <w:textAlignment w:val="center"/>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2，保障了两大园区及啤酒厂工业用水。</w:t>
      </w:r>
    </w:p>
    <w:p>
      <w:pPr>
        <w:pStyle w:val="2"/>
        <w:rPr>
          <w:rFonts w:hint="default" w:ascii="Times New Roman" w:hAnsi="Times New Roman" w:eastAsia="仿宋_GB2312" w:cs="Times New Roman"/>
          <w:color w:val="000000"/>
          <w:sz w:val="30"/>
          <w:szCs w:val="30"/>
        </w:rPr>
      </w:pPr>
      <w:r>
        <w:rPr>
          <w:rFonts w:hint="eastAsia" w:ascii="仿宋" w:hAnsi="仿宋" w:eastAsia="仿宋" w:cs="仿宋"/>
          <w:color w:val="000000"/>
          <w:sz w:val="30"/>
          <w:szCs w:val="30"/>
          <w:lang w:val="en-US" w:eastAsia="zh-CN"/>
        </w:rPr>
        <w:t>3，华一水库灌区水利设施的维修与养护。</w:t>
      </w:r>
    </w:p>
    <w:p>
      <w:pPr>
        <w:pStyle w:val="16"/>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numPr>
          <w:ilvl w:val="0"/>
          <w:numId w:val="0"/>
        </w:numPr>
        <w:spacing w:line="560" w:lineRule="exact"/>
        <w:ind w:firstLine="900" w:firstLineChars="300"/>
        <w:rPr>
          <w:rFonts w:hint="eastAsia" w:ascii="黑体" w:hAnsi="黑体" w:eastAsia="黑体" w:cs="黑体"/>
          <w:bCs/>
          <w:sz w:val="30"/>
          <w:szCs w:val="30"/>
          <w:lang w:eastAsia="zh-CN"/>
        </w:rPr>
      </w:pPr>
      <w:r>
        <w:rPr>
          <w:rFonts w:hint="eastAsia" w:ascii="仿宋" w:hAnsi="仿宋" w:eastAsia="仿宋" w:cs="仿宋"/>
          <w:bCs/>
          <w:sz w:val="30"/>
          <w:szCs w:val="30"/>
          <w:lang w:val="en-US" w:eastAsia="zh-CN"/>
        </w:rPr>
        <w:t>对绩效评价认识不足，对整体支出绩效评价业务有不熟悉的地方。预算执行进度和效率有待加强，绩效目标管理和调整有待提升。</w:t>
      </w:r>
    </w:p>
    <w:p>
      <w:pPr>
        <w:numPr>
          <w:ilvl w:val="0"/>
          <w:numId w:val="0"/>
        </w:numPr>
        <w:spacing w:line="560" w:lineRule="exact"/>
        <w:ind w:firstLine="960" w:firstLineChars="300"/>
        <w:rPr>
          <w:rFonts w:hint="eastAsia" w:ascii="仿宋" w:hAnsi="仿宋" w:eastAsia="仿宋" w:cs="仿宋"/>
          <w:bCs/>
          <w:sz w:val="28"/>
          <w:szCs w:val="28"/>
          <w:lang w:val="en-US" w:eastAsia="zh-CN"/>
        </w:rPr>
      </w:pPr>
      <w:r>
        <w:rPr>
          <w:rFonts w:hint="eastAsia" w:eastAsia="黑体" w:cs="Times New Roman"/>
          <w:sz w:val="32"/>
          <w:szCs w:val="32"/>
          <w:lang w:eastAsia="zh-CN"/>
        </w:rPr>
        <w:t>六</w:t>
      </w:r>
      <w:r>
        <w:rPr>
          <w:rFonts w:hint="eastAsia" w:eastAsia="黑体" w:cs="Times New Roman"/>
          <w:sz w:val="32"/>
          <w:szCs w:val="32"/>
          <w:lang w:val="en-US" w:eastAsia="zh-CN"/>
        </w:rPr>
        <w:t>.</w:t>
      </w:r>
      <w:r>
        <w:rPr>
          <w:rFonts w:hint="default" w:ascii="Times New Roman" w:hAnsi="Times New Roman" w:eastAsia="黑体" w:cs="Times New Roman"/>
          <w:sz w:val="32"/>
          <w:szCs w:val="32"/>
        </w:rPr>
        <w:t>下一步改进措施</w:t>
      </w:r>
    </w:p>
    <w:p>
      <w:pPr>
        <w:pStyle w:val="8"/>
        <w:rPr>
          <w:rFonts w:hint="eastAsia"/>
          <w:lang w:val="en-US" w:eastAsia="zh-CN"/>
        </w:rPr>
      </w:pPr>
    </w:p>
    <w:p>
      <w:pPr>
        <w:numPr>
          <w:ilvl w:val="0"/>
          <w:numId w:val="2"/>
        </w:numPr>
        <w:spacing w:line="560" w:lineRule="exact"/>
        <w:ind w:leftChars="200"/>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切实加快预算执行进度，提升资金使用效率。</w:t>
      </w:r>
    </w:p>
    <w:p>
      <w:pPr>
        <w:numPr>
          <w:ilvl w:val="0"/>
          <w:numId w:val="2"/>
        </w:numPr>
        <w:spacing w:line="560" w:lineRule="exact"/>
        <w:ind w:leftChars="200"/>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 xml:space="preserve"> 密切关注目标任务开展情况，确保实际工作切合绩效目标。</w:t>
      </w:r>
    </w:p>
    <w:p>
      <w:pPr>
        <w:numPr>
          <w:ilvl w:val="0"/>
          <w:numId w:val="0"/>
        </w:numPr>
        <w:spacing w:line="560" w:lineRule="exact"/>
        <w:ind w:firstLine="300" w:firstLineChars="100"/>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t>3，严格遵守各项财经纪律，不断提高业务服务能力，确保预算指标执行过程不交叉，不断提高绩效目标管理水平。</w:t>
      </w:r>
    </w:p>
    <w:p>
      <w:pPr>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jc w:val="both"/>
        <w:textAlignment w:val="auto"/>
        <w:rPr>
          <w:rFonts w:hint="default" w:ascii="Times New Roman" w:hAnsi="Times New Roman" w:eastAsia="黑体" w:cs="Times New Roman"/>
          <w:sz w:val="32"/>
          <w:szCs w:val="32"/>
        </w:rPr>
      </w:pPr>
    </w:p>
    <w:p>
      <w:pPr>
        <w:pStyle w:val="8"/>
        <w:widowControl w:val="0"/>
        <w:numPr>
          <w:ilvl w:val="0"/>
          <w:numId w:val="0"/>
        </w:numPr>
        <w:snapToGrid w:val="0"/>
        <w:jc w:val="left"/>
        <w:rPr>
          <w:rFonts w:hint="default"/>
        </w:rPr>
      </w:pPr>
    </w:p>
    <w:p>
      <w:pPr>
        <w:rPr>
          <w:rFonts w:hint="default"/>
        </w:rPr>
      </w:pPr>
    </w:p>
    <w:p>
      <w:pPr>
        <w:pStyle w:val="8"/>
        <w:rPr>
          <w:rFonts w:hint="default"/>
        </w:rPr>
      </w:pPr>
    </w:p>
    <w:p>
      <w:pPr>
        <w:rPr>
          <w:rFonts w:hint="default"/>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10"/>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宋体" w:hAnsi="宋体" w:eastAsia="宋体" w:cs="宋体"/>
                <w:kern w:val="0"/>
                <w:sz w:val="24"/>
                <w:lang w:val="en-US" w:eastAsia="zh-CN"/>
              </w:rPr>
            </w:pPr>
            <w:r>
              <w:rPr>
                <w:rFonts w:hint="eastAsia" w:ascii="宋体" w:hAnsi="宋体" w:cs="宋体"/>
                <w:kern w:val="0"/>
                <w:sz w:val="24"/>
                <w:lang w:val="en-US" w:eastAsia="zh-CN"/>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90</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8"/>
        <w:rPr>
          <w:rFonts w:hint="default"/>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10"/>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华容县</w:t>
            </w:r>
            <w:r>
              <w:rPr>
                <w:rFonts w:hint="eastAsia" w:eastAsia="仿宋_GB2312" w:cs="Times New Roman"/>
                <w:color w:val="000000"/>
                <w:sz w:val="20"/>
                <w:szCs w:val="20"/>
                <w:lang w:val="en-US" w:eastAsia="zh-CN"/>
              </w:rPr>
              <w:t>2021年-2022年度中型灌区（华一水库灌区）续建配套与节水改造工程</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坚持国家法律法规，以服务人民为宗旨，保证两大工业园的工业用水及农民农田旱涝保收。</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已完成施工金额</w:t>
            </w:r>
            <w:r>
              <w:rPr>
                <w:rFonts w:hint="eastAsia" w:eastAsia="仿宋_GB2312" w:cs="Times New Roman"/>
                <w:color w:val="000000"/>
                <w:sz w:val="20"/>
                <w:szCs w:val="20"/>
                <w:lang w:val="en-US" w:eastAsia="zh-CN"/>
              </w:rPr>
              <w:t>760万元。</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东干渠</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3450米</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3450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支渠清淤工程</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1761米</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1761</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机埠工程</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4座</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4座</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服务质量合格率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完成时间</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年底</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已完成施工金额</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成本</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农民农田粮食增产</w:t>
            </w:r>
            <w:r>
              <w:rPr>
                <w:rFonts w:hint="eastAsia" w:eastAsia="仿宋_GB2312" w:cs="Times New Roman"/>
                <w:color w:val="000000"/>
                <w:sz w:val="20"/>
                <w:szCs w:val="20"/>
                <w:lang w:val="en-US" w:eastAsia="zh-CN"/>
              </w:rPr>
              <w:t>10%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改善水库水质，优化环境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550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550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项目对于社会持续效果良好程度</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项目预期服务对象对项目实施的满意程度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水库周边群众满</w:t>
            </w:r>
            <w:r>
              <w:rPr>
                <w:rFonts w:hint="eastAsia" w:eastAsia="仿宋_GB2312" w:cs="Times New Roman"/>
                <w:color w:val="000000"/>
                <w:sz w:val="20"/>
                <w:szCs w:val="20"/>
                <w:lang w:val="en-US" w:eastAsia="zh-CN"/>
              </w:rPr>
              <w:t>度90%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8"/>
        <w:rPr>
          <w:rFonts w:hint="eastAsia"/>
        </w:rPr>
      </w:pPr>
    </w:p>
    <w:p>
      <w:pPr>
        <w:rPr>
          <w:rFonts w:hint="eastAsia"/>
        </w:rPr>
      </w:pPr>
    </w:p>
    <w:p>
      <w:pPr>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石小芳</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2023.07.10</w:t>
      </w:r>
      <w:r>
        <w:rPr>
          <w:rFonts w:hint="eastAsia" w:ascii="新宋体" w:hAnsi="新宋体" w:eastAsia="新宋体" w:cs="新宋体"/>
          <w:sz w:val="21"/>
          <w:szCs w:val="21"/>
        </w:rPr>
        <w:t xml:space="preserve"> 联系电话：</w:t>
      </w:r>
      <w:r>
        <w:rPr>
          <w:rFonts w:hint="eastAsia" w:ascii="新宋体" w:hAnsi="新宋体" w:eastAsia="新宋体" w:cs="新宋体"/>
          <w:sz w:val="21"/>
          <w:szCs w:val="21"/>
          <w:lang w:val="en-US" w:eastAsia="zh-CN"/>
        </w:rPr>
        <w:t>13974075336</w:t>
      </w:r>
      <w:r>
        <w:rPr>
          <w:rFonts w:hint="eastAsia" w:ascii="新宋体" w:hAnsi="新宋体" w:eastAsia="新宋体" w:cs="新宋体"/>
          <w:sz w:val="21"/>
          <w:szCs w:val="21"/>
        </w:rPr>
        <w:t xml:space="preserve"> 单位负责人签字：</w:t>
      </w:r>
      <w:r>
        <w:rPr>
          <w:rFonts w:hint="eastAsia" w:ascii="新宋体" w:hAnsi="新宋体" w:eastAsia="新宋体" w:cs="新宋体"/>
          <w:sz w:val="21"/>
          <w:szCs w:val="21"/>
          <w:lang w:eastAsia="zh-CN"/>
        </w:rPr>
        <w:t>汪志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华容县2021-2022年中型灌区（</w:t>
      </w:r>
      <w:r>
        <w:rPr>
          <w:rFonts w:hint="eastAsia" w:ascii="方正小标宋简体" w:hAnsi="方正小标宋简体" w:eastAsia="方正小标宋简体" w:cs="方正小标宋简体"/>
          <w:sz w:val="44"/>
          <w:szCs w:val="44"/>
          <w:lang w:eastAsia="zh-CN"/>
        </w:rPr>
        <w:t>华一水库灌区）续建配套与节水改造</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lang w:eastAsia="zh-CN"/>
        </w:rPr>
        <w:t>华容县华一水库管理所</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07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10</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华一水库灌区续建配套与节水改造项目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w:t>
      </w:r>
    </w:p>
    <w:p>
      <w:pPr>
        <w:pStyle w:val="2"/>
        <w:rPr>
          <w:rFonts w:hint="eastAsia" w:eastAsia="仿宋_GB2312"/>
          <w:sz w:val="30"/>
          <w:szCs w:val="30"/>
          <w:lang w:val="en-US" w:eastAsia="zh-CN"/>
        </w:rPr>
      </w:pPr>
      <w:r>
        <w:rPr>
          <w:rFonts w:hint="eastAsia" w:eastAsia="仿宋_GB2312"/>
          <w:sz w:val="30"/>
          <w:szCs w:val="30"/>
          <w:lang w:eastAsia="zh-CN"/>
        </w:rPr>
        <w:t>项目名称：华容县</w:t>
      </w:r>
      <w:r>
        <w:rPr>
          <w:rFonts w:hint="eastAsia" w:eastAsia="仿宋_GB2312"/>
          <w:sz w:val="30"/>
          <w:szCs w:val="30"/>
          <w:lang w:val="en-US" w:eastAsia="zh-CN"/>
        </w:rPr>
        <w:t>2021-2022年度中型灌区续建配套与节水改造工程。</w:t>
      </w:r>
    </w:p>
    <w:p>
      <w:pPr>
        <w:pStyle w:val="2"/>
        <w:rPr>
          <w:rFonts w:hint="eastAsia" w:ascii="宋体" w:hAnsi="宋体" w:eastAsia="宋体" w:cs="宋体"/>
          <w:sz w:val="30"/>
          <w:szCs w:val="30"/>
          <w:lang w:val="en-US" w:eastAsia="zh-CN"/>
        </w:rPr>
      </w:pPr>
      <w:r>
        <w:rPr>
          <w:rFonts w:hint="eastAsia" w:eastAsia="仿宋_GB2312"/>
          <w:sz w:val="30"/>
          <w:szCs w:val="30"/>
          <w:lang w:val="en-US" w:eastAsia="zh-CN"/>
        </w:rPr>
        <w:t>建设地点：华一水库灌区</w:t>
      </w:r>
    </w:p>
    <w:p>
      <w:pPr>
        <w:pStyle w:val="2"/>
        <w:rPr>
          <w:rFonts w:hint="eastAsia" w:eastAsia="仿宋_GB2312"/>
          <w:sz w:val="30"/>
          <w:szCs w:val="30"/>
          <w:lang w:val="en-US" w:eastAsia="zh-CN"/>
        </w:rPr>
      </w:pPr>
      <w:r>
        <w:rPr>
          <w:rFonts w:hint="eastAsia" w:eastAsia="仿宋_GB2312"/>
          <w:sz w:val="30"/>
          <w:szCs w:val="30"/>
          <w:lang w:val="en-US" w:eastAsia="zh-CN"/>
        </w:rPr>
        <w:t>计划开工：570日历天，其中设计30日历天，施工540日历天。实际开工日期：2021年12月16日，完工日期：2022年12月20日。</w:t>
      </w:r>
    </w:p>
    <w:p>
      <w:pPr>
        <w:pStyle w:val="2"/>
        <w:rPr>
          <w:rFonts w:hint="eastAsia" w:eastAsia="仿宋_GB2312"/>
          <w:sz w:val="30"/>
          <w:szCs w:val="30"/>
          <w:lang w:val="en-US" w:eastAsia="zh-CN"/>
        </w:rPr>
      </w:pPr>
      <w:r>
        <w:rPr>
          <w:rFonts w:hint="eastAsia" w:eastAsia="仿宋_GB2312"/>
          <w:sz w:val="30"/>
          <w:szCs w:val="30"/>
          <w:lang w:val="en-US" w:eastAsia="zh-CN"/>
        </w:rPr>
        <w:t>工程建设内容</w:t>
      </w:r>
    </w:p>
    <w:p>
      <w:pPr>
        <w:pStyle w:val="2"/>
        <w:numPr>
          <w:ilvl w:val="0"/>
          <w:numId w:val="3"/>
        </w:numPr>
        <w:rPr>
          <w:rFonts w:hint="eastAsia" w:eastAsia="仿宋_GB2312"/>
          <w:sz w:val="30"/>
          <w:szCs w:val="30"/>
          <w:lang w:val="en-US" w:eastAsia="zh-CN"/>
        </w:rPr>
      </w:pPr>
      <w:r>
        <w:rPr>
          <w:rFonts w:hint="eastAsia" w:eastAsia="仿宋_GB2312"/>
          <w:sz w:val="30"/>
          <w:szCs w:val="30"/>
          <w:lang w:val="en-US" w:eastAsia="zh-CN"/>
        </w:rPr>
        <w:t>灌溉面积2.5万亩，衬砌渠道21条总长21.708公里，清淤1条长1.498公里，新建32千瓦复兴六组机埠。32公里新铺2号机埠。更新1号机埠，32公里新铺11组机埠，加固改造山塘1处，新建或改造渠系及附属建筑物243处，信息中心站1处，量测水设施23处，配套水利工程标识牌47处，设置警示牌38处。</w:t>
      </w:r>
    </w:p>
    <w:p>
      <w:pPr>
        <w:pStyle w:val="2"/>
        <w:numPr>
          <w:ilvl w:val="0"/>
          <w:numId w:val="3"/>
        </w:numPr>
        <w:rPr>
          <w:rFonts w:hint="default" w:eastAsia="仿宋_GB2312"/>
          <w:sz w:val="30"/>
          <w:szCs w:val="30"/>
          <w:lang w:val="en-US" w:eastAsia="zh-CN"/>
        </w:rPr>
      </w:pPr>
      <w:r>
        <w:rPr>
          <w:rFonts w:hint="eastAsia" w:eastAsia="仿宋_GB2312"/>
          <w:sz w:val="30"/>
          <w:szCs w:val="30"/>
          <w:lang w:val="en-US" w:eastAsia="zh-CN"/>
        </w:rPr>
        <w:t>主要建设内容：原有建筑物拆除，清淤，土方开挖，填筑，浆砌石，实心水泥砖护坡，房屋建筑，闸门安装，启闭机安装，管道安装，拍门安装，闸阀及附件安装，水泵安装，电动机安装，电气电缆安装，计算机监控系统安装等。</w:t>
      </w:r>
    </w:p>
    <w:p>
      <w:pPr>
        <w:pStyle w:val="2"/>
        <w:numPr>
          <w:ilvl w:val="0"/>
          <w:numId w:val="3"/>
        </w:numPr>
        <w:rPr>
          <w:rFonts w:hint="default" w:eastAsia="仿宋_GB2312"/>
          <w:sz w:val="30"/>
          <w:szCs w:val="30"/>
          <w:lang w:val="en-US" w:eastAsia="zh-CN"/>
        </w:rPr>
      </w:pPr>
      <w:r>
        <w:rPr>
          <w:rFonts w:hint="eastAsia" w:eastAsia="仿宋_GB2312"/>
          <w:sz w:val="30"/>
          <w:szCs w:val="30"/>
          <w:lang w:val="en-US" w:eastAsia="zh-CN"/>
        </w:rPr>
        <w:t>项目资金使用情况：项目总投资1220万元，到目前为止已根据进度支付项目资金760万元，（含监理费，检测费及管理费）剩余资金460万元。</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lang w:eastAsia="zh-CN"/>
        </w:rPr>
      </w:pPr>
      <w:r>
        <w:rPr>
          <w:rFonts w:hint="eastAsia" w:eastAsia="仿宋_GB2312"/>
          <w:sz w:val="30"/>
          <w:szCs w:val="30"/>
        </w:rPr>
        <w:t>项目绩效目标。</w:t>
      </w:r>
    </w:p>
    <w:p>
      <w:pPr>
        <w:pStyle w:val="2"/>
        <w:rPr>
          <w:rFonts w:hint="eastAsia" w:eastAsia="仿宋_GB2312"/>
          <w:sz w:val="32"/>
          <w:szCs w:val="32"/>
          <w:lang w:val="en-US" w:eastAsia="zh-CN"/>
        </w:rPr>
      </w:pPr>
      <w:r>
        <w:rPr>
          <w:rFonts w:hint="eastAsia" w:eastAsia="仿宋_GB2312"/>
          <w:sz w:val="32"/>
          <w:szCs w:val="32"/>
          <w:lang w:val="en-US" w:eastAsia="zh-CN"/>
        </w:rPr>
        <w:t>质量目标：项目符合施工要求进行渠道清淤，砖砌，抹面，机埠改造及新建等项目。</w:t>
      </w:r>
    </w:p>
    <w:p>
      <w:pPr>
        <w:pStyle w:val="2"/>
        <w:rPr>
          <w:rFonts w:hint="default" w:eastAsia="仿宋_GB2312"/>
          <w:sz w:val="32"/>
          <w:szCs w:val="32"/>
          <w:lang w:val="en-US" w:eastAsia="zh-CN"/>
        </w:rPr>
      </w:pPr>
      <w:r>
        <w:rPr>
          <w:rFonts w:hint="eastAsia" w:eastAsia="仿宋_GB2312"/>
          <w:sz w:val="32"/>
          <w:szCs w:val="32"/>
          <w:lang w:val="en-US" w:eastAsia="zh-CN"/>
        </w:rPr>
        <w:t>进度目标：根据合同要求已完成项目的95%。</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900" w:firstLineChars="300"/>
        <w:textAlignment w:val="auto"/>
        <w:rPr>
          <w:rFonts w:hint="default" w:eastAsia="仿宋_GB2312"/>
          <w:sz w:val="30"/>
          <w:szCs w:val="30"/>
          <w:lang w:val="en-US" w:eastAsia="zh-CN"/>
        </w:rPr>
      </w:pPr>
      <w:r>
        <w:rPr>
          <w:rFonts w:hint="eastAsia" w:eastAsia="仿宋_GB2312"/>
          <w:sz w:val="30"/>
          <w:szCs w:val="30"/>
        </w:rPr>
        <w:t>总体目标</w:t>
      </w:r>
      <w:r>
        <w:rPr>
          <w:rFonts w:hint="eastAsia" w:eastAsia="仿宋_GB2312"/>
          <w:sz w:val="30"/>
          <w:szCs w:val="30"/>
          <w:lang w:eastAsia="zh-CN"/>
        </w:rPr>
        <w:t>：</w:t>
      </w:r>
      <w:r>
        <w:rPr>
          <w:rFonts w:hint="eastAsia" w:eastAsia="仿宋_GB2312"/>
          <w:sz w:val="30"/>
          <w:szCs w:val="30"/>
          <w:lang w:val="en-US" w:eastAsia="zh-CN"/>
        </w:rPr>
        <w:t>2022年12月20日要求全部完工，2023年投入使用。</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900" w:firstLineChars="300"/>
        <w:textAlignment w:val="auto"/>
        <w:rPr>
          <w:rFonts w:hint="eastAsia" w:eastAsia="仿宋_GB2312"/>
          <w:sz w:val="30"/>
          <w:szCs w:val="30"/>
          <w:lang w:eastAsia="zh-CN"/>
        </w:rPr>
      </w:pPr>
      <w:r>
        <w:rPr>
          <w:rFonts w:hint="eastAsia" w:eastAsia="仿宋_GB2312"/>
          <w:sz w:val="30"/>
          <w:szCs w:val="30"/>
        </w:rPr>
        <w:t>阶段性目标</w:t>
      </w:r>
      <w:r>
        <w:rPr>
          <w:rFonts w:hint="eastAsia" w:eastAsia="仿宋_GB2312"/>
          <w:sz w:val="30"/>
          <w:szCs w:val="30"/>
          <w:lang w:eastAsia="zh-CN"/>
        </w:rPr>
        <w:t>：续建配套及节水改造完成了主干渠清淤，砖砌，抹面，支渠工程清淤，砖砌，抹面以及机埠工程的新建与改造等项目。</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900" w:firstLineChars="300"/>
        <w:textAlignment w:val="auto"/>
        <w:rPr>
          <w:rFonts w:hint="eastAsia" w:eastAsia="仿宋_GB2312"/>
          <w:sz w:val="30"/>
          <w:szCs w:val="30"/>
          <w:lang w:eastAsia="zh-CN"/>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eastAsia="仿宋_GB2312"/>
          <w:sz w:val="30"/>
          <w:szCs w:val="30"/>
        </w:rPr>
      </w:pPr>
      <w:r>
        <w:rPr>
          <w:rFonts w:hint="eastAsia" w:eastAsia="仿宋_GB2312"/>
          <w:sz w:val="30"/>
          <w:szCs w:val="30"/>
        </w:rPr>
        <w:t>(一)绩效评价目的、对象和范围。</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color w:val="333333"/>
          <w:sz w:val="30"/>
          <w:szCs w:val="30"/>
        </w:rPr>
      </w:pPr>
      <w:r>
        <w:rPr>
          <w:color w:val="333333"/>
          <w:sz w:val="30"/>
          <w:szCs w:val="30"/>
        </w:rPr>
        <w:t>绩效评价的对象包括纳入政府预算管理的资金和纳入部门预算管理的资金。</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eastAsia="宋体"/>
          <w:color w:val="333333"/>
          <w:sz w:val="30"/>
          <w:szCs w:val="30"/>
          <w:lang w:val="en-US" w:eastAsia="zh-CN"/>
        </w:rPr>
      </w:pPr>
      <w:r>
        <w:rPr>
          <w:rFonts w:hint="eastAsia"/>
          <w:color w:val="333333"/>
          <w:sz w:val="30"/>
          <w:szCs w:val="30"/>
          <w:lang w:val="en-US" w:eastAsia="zh-CN"/>
        </w:rPr>
        <w:t>绩效评价的范围：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ascii="Arial" w:hAnsi="Arial" w:cs="Arial"/>
          <w:i w:val="0"/>
          <w:iCs w:val="0"/>
          <w:caps w:val="0"/>
          <w:color w:val="333333"/>
          <w:spacing w:val="0"/>
          <w:sz w:val="30"/>
          <w:szCs w:val="30"/>
        </w:rPr>
      </w:pPr>
      <w:bookmarkStart w:id="0" w:name="2024905-2142724-4_1"/>
      <w:bookmarkEnd w:id="0"/>
      <w:r>
        <w:rPr>
          <w:rFonts w:hint="default" w:ascii="Arial" w:hAnsi="Arial" w:cs="Arial"/>
          <w:i w:val="0"/>
          <w:iCs w:val="0"/>
          <w:caps w:val="0"/>
          <w:color w:val="333333"/>
          <w:spacing w:val="0"/>
          <w:sz w:val="30"/>
          <w:szCs w:val="30"/>
          <w:shd w:val="clear" w:fill="FFFFFF"/>
        </w:rPr>
        <w:t>(1)预期产出，包括</w:t>
      </w:r>
      <w:r>
        <w:rPr>
          <w:rFonts w:hint="eastAsia" w:ascii="Arial" w:hAnsi="Arial" w:cs="Arial"/>
          <w:i w:val="0"/>
          <w:iCs w:val="0"/>
          <w:caps w:val="0"/>
          <w:color w:val="333333"/>
          <w:spacing w:val="0"/>
          <w:sz w:val="30"/>
          <w:szCs w:val="30"/>
          <w:shd w:val="clear" w:fill="FFFFFF"/>
          <w:lang w:eastAsia="zh-CN"/>
        </w:rPr>
        <w:t>项目的工程量</w:t>
      </w:r>
      <w:r>
        <w:rPr>
          <w:rFonts w:hint="default" w:ascii="Arial" w:hAnsi="Arial" w:cs="Arial"/>
          <w:i w:val="0"/>
          <w:iCs w:val="0"/>
          <w:caps w:val="0"/>
          <w:color w:val="333333"/>
          <w:spacing w:val="0"/>
          <w:sz w:val="30"/>
          <w:szCs w:val="30"/>
          <w:shd w:val="clear" w:fill="FFFFFF"/>
        </w:rPr>
        <w:t>和服务的数量;</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(2)预期效果，包括经济效益、社会效益、环境效益和可持续影响等;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(3)服务对象满意程度;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(4)达到预期产出所需要的成本资源;</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2"/>
          <w:szCs w:val="32"/>
        </w:rPr>
      </w:pPr>
      <w:r>
        <w:rPr>
          <w:rFonts w:hint="default" w:ascii="Arial" w:hAnsi="Arial" w:cs="Arial"/>
          <w:i w:val="0"/>
          <w:iCs w:val="0"/>
          <w:caps w:val="0"/>
          <w:color w:val="333333"/>
          <w:spacing w:val="0"/>
          <w:sz w:val="32"/>
          <w:szCs w:val="32"/>
          <w:shd w:val="clear" w:fill="FFFFFF"/>
        </w:rPr>
        <w:t>(5)衡量预期产出、预期效果和服务对象满意程度的绩效指标;</w:t>
      </w:r>
    </w:p>
    <w:p>
      <w:pPr>
        <w:pStyle w:val="5"/>
        <w:keepNext w:val="0"/>
        <w:keepLines w:val="0"/>
        <w:widowControl/>
        <w:suppressLineNumbers w:val="0"/>
        <w:pBdr>
          <w:top w:val="none" w:color="auto" w:sz="0" w:space="0"/>
          <w:left w:val="none" w:color="auto" w:sz="0" w:space="0"/>
          <w:bottom w:val="single" w:color="ECECEC" w:sz="6" w:space="9"/>
          <w:right w:val="none" w:color="auto" w:sz="0" w:space="0"/>
        </w:pBdr>
        <w:spacing w:before="300" w:beforeAutospacing="0" w:after="180" w:afterAutospacing="0" w:line="270" w:lineRule="atLeast"/>
        <w:ind w:left="0" w:right="0"/>
        <w:rPr>
          <w:rFonts w:ascii="微软雅黑" w:hAnsi="微软雅黑" w:eastAsia="微软雅黑" w:cs="微软雅黑"/>
          <w:sz w:val="32"/>
          <w:szCs w:val="32"/>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p>
    <w:p>
      <w:pPr>
        <w:pStyle w:val="2"/>
        <w:rPr>
          <w:rFonts w:hint="eastAsia"/>
        </w:rPr>
      </w:pPr>
    </w:p>
    <w:p>
      <w:pPr>
        <w:keepNext w:val="0"/>
        <w:keepLines w:val="0"/>
        <w:pageBreakBefore w:val="0"/>
        <w:numPr>
          <w:ilvl w:val="0"/>
          <w:numId w:val="5"/>
        </w:numPr>
        <w:kinsoku/>
        <w:wordWrap/>
        <w:overflowPunct/>
        <w:topLinePunct w:val="0"/>
        <w:autoSpaceDE/>
        <w:autoSpaceDN/>
        <w:bidi w:val="0"/>
        <w:adjustRightInd/>
        <w:snapToGrid/>
        <w:spacing w:line="610" w:lineRule="exact"/>
        <w:ind w:firstLine="600" w:firstLineChars="200"/>
        <w:textAlignment w:val="auto"/>
        <w:rPr>
          <w:rFonts w:hint="eastAsia"/>
          <w:sz w:val="32"/>
          <w:szCs w:val="32"/>
          <w:lang w:eastAsia="zh-CN"/>
        </w:rPr>
      </w:pPr>
      <w:r>
        <w:rPr>
          <w:rFonts w:hint="eastAsia" w:eastAsia="仿宋_GB2312"/>
          <w:sz w:val="30"/>
          <w:szCs w:val="30"/>
        </w:rPr>
        <w:t>绩效评价原则、评价指标体系(附表说明)、评价方法、 评价标准等</w:t>
      </w:r>
      <w:r>
        <w:rPr>
          <w:rFonts w:hint="eastAsia" w:eastAsia="仿宋_GB2312"/>
          <w:sz w:val="30"/>
          <w:szCs w:val="30"/>
          <w:lang w:eastAsia="zh-CN"/>
        </w:rPr>
        <w:t>。</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960" w:firstLineChars="300"/>
        <w:textAlignment w:val="auto"/>
        <w:rPr>
          <w:rFonts w:hint="eastAsia"/>
          <w:sz w:val="32"/>
          <w:szCs w:val="32"/>
          <w:lang w:eastAsia="zh-CN"/>
        </w:rPr>
      </w:pPr>
      <w:r>
        <w:rPr>
          <w:rFonts w:hint="eastAsia"/>
          <w:sz w:val="32"/>
          <w:szCs w:val="32"/>
          <w:lang w:eastAsia="zh-CN"/>
        </w:rPr>
        <w:t>结合项目具体情况，本次绩效评价采用成本效益分析法，比较法及因素分析法等方法从项目决策，项目过程，项目产出以及项目效益四个方面开展评价。</w:t>
      </w:r>
    </w:p>
    <w:p>
      <w:pPr>
        <w:pStyle w:val="9"/>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leftChars="0" w:right="0" w:firstLine="600" w:firstLineChars="200"/>
        <w:rPr>
          <w:rFonts w:hint="eastAsia" w:eastAsia="仿宋_GB2312"/>
          <w:sz w:val="30"/>
          <w:szCs w:val="30"/>
        </w:rPr>
      </w:pPr>
      <w:r>
        <w:rPr>
          <w:rFonts w:hint="eastAsia" w:eastAsia="仿宋_GB2312"/>
          <w:sz w:val="30"/>
          <w:szCs w:val="30"/>
        </w:rPr>
        <w:t>绩效评价工作过程。</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Chars="200" w:right="0" w:rightChars="0"/>
        <w:rPr>
          <w:rFonts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(1)绩效目标的设定情况;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(2)资金投入和使用情况;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(3)为实现绩效目标制定的制度、采取的措施等;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(4)绩效目标的实现程度及效果;</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rPr>
      </w:pPr>
      <w:r>
        <w:rPr>
          <w:rFonts w:hint="default" w:ascii="Arial" w:hAnsi="Arial" w:cs="Arial"/>
          <w:i w:val="0"/>
          <w:iCs w:val="0"/>
          <w:caps w:val="0"/>
          <w:color w:val="333333"/>
          <w:spacing w:val="0"/>
          <w:sz w:val="30"/>
          <w:szCs w:val="30"/>
          <w:shd w:val="clear" w:fill="FFFFFF"/>
        </w:rPr>
        <w:t>(5)绩效评价的其他内容。</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三、综合评价情况及评价结论</w:t>
      </w:r>
    </w:p>
    <w:p>
      <w:pPr>
        <w:keepNext w:val="0"/>
        <w:keepLines w:val="0"/>
        <w:pageBreakBefore w:val="0"/>
        <w:kinsoku/>
        <w:wordWrap/>
        <w:overflowPunct/>
        <w:topLinePunct w:val="0"/>
        <w:autoSpaceDE/>
        <w:autoSpaceDN/>
        <w:bidi w:val="0"/>
        <w:adjustRightInd/>
        <w:snapToGrid/>
        <w:spacing w:line="610" w:lineRule="exact"/>
        <w:ind w:firstLine="640" w:firstLineChars="200"/>
        <w:textAlignment w:val="auto"/>
        <w:rPr>
          <w:rFonts w:hint="eastAsia" w:eastAsia="宋体"/>
          <w:sz w:val="32"/>
          <w:szCs w:val="32"/>
          <w:lang w:eastAsia="zh-CN"/>
        </w:rPr>
      </w:pPr>
      <w:r>
        <w:rPr>
          <w:rFonts w:hint="eastAsia"/>
          <w:sz w:val="32"/>
          <w:szCs w:val="32"/>
          <w:lang w:eastAsia="zh-CN"/>
        </w:rPr>
        <w:t>根据《华容财政局预算支出绩效评价工作的通知》》要求，精心组织，保证质量。一是制定财政支出绩效评价计划，明确评价组织实施要求，二是确保自评结果真实，准确，客观，禁止弄虚作假，成立了绩效自评工作组，明确任务分工，压实工作责任，围绕项目目标，深入客观分析评价，高质量地完成项自评工作。</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pStyle w:val="2"/>
        <w:rPr>
          <w:rFonts w:hint="eastAsia" w:eastAsia="仿宋_GB2312"/>
          <w:sz w:val="32"/>
          <w:szCs w:val="32"/>
          <w:lang w:eastAsia="zh-CN"/>
        </w:rPr>
      </w:pPr>
      <w:r>
        <w:rPr>
          <w:rFonts w:hint="eastAsia" w:eastAsia="仿宋_GB2312"/>
          <w:sz w:val="32"/>
          <w:szCs w:val="32"/>
          <w:lang w:eastAsia="zh-CN"/>
        </w:rPr>
        <w:t>项目根据法律法规的明确规定，通过公开招标方式签订施工合同。</w:t>
      </w:r>
    </w:p>
    <w:p>
      <w:pPr>
        <w:keepNext w:val="0"/>
        <w:keepLines w:val="0"/>
        <w:pageBreakBefore w:val="0"/>
        <w:numPr>
          <w:ilvl w:val="0"/>
          <w:numId w:val="6"/>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项目过程情况。</w:t>
      </w:r>
    </w:p>
    <w:p>
      <w:pPr>
        <w:pStyle w:val="2"/>
        <w:numPr>
          <w:ilvl w:val="0"/>
          <w:numId w:val="0"/>
        </w:numPr>
        <w:ind w:leftChars="400"/>
        <w:rPr>
          <w:rFonts w:hint="eastAsia" w:eastAsia="宋体"/>
          <w:sz w:val="30"/>
          <w:szCs w:val="30"/>
          <w:lang w:eastAsia="zh-CN"/>
        </w:rPr>
      </w:pPr>
      <w:r>
        <w:rPr>
          <w:rFonts w:hint="eastAsia"/>
          <w:sz w:val="30"/>
          <w:szCs w:val="30"/>
          <w:lang w:eastAsia="zh-CN"/>
        </w:rPr>
        <w:t>项目符合申报条件，申报批复程序符合相关管理办法。</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(三)项目产出情况。</w:t>
      </w:r>
    </w:p>
    <w:p>
      <w:pPr>
        <w:pStyle w:val="2"/>
        <w:rPr>
          <w:rFonts w:hint="default" w:eastAsia="仿宋_GB2312"/>
          <w:sz w:val="32"/>
          <w:szCs w:val="32"/>
          <w:lang w:val="en-US" w:eastAsia="zh-CN"/>
        </w:rPr>
      </w:pPr>
      <w:r>
        <w:rPr>
          <w:rFonts w:hint="eastAsia" w:eastAsia="仿宋_GB2312"/>
          <w:sz w:val="32"/>
          <w:szCs w:val="32"/>
          <w:lang w:eastAsia="zh-CN"/>
        </w:rPr>
        <w:t>项目实施阶段目标完成率达到</w:t>
      </w:r>
      <w:r>
        <w:rPr>
          <w:rFonts w:hint="eastAsia" w:eastAsia="仿宋_GB2312"/>
          <w:sz w:val="32"/>
          <w:szCs w:val="32"/>
          <w:lang w:val="en-US" w:eastAsia="zh-CN"/>
        </w:rPr>
        <w:t>95%</w:t>
      </w:r>
    </w:p>
    <w:p>
      <w:pPr>
        <w:keepNext w:val="0"/>
        <w:keepLines w:val="0"/>
        <w:pageBreakBefore w:val="0"/>
        <w:numPr>
          <w:ilvl w:val="0"/>
          <w:numId w:val="6"/>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项目效益情况。</w:t>
      </w:r>
    </w:p>
    <w:p>
      <w:pPr>
        <w:pStyle w:val="2"/>
        <w:numPr>
          <w:ilvl w:val="0"/>
          <w:numId w:val="0"/>
        </w:numPr>
        <w:ind w:leftChars="200" w:firstLine="640" w:firstLineChars="200"/>
        <w:rPr>
          <w:rFonts w:hint="default" w:eastAsia="宋体"/>
          <w:sz w:val="32"/>
          <w:szCs w:val="32"/>
          <w:lang w:val="en-US" w:eastAsia="zh-CN"/>
        </w:rPr>
      </w:pPr>
      <w:r>
        <w:rPr>
          <w:rFonts w:hint="eastAsia"/>
          <w:sz w:val="32"/>
          <w:szCs w:val="32"/>
          <w:lang w:eastAsia="zh-CN"/>
        </w:rPr>
        <w:t>项目实施提高水利服务能力，确保两大工业园工业用水及水利设施长效发挥作用，保证并</w:t>
      </w:r>
      <w:r>
        <w:rPr>
          <w:rFonts w:hint="eastAsia"/>
          <w:sz w:val="32"/>
          <w:szCs w:val="32"/>
          <w:lang w:val="en-US" w:eastAsia="zh-CN"/>
        </w:rPr>
        <w:t>农业增收和农民增产。</w:t>
      </w:r>
    </w:p>
    <w:p>
      <w:pPr>
        <w:keepNext w:val="0"/>
        <w:keepLines w:val="0"/>
        <w:pageBreakBefore w:val="0"/>
        <w:numPr>
          <w:ilvl w:val="0"/>
          <w:numId w:val="1"/>
        </w:numPr>
        <w:kinsoku/>
        <w:wordWrap/>
        <w:overflowPunct/>
        <w:topLinePunct w:val="0"/>
        <w:autoSpaceDE/>
        <w:autoSpaceDN/>
        <w:bidi w:val="0"/>
        <w:adjustRightInd/>
        <w:snapToGrid/>
        <w:spacing w:line="610" w:lineRule="exact"/>
        <w:ind w:left="0" w:leftChars="0"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主要经验及做法、存在的问题及原因分析</w:t>
      </w:r>
    </w:p>
    <w:p>
      <w:pPr>
        <w:pStyle w:val="2"/>
        <w:numPr>
          <w:ilvl w:val="0"/>
          <w:numId w:val="0"/>
        </w:numPr>
        <w:ind w:leftChars="200" w:firstLine="600" w:firstLineChars="200"/>
        <w:rPr>
          <w:rFonts w:hint="eastAsia"/>
          <w:sz w:val="30"/>
          <w:szCs w:val="30"/>
          <w:lang w:eastAsia="zh-CN"/>
        </w:rPr>
      </w:pPr>
      <w:r>
        <w:rPr>
          <w:rFonts w:hint="eastAsia"/>
          <w:sz w:val="30"/>
          <w:szCs w:val="30"/>
          <w:lang w:eastAsia="zh-CN"/>
        </w:rPr>
        <w:t>为做好项目实施的跟踪检查工作，我所对项目实施情况和经费使用情况跟踪检查，对能实现预期绩效目标的项目予以充分肯定，对进展缓慢，预期绩效较差的项目，及时进行协调和提出整改措施，确保项目实施工作正常运行，达到预期绩效目标。</w:t>
      </w:r>
    </w:p>
    <w:p>
      <w:pPr>
        <w:pStyle w:val="2"/>
        <w:numPr>
          <w:ilvl w:val="0"/>
          <w:numId w:val="0"/>
        </w:numPr>
        <w:ind w:leftChars="200" w:firstLine="600" w:firstLineChars="200"/>
        <w:rPr>
          <w:rFonts w:hint="eastAsia"/>
          <w:sz w:val="30"/>
          <w:szCs w:val="30"/>
          <w:lang w:eastAsia="zh-CN"/>
        </w:rPr>
      </w:pPr>
      <w:r>
        <w:rPr>
          <w:rFonts w:hint="eastAsia"/>
          <w:sz w:val="30"/>
          <w:szCs w:val="30"/>
          <w:lang w:eastAsia="zh-CN"/>
        </w:rPr>
        <w:t>存在的问题：建议把项目资金纳入财政预算当中，保证资金根据合同，施工进度资金按时到位，以确保项目的顺利进行。</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9E77506-9CCB-4821-85FC-8E5778109541}"/>
  </w:font>
  <w:font w:name="Arial">
    <w:panose1 w:val="020B0604020202020204"/>
    <w:charset w:val="01"/>
    <w:family w:val="swiss"/>
    <w:pitch w:val="default"/>
    <w:sig w:usb0="E0002AFF" w:usb1="C0007843" w:usb2="00000009" w:usb3="00000000" w:csb0="400001FF" w:csb1="FFFF0000"/>
    <w:embedRegular r:id="rId2" w:fontKey="{11CE6372-8E97-4217-9030-C95E36816106}"/>
  </w:font>
  <w:font w:name="黑体">
    <w:panose1 w:val="02010609060101010101"/>
    <w:charset w:val="86"/>
    <w:family w:val="auto"/>
    <w:pitch w:val="default"/>
    <w:sig w:usb0="800002BF" w:usb1="38CF7CFA" w:usb2="00000016" w:usb3="00000000" w:csb0="00040001" w:csb1="00000000"/>
    <w:embedRegular r:id="rId3" w:fontKey="{F2786047-EF2E-4ECF-8040-B1C543CFDFFB}"/>
  </w:font>
  <w:font w:name="Courier New">
    <w:panose1 w:val="02070309020205020404"/>
    <w:charset w:val="01"/>
    <w:family w:val="modern"/>
    <w:pitch w:val="default"/>
    <w:sig w:usb0="E0002AFF" w:usb1="C0007843" w:usb2="00000009" w:usb3="00000000" w:csb0="400001FF" w:csb1="FFFF0000"/>
    <w:embedRegular r:id="rId4" w:fontKey="{CBC9DDD7-2A42-4506-8405-7A4E56C01692}"/>
  </w:font>
  <w:font w:name="Symbol">
    <w:panose1 w:val="05050102010706020507"/>
    <w:charset w:val="02"/>
    <w:family w:val="roman"/>
    <w:pitch w:val="default"/>
    <w:sig w:usb0="00000000" w:usb1="00000000" w:usb2="00000000" w:usb3="00000000" w:csb0="80000000" w:csb1="00000000"/>
    <w:embedRegular r:id="rId5" w:fontKey="{2EB824AE-762F-425D-A8E7-23A94BBCA1CE}"/>
  </w:font>
  <w:font w:name="Calibri">
    <w:panose1 w:val="020F0502020204030204"/>
    <w:charset w:val="00"/>
    <w:family w:val="swiss"/>
    <w:pitch w:val="default"/>
    <w:sig w:usb0="E00002FF" w:usb1="4000ACFF" w:usb2="00000001" w:usb3="00000000" w:csb0="2000019F" w:csb1="00000000"/>
    <w:embedRegular r:id="rId6" w:fontKey="{FD68109B-81B7-45E9-A520-11A999E4D152}"/>
  </w:font>
  <w:font w:name="方正小标宋简体">
    <w:altName w:val="仿宋_GB2312"/>
    <w:panose1 w:val="02010601030101010101"/>
    <w:charset w:val="86"/>
    <w:family w:val="auto"/>
    <w:pitch w:val="default"/>
    <w:sig w:usb0="00000000" w:usb1="00000000" w:usb2="00000000" w:usb3="00000000" w:csb0="00040000" w:csb1="00000000"/>
    <w:embedRegular r:id="rId7" w:fontKey="{644B86E7-FB1E-4FDE-953F-3DE3D45C3883}"/>
  </w:font>
  <w:font w:name="新宋体">
    <w:panose1 w:val="02010609030101010101"/>
    <w:charset w:val="86"/>
    <w:family w:val="auto"/>
    <w:pitch w:val="default"/>
    <w:sig w:usb0="00000003" w:usb1="288F0000" w:usb2="00000006" w:usb3="00000000" w:csb0="00040001" w:csb1="00000000"/>
    <w:embedRegular r:id="rId8" w:fontKey="{E86B3112-6CA8-4AE7-9AE4-8FB2C59635B7}"/>
  </w:font>
  <w:font w:name="仿宋_GB2312">
    <w:panose1 w:val="02010609030101010101"/>
    <w:charset w:val="86"/>
    <w:family w:val="auto"/>
    <w:pitch w:val="default"/>
    <w:sig w:usb0="00000001" w:usb1="080E0000" w:usb2="00000000" w:usb3="00000000" w:csb0="00040000" w:csb1="00000000"/>
    <w:embedRegular r:id="rId9" w:fontKey="{A02CA911-B0BA-435B-9C12-C1D95396CE7C}"/>
  </w:font>
  <w:font w:name="仿宋">
    <w:panose1 w:val="02010609060101010101"/>
    <w:charset w:val="86"/>
    <w:family w:val="auto"/>
    <w:pitch w:val="default"/>
    <w:sig w:usb0="800002BF" w:usb1="38CF7CFA" w:usb2="00000016" w:usb3="00000000" w:csb0="00040001" w:csb1="00000000"/>
    <w:embedRegular r:id="rId10" w:fontKey="{454BB8E6-13F9-4F3F-963B-031272B587DA}"/>
  </w:font>
  <w:font w:name="方正小标宋_GBK">
    <w:panose1 w:val="03000509000000000000"/>
    <w:charset w:val="86"/>
    <w:family w:val="script"/>
    <w:pitch w:val="default"/>
    <w:sig w:usb0="00000001" w:usb1="080E0000" w:usb2="00000000" w:usb3="00000000" w:csb0="00040000" w:csb1="00000000"/>
    <w:embedRegular r:id="rId11" w:fontKey="{38559AB7-C7A5-49AE-9088-9ABD52A0911E}"/>
  </w:font>
  <w:font w:name="楷体_GB2312">
    <w:panose1 w:val="02010609030101010101"/>
    <w:charset w:val="86"/>
    <w:family w:val="auto"/>
    <w:pitch w:val="default"/>
    <w:sig w:usb0="00000001" w:usb1="080E0000" w:usb2="00000000" w:usb3="00000000" w:csb0="00040000" w:csb1="00000000"/>
    <w:embedRegular r:id="rId12" w:fontKey="{B8F192D0-0124-4D79-B75F-A28F1E5BF881}"/>
  </w:font>
  <w:font w:name="微软雅黑">
    <w:panose1 w:val="020B0503020204020204"/>
    <w:charset w:val="86"/>
    <w:family w:val="auto"/>
    <w:pitch w:val="default"/>
    <w:sig w:usb0="80000287" w:usb1="280F3C52" w:usb2="00000016" w:usb3="00000000" w:csb0="0004001F" w:csb1="00000000"/>
    <w:embedRegular r:id="rId13" w:fontKey="{331DA8A9-02D3-4ED0-9F66-F578EE808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0C914"/>
    <w:multiLevelType w:val="singleLevel"/>
    <w:tmpl w:val="8A00C914"/>
    <w:lvl w:ilvl="0" w:tentative="0">
      <w:start w:val="2"/>
      <w:numFmt w:val="chineseCounting"/>
      <w:lvlText w:val="(%1)"/>
      <w:lvlJc w:val="left"/>
      <w:pPr>
        <w:tabs>
          <w:tab w:val="left" w:pos="312"/>
        </w:tabs>
      </w:pPr>
      <w:rPr>
        <w:rFonts w:hint="eastAsia"/>
      </w:rPr>
    </w:lvl>
  </w:abstractNum>
  <w:abstractNum w:abstractNumId="1">
    <w:nsid w:val="A21425F8"/>
    <w:multiLevelType w:val="singleLevel"/>
    <w:tmpl w:val="A21425F8"/>
    <w:lvl w:ilvl="0" w:tentative="0">
      <w:start w:val="1"/>
      <w:numFmt w:val="decimal"/>
      <w:suff w:val="nothing"/>
      <w:lvlText w:val="%1，"/>
      <w:lvlJc w:val="left"/>
    </w:lvl>
  </w:abstractNum>
  <w:abstractNum w:abstractNumId="2">
    <w:nsid w:val="C152AC84"/>
    <w:multiLevelType w:val="singleLevel"/>
    <w:tmpl w:val="C152AC84"/>
    <w:lvl w:ilvl="0" w:tentative="0">
      <w:start w:val="1"/>
      <w:numFmt w:val="chineseCounting"/>
      <w:suff w:val="nothing"/>
      <w:lvlText w:val="%1、"/>
      <w:lvlJc w:val="left"/>
      <w:rPr>
        <w:rFonts w:hint="eastAsia"/>
      </w:rPr>
    </w:lvl>
  </w:abstractNum>
  <w:abstractNum w:abstractNumId="3">
    <w:nsid w:val="EA87B86D"/>
    <w:multiLevelType w:val="singleLevel"/>
    <w:tmpl w:val="EA87B86D"/>
    <w:lvl w:ilvl="0" w:tentative="0">
      <w:start w:val="1"/>
      <w:numFmt w:val="decimal"/>
      <w:suff w:val="nothing"/>
      <w:lvlText w:val="%1，"/>
      <w:lvlJc w:val="left"/>
    </w:lvl>
  </w:abstractNum>
  <w:abstractNum w:abstractNumId="4">
    <w:nsid w:val="0F83921C"/>
    <w:multiLevelType w:val="singleLevel"/>
    <w:tmpl w:val="0F83921C"/>
    <w:lvl w:ilvl="0" w:tentative="0">
      <w:start w:val="2"/>
      <w:numFmt w:val="chineseCounting"/>
      <w:lvlText w:val="(%1)"/>
      <w:lvlJc w:val="left"/>
      <w:pPr>
        <w:tabs>
          <w:tab w:val="left" w:pos="312"/>
        </w:tabs>
      </w:pPr>
      <w:rPr>
        <w:rFonts w:hint="eastAsia"/>
      </w:rPr>
    </w:lvl>
  </w:abstractNum>
  <w:abstractNum w:abstractNumId="5">
    <w:nsid w:val="24B8FB1A"/>
    <w:multiLevelType w:val="singleLevel"/>
    <w:tmpl w:val="24B8FB1A"/>
    <w:lvl w:ilvl="0" w:tentative="0">
      <w:start w:val="2"/>
      <w:numFmt w:val="chineseCounting"/>
      <w:lvlText w:val="(%1)"/>
      <w:lvlJc w:val="left"/>
      <w:pPr>
        <w:tabs>
          <w:tab w:val="left" w:pos="312"/>
        </w:tabs>
      </w:pPr>
      <w:rPr>
        <w:rFonts w:hint="eastAsia"/>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wN2M0ODc4MzczN2RiMDAxOWRkZDNjMzczY2FiNDkifQ=="/>
  </w:docVars>
  <w:rsids>
    <w:rsidRoot w:val="0CCB7736"/>
    <w:rsid w:val="00047FEF"/>
    <w:rsid w:val="000A3906"/>
    <w:rsid w:val="001776F1"/>
    <w:rsid w:val="004A1407"/>
    <w:rsid w:val="006F0A16"/>
    <w:rsid w:val="00773328"/>
    <w:rsid w:val="00821883"/>
    <w:rsid w:val="00917857"/>
    <w:rsid w:val="00A755C2"/>
    <w:rsid w:val="0120224E"/>
    <w:rsid w:val="01261A5D"/>
    <w:rsid w:val="016A347B"/>
    <w:rsid w:val="02B50488"/>
    <w:rsid w:val="0325260A"/>
    <w:rsid w:val="0338470A"/>
    <w:rsid w:val="034822A9"/>
    <w:rsid w:val="035E4696"/>
    <w:rsid w:val="03D86621"/>
    <w:rsid w:val="04EE6171"/>
    <w:rsid w:val="05395EA9"/>
    <w:rsid w:val="05A76C0B"/>
    <w:rsid w:val="05DD2B5A"/>
    <w:rsid w:val="05F31E95"/>
    <w:rsid w:val="09AE2DD8"/>
    <w:rsid w:val="0ABD557B"/>
    <w:rsid w:val="0BBB5A8D"/>
    <w:rsid w:val="0C104906"/>
    <w:rsid w:val="0CCB7736"/>
    <w:rsid w:val="0D9E0E8D"/>
    <w:rsid w:val="0EAB7397"/>
    <w:rsid w:val="0EF26153"/>
    <w:rsid w:val="0EF755B3"/>
    <w:rsid w:val="0F17035E"/>
    <w:rsid w:val="0F4E168D"/>
    <w:rsid w:val="11404466"/>
    <w:rsid w:val="11963ADD"/>
    <w:rsid w:val="11EB0F5C"/>
    <w:rsid w:val="11F20483"/>
    <w:rsid w:val="136F31F8"/>
    <w:rsid w:val="138750E0"/>
    <w:rsid w:val="15493631"/>
    <w:rsid w:val="15A620D3"/>
    <w:rsid w:val="164200CB"/>
    <w:rsid w:val="16A3369E"/>
    <w:rsid w:val="178536BD"/>
    <w:rsid w:val="17ED26EB"/>
    <w:rsid w:val="19516372"/>
    <w:rsid w:val="19575CC2"/>
    <w:rsid w:val="19A80228"/>
    <w:rsid w:val="1A101464"/>
    <w:rsid w:val="1AB74849"/>
    <w:rsid w:val="1AC52FF2"/>
    <w:rsid w:val="1AE6175D"/>
    <w:rsid w:val="1B742AA7"/>
    <w:rsid w:val="1CA34935"/>
    <w:rsid w:val="1D5A640E"/>
    <w:rsid w:val="1ECC4D43"/>
    <w:rsid w:val="1F7640EC"/>
    <w:rsid w:val="20D76C5F"/>
    <w:rsid w:val="21057490"/>
    <w:rsid w:val="214A230E"/>
    <w:rsid w:val="21B052C4"/>
    <w:rsid w:val="2219492B"/>
    <w:rsid w:val="22622FB7"/>
    <w:rsid w:val="22CB59C2"/>
    <w:rsid w:val="22FF5445"/>
    <w:rsid w:val="238D0E57"/>
    <w:rsid w:val="24256710"/>
    <w:rsid w:val="24661F76"/>
    <w:rsid w:val="24E22ED2"/>
    <w:rsid w:val="251E7983"/>
    <w:rsid w:val="254840F4"/>
    <w:rsid w:val="260D5D83"/>
    <w:rsid w:val="284A2254"/>
    <w:rsid w:val="292F1467"/>
    <w:rsid w:val="296C5C8D"/>
    <w:rsid w:val="29786927"/>
    <w:rsid w:val="297B51B4"/>
    <w:rsid w:val="29E40467"/>
    <w:rsid w:val="29F527E2"/>
    <w:rsid w:val="2BF35971"/>
    <w:rsid w:val="2C293467"/>
    <w:rsid w:val="2C487650"/>
    <w:rsid w:val="2CC17279"/>
    <w:rsid w:val="2E4F43C0"/>
    <w:rsid w:val="2EC7368E"/>
    <w:rsid w:val="30EE1123"/>
    <w:rsid w:val="30FB4B41"/>
    <w:rsid w:val="31384674"/>
    <w:rsid w:val="31621165"/>
    <w:rsid w:val="323C5548"/>
    <w:rsid w:val="33637992"/>
    <w:rsid w:val="33664FA1"/>
    <w:rsid w:val="344E4F3A"/>
    <w:rsid w:val="353C420B"/>
    <w:rsid w:val="35687794"/>
    <w:rsid w:val="363B0967"/>
    <w:rsid w:val="37450F88"/>
    <w:rsid w:val="37D6106F"/>
    <w:rsid w:val="38415D6A"/>
    <w:rsid w:val="38F862EB"/>
    <w:rsid w:val="39343807"/>
    <w:rsid w:val="39887BBC"/>
    <w:rsid w:val="3A53023B"/>
    <w:rsid w:val="3AE50EA1"/>
    <w:rsid w:val="3AF42D2D"/>
    <w:rsid w:val="3B3A041F"/>
    <w:rsid w:val="3B53405D"/>
    <w:rsid w:val="3BAE6BF9"/>
    <w:rsid w:val="3CCA47F2"/>
    <w:rsid w:val="3CDE0708"/>
    <w:rsid w:val="3D5877DF"/>
    <w:rsid w:val="3DBD37A6"/>
    <w:rsid w:val="3DC55CAA"/>
    <w:rsid w:val="3DD556CA"/>
    <w:rsid w:val="3DE6565C"/>
    <w:rsid w:val="3F450429"/>
    <w:rsid w:val="40226C80"/>
    <w:rsid w:val="40C451A5"/>
    <w:rsid w:val="4156470B"/>
    <w:rsid w:val="41943ACE"/>
    <w:rsid w:val="425D4066"/>
    <w:rsid w:val="43173FD4"/>
    <w:rsid w:val="4359721A"/>
    <w:rsid w:val="44143822"/>
    <w:rsid w:val="44654A12"/>
    <w:rsid w:val="457C5F26"/>
    <w:rsid w:val="49CF255F"/>
    <w:rsid w:val="4B2C5DCD"/>
    <w:rsid w:val="4B700C5B"/>
    <w:rsid w:val="4B7D1173"/>
    <w:rsid w:val="4BF714FF"/>
    <w:rsid w:val="4C150E22"/>
    <w:rsid w:val="4C6A38FC"/>
    <w:rsid w:val="4CE74BC3"/>
    <w:rsid w:val="4CF5000E"/>
    <w:rsid w:val="4DB17672"/>
    <w:rsid w:val="4E4D52FE"/>
    <w:rsid w:val="4EB30A72"/>
    <w:rsid w:val="4FF260E2"/>
    <w:rsid w:val="505C2916"/>
    <w:rsid w:val="50AC44C4"/>
    <w:rsid w:val="50EA6DB9"/>
    <w:rsid w:val="51CA7471"/>
    <w:rsid w:val="521C2FA3"/>
    <w:rsid w:val="522529B2"/>
    <w:rsid w:val="5349426B"/>
    <w:rsid w:val="53910AF4"/>
    <w:rsid w:val="548E5CAE"/>
    <w:rsid w:val="555952B3"/>
    <w:rsid w:val="556B5A36"/>
    <w:rsid w:val="55AF40BB"/>
    <w:rsid w:val="56F72F7C"/>
    <w:rsid w:val="5799451C"/>
    <w:rsid w:val="57B37CCA"/>
    <w:rsid w:val="586243BF"/>
    <w:rsid w:val="58FD3402"/>
    <w:rsid w:val="5954396A"/>
    <w:rsid w:val="5A14201D"/>
    <w:rsid w:val="5AAF7799"/>
    <w:rsid w:val="5B5C1753"/>
    <w:rsid w:val="5C991B08"/>
    <w:rsid w:val="5E134100"/>
    <w:rsid w:val="5F7A1C50"/>
    <w:rsid w:val="601C4AB5"/>
    <w:rsid w:val="609C6FE0"/>
    <w:rsid w:val="60BE691E"/>
    <w:rsid w:val="61444403"/>
    <w:rsid w:val="62265BDF"/>
    <w:rsid w:val="62E1699A"/>
    <w:rsid w:val="64147F0D"/>
    <w:rsid w:val="646C6347"/>
    <w:rsid w:val="64D66362"/>
    <w:rsid w:val="65860217"/>
    <w:rsid w:val="667E0AA1"/>
    <w:rsid w:val="680D6AAB"/>
    <w:rsid w:val="68FB17C3"/>
    <w:rsid w:val="695F12F9"/>
    <w:rsid w:val="69636C3A"/>
    <w:rsid w:val="69CF7B2C"/>
    <w:rsid w:val="6A0B0004"/>
    <w:rsid w:val="6A0F1EF0"/>
    <w:rsid w:val="6AA23DFF"/>
    <w:rsid w:val="6BA1010E"/>
    <w:rsid w:val="6C7111CF"/>
    <w:rsid w:val="6CC711F9"/>
    <w:rsid w:val="6CE47E41"/>
    <w:rsid w:val="6CED5810"/>
    <w:rsid w:val="6CF92413"/>
    <w:rsid w:val="6D2D5C52"/>
    <w:rsid w:val="6DFE5E04"/>
    <w:rsid w:val="6E4E4D2F"/>
    <w:rsid w:val="6E87203D"/>
    <w:rsid w:val="6F9278BB"/>
    <w:rsid w:val="6FB645DF"/>
    <w:rsid w:val="71083874"/>
    <w:rsid w:val="71572F19"/>
    <w:rsid w:val="719B7427"/>
    <w:rsid w:val="724A6793"/>
    <w:rsid w:val="73503EA1"/>
    <w:rsid w:val="741F26FA"/>
    <w:rsid w:val="74470DF8"/>
    <w:rsid w:val="75B54921"/>
    <w:rsid w:val="75FD1676"/>
    <w:rsid w:val="799536BA"/>
    <w:rsid w:val="7AA716F4"/>
    <w:rsid w:val="7B170752"/>
    <w:rsid w:val="7B8F681B"/>
    <w:rsid w:val="7CC52AD4"/>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0"/>
    <w:pPr>
      <w:keepNext/>
      <w:keepLines/>
      <w:outlineLvl w:val="0"/>
    </w:pPr>
    <w:rPr>
      <w:rFonts w:eastAsia="黑体"/>
      <w:bCs/>
      <w:kern w:val="44"/>
      <w:szCs w:val="44"/>
    </w:rPr>
  </w:style>
  <w:style w:type="paragraph" w:styleId="5">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qFormat/>
    <w:uiPriority w:val="99"/>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spacing w:before="100" w:beforeAutospacing="1" w:after="0"/>
      <w:ind w:left="0" w:firstLine="420" w:firstLineChars="200"/>
    </w:pPr>
    <w:rPr>
      <w:rFonts w:ascii="Calibri" w:hAnsi="Calibri" w:eastAsia="宋体" w:cs="Times New Roman"/>
    </w:rPr>
  </w:style>
  <w:style w:type="paragraph" w:styleId="3">
    <w:name w:val="Body Text Indent"/>
    <w:basedOn w:val="1"/>
    <w:qFormat/>
    <w:uiPriority w:val="0"/>
    <w:pPr>
      <w:spacing w:after="120"/>
      <w:ind w:left="420" w:leftChars="200"/>
    </w:pPr>
    <w:rPr>
      <w:rFonts w:ascii="Times New Roman" w:hAnsi="Times New Roman" w:eastAsia="宋体" w:cs="Times New Roman"/>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link w:val="1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footnote text"/>
    <w:basedOn w:val="1"/>
    <w:next w:val="1"/>
    <w:qFormat/>
    <w:uiPriority w:val="0"/>
    <w:pPr>
      <w:snapToGrid w:val="0"/>
      <w:jc w:val="left"/>
    </w:pPr>
    <w:rPr>
      <w:sz w:val="18"/>
      <w:szCs w:val="18"/>
    </w:rPr>
  </w:style>
  <w:style w:type="paragraph" w:styleId="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99"/>
    <w:rPr>
      <w:rFonts w:cs="Times New Roman"/>
    </w:rPr>
  </w:style>
  <w:style w:type="character" w:customStyle="1" w:styleId="14">
    <w:name w:val="Footer Char"/>
    <w:basedOn w:val="12"/>
    <w:link w:val="6"/>
    <w:semiHidden/>
    <w:qFormat/>
    <w:uiPriority w:val="99"/>
    <w:rPr>
      <w:sz w:val="18"/>
      <w:szCs w:val="18"/>
    </w:rPr>
  </w:style>
  <w:style w:type="character" w:customStyle="1" w:styleId="15">
    <w:name w:val="Header Char"/>
    <w:basedOn w:val="12"/>
    <w:link w:val="7"/>
    <w:semiHidden/>
    <w:qFormat/>
    <w:uiPriority w:val="99"/>
    <w:rPr>
      <w:sz w:val="18"/>
      <w:szCs w:val="18"/>
    </w:rPr>
  </w:style>
  <w:style w:type="paragraph" w:styleId="16">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17</Pages>
  <Words>5111</Words>
  <Characters>5696</Characters>
  <Lines>0</Lines>
  <Paragraphs>0</Paragraphs>
  <TotalTime>80</TotalTime>
  <ScaleCrop>false</ScaleCrop>
  <LinksUpToDate>false</LinksUpToDate>
  <CharactersWithSpaces>6013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Administrator</cp:lastModifiedBy>
  <cp:lastPrinted>2023-07-11T02:46:00Z</cp:lastPrinted>
  <dcterms:modified xsi:type="dcterms:W3CDTF">2023-07-11T07:26:43Z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275F3CEC2E914D8A98C17F59FC6D93C8_13</vt:lpwstr>
  </property>
</Properties>
</file>