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600" w:lineRule="exact"/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年度部门整体支出绩效评价基础数据表</w:t>
      </w:r>
    </w:p>
    <w:tbl>
      <w:tblPr>
        <w:tblStyle w:val="7"/>
        <w:tblW w:w="4998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8"/>
        <w:gridCol w:w="1956"/>
        <w:gridCol w:w="2437"/>
        <w:gridCol w:w="167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财政供养人员情况（人）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编制数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年实际在职人数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控制率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41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21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100%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经费控制情况（万元）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2021年决算数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年预算数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年决算数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一、基本支出：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717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995.3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655.3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其中：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三公经费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公务用车购置和维护经费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其中：公车购置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公车运行维护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2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出国经费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3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公务接待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二、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项目支出：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185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340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县级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专项资金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（一个专项一行）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2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.XX项目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3.XX项目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厉行节约保障措施</w:t>
            </w:r>
          </w:p>
        </w:tc>
        <w:tc>
          <w:tcPr>
            <w:tcW w:w="3266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</w:tbl>
    <w:p>
      <w:pPr>
        <w:widowControl/>
        <w:spacing w:afterLines="0" w:line="400" w:lineRule="exact"/>
        <w:jc w:val="left"/>
        <w:rPr>
          <w:rFonts w:hint="eastAsia" w:ascii="新宋体" w:hAnsi="新宋体" w:eastAsia="新宋体" w:cs="新宋体"/>
          <w:sz w:val="21"/>
          <w:szCs w:val="21"/>
          <w:lang w:eastAsia="zh-CN"/>
        </w:rPr>
      </w:pPr>
      <w:r>
        <w:rPr>
          <w:rFonts w:hint="eastAsia" w:ascii="新宋体" w:hAnsi="新宋体" w:eastAsia="新宋体" w:cs="新宋体"/>
          <w:sz w:val="21"/>
          <w:szCs w:val="21"/>
        </w:rPr>
        <w:t>说明：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以上数据均来源于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部门决算报表，其中</w:t>
      </w:r>
      <w:r>
        <w:rPr>
          <w:rFonts w:hint="eastAsia" w:ascii="新宋体" w:hAnsi="新宋体" w:eastAsia="新宋体" w:cs="新宋体"/>
          <w:sz w:val="21"/>
          <w:szCs w:val="21"/>
        </w:rPr>
        <w:t>“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基本支出</w:t>
      </w:r>
      <w:r>
        <w:rPr>
          <w:rFonts w:hint="eastAsia" w:ascii="新宋体" w:hAnsi="新宋体" w:eastAsia="新宋体" w:cs="新宋体"/>
          <w:sz w:val="21"/>
          <w:szCs w:val="21"/>
        </w:rPr>
        <w:t>”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数据参照基本支出决算明细表（财决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05-1表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）；“三公经费”数据参照机构运行信息表（财决附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03表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）；</w:t>
      </w:r>
      <w:r>
        <w:rPr>
          <w:rFonts w:hint="eastAsia" w:ascii="新宋体" w:hAnsi="新宋体" w:eastAsia="新宋体" w:cs="新宋体"/>
          <w:sz w:val="21"/>
          <w:szCs w:val="21"/>
        </w:rPr>
        <w:t>“项目支出”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数据参照项目支出决算明细表（财决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05-2表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）。</w:t>
      </w:r>
    </w:p>
    <w:p>
      <w:pPr>
        <w:widowControl/>
        <w:spacing w:after="0" w:afterLines="0" w:line="400" w:lineRule="exact"/>
        <w:jc w:val="left"/>
        <w:rPr>
          <w:rFonts w:hint="default" w:ascii="Times New Roman" w:hAnsi="Times New Roman" w:eastAsia="仿宋_GB2312" w:cs="Times New Roman"/>
          <w:sz w:val="22"/>
        </w:rPr>
      </w:pPr>
    </w:p>
    <w:p>
      <w:pPr>
        <w:widowControl/>
        <w:spacing w:after="0" w:afterLines="0" w:line="400" w:lineRule="exact"/>
        <w:jc w:val="left"/>
        <w:rPr>
          <w:rFonts w:hint="eastAsia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22"/>
        </w:rPr>
        <w:t>填表人：</w:t>
      </w:r>
      <w:r>
        <w:rPr>
          <w:rFonts w:hint="eastAsia" w:eastAsia="仿宋_GB2312" w:cs="Times New Roman"/>
          <w:sz w:val="22"/>
          <w:lang w:eastAsia="zh-CN"/>
        </w:rPr>
        <w:t>匡浙湘</w:t>
      </w:r>
      <w:r>
        <w:rPr>
          <w:rFonts w:hint="default" w:ascii="Times New Roman" w:hAnsi="Times New Roman" w:eastAsia="仿宋_GB2312" w:cs="Times New Roman"/>
          <w:sz w:val="22"/>
        </w:rPr>
        <w:t xml:space="preserve"> 填报日期：</w:t>
      </w:r>
      <w:r>
        <w:rPr>
          <w:rFonts w:hint="eastAsia" w:eastAsia="仿宋_GB2312" w:cs="Times New Roman"/>
          <w:sz w:val="22"/>
          <w:lang w:val="en-US" w:eastAsia="zh-CN"/>
        </w:rPr>
        <w:t>2023年7月10日</w:t>
      </w:r>
      <w:r>
        <w:rPr>
          <w:rFonts w:hint="default" w:ascii="Times New Roman" w:hAnsi="Times New Roman" w:eastAsia="仿宋_GB2312" w:cs="Times New Roman"/>
          <w:sz w:val="22"/>
        </w:rPr>
        <w:t xml:space="preserve"> 联系电话：</w:t>
      </w:r>
      <w:r>
        <w:rPr>
          <w:rFonts w:hint="eastAsia" w:eastAsia="仿宋_GB2312" w:cs="Times New Roman"/>
          <w:sz w:val="22"/>
          <w:lang w:val="en-US" w:eastAsia="zh-CN"/>
        </w:rPr>
        <w:t>13397306022</w:t>
      </w:r>
      <w:r>
        <w:rPr>
          <w:rFonts w:hint="default" w:ascii="Times New Roman" w:hAnsi="Times New Roman" w:eastAsia="仿宋_GB2312" w:cs="Times New Roman"/>
          <w:sz w:val="22"/>
        </w:rPr>
        <w:t xml:space="preserve"> 单位负责人签字：</w:t>
      </w:r>
      <w:r>
        <w:rPr>
          <w:rFonts w:hint="default" w:ascii="Times New Roman" w:hAnsi="Times New Roman" w:eastAsia="仿宋_GB2312" w:cs="Times New Roman"/>
          <w:sz w:val="22"/>
        </w:rPr>
        <w:br w:type="page"/>
      </w:r>
      <w:r>
        <w:rPr>
          <w:rFonts w:hint="default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年度部门整体支出绩效自评表</w:t>
      </w:r>
    </w:p>
    <w:tbl>
      <w:tblPr>
        <w:tblStyle w:val="7"/>
        <w:tblW w:w="4996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5"/>
        <w:gridCol w:w="868"/>
        <w:gridCol w:w="874"/>
        <w:gridCol w:w="1051"/>
        <w:gridCol w:w="1108"/>
        <w:gridCol w:w="1116"/>
        <w:gridCol w:w="587"/>
        <w:gridCol w:w="1012"/>
        <w:gridCol w:w="158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3" w:hRule="atLeast"/>
          <w:jc w:val="center"/>
        </w:trPr>
        <w:tc>
          <w:tcPr>
            <w:tcW w:w="58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县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级预算部门名称</w:t>
            </w:r>
          </w:p>
        </w:tc>
        <w:tc>
          <w:tcPr>
            <w:tcW w:w="4414" w:type="pct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华容县操军镇卫生院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atLeast"/>
          <w:jc w:val="center"/>
        </w:trPr>
        <w:tc>
          <w:tcPr>
            <w:tcW w:w="585" w:type="pct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预算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申请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（万元）</w:t>
            </w:r>
          </w:p>
        </w:tc>
        <w:tc>
          <w:tcPr>
            <w:tcW w:w="939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年初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预算数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预算数</w:t>
            </w:r>
          </w:p>
        </w:tc>
        <w:tc>
          <w:tcPr>
            <w:tcW w:w="59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执行数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执行率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5" w:type="pct"/>
            <w:vMerge w:val="continue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939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年度资金总额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  <w:t>450.1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  <w:t>995.3</w:t>
            </w:r>
          </w:p>
        </w:tc>
        <w:tc>
          <w:tcPr>
            <w:tcW w:w="59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995.3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5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2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按收入性质分：</w:t>
            </w:r>
          </w:p>
        </w:tc>
        <w:tc>
          <w:tcPr>
            <w:tcW w:w="2312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按支出性质分：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5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2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其中：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一般公共预算：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671.5</w:t>
            </w:r>
          </w:p>
        </w:tc>
        <w:tc>
          <w:tcPr>
            <w:tcW w:w="2312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其中：基本支出：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655.3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5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2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政府性基金拨款：</w:t>
            </w:r>
          </w:p>
        </w:tc>
        <w:tc>
          <w:tcPr>
            <w:tcW w:w="2312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项目支出：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340.0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5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2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纳入专户管理的非税收入拨款：</w:t>
            </w:r>
          </w:p>
        </w:tc>
        <w:tc>
          <w:tcPr>
            <w:tcW w:w="2312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5" w:type="pct"/>
            <w:vMerge w:val="continue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2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1260" w:firstLineChars="60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其他资金：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323.8</w:t>
            </w:r>
          </w:p>
        </w:tc>
        <w:tc>
          <w:tcPr>
            <w:tcW w:w="2312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5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总体目标</w:t>
            </w:r>
          </w:p>
        </w:tc>
        <w:tc>
          <w:tcPr>
            <w:tcW w:w="2102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预期目标</w:t>
            </w:r>
          </w:p>
        </w:tc>
        <w:tc>
          <w:tcPr>
            <w:tcW w:w="2312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实际完成情况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5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2102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default" w:ascii="仿宋_GB2312" w:hAnsi="仿宋_GB2312" w:eastAsia="仿宋_GB2312" w:cs="仿宋_GB2312"/>
                <w:color w:val="00000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Cs w:val="21"/>
              </w:rPr>
              <w:t>目标1：</w:t>
            </w:r>
            <w:r>
              <w:rPr>
                <w:rFonts w:hint="eastAsia" w:eastAsia="仿宋_GB2312"/>
                <w:kern w:val="0"/>
                <w:szCs w:val="21"/>
              </w:rPr>
              <w:t>保障职工工资福利发放，“五险一金缴纳”</w:t>
            </w:r>
          </w:p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default" w:ascii="仿宋_GB2312" w:hAnsi="仿宋_GB2312" w:eastAsia="仿宋_GB2312" w:cs="仿宋_GB2312"/>
                <w:color w:val="00000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Cs w:val="21"/>
              </w:rPr>
              <w:t>目标2：</w:t>
            </w:r>
            <w:r>
              <w:rPr>
                <w:rFonts w:hint="eastAsia" w:eastAsia="仿宋_GB2312"/>
                <w:kern w:val="0"/>
                <w:szCs w:val="21"/>
              </w:rPr>
              <w:t>公用经费确保工作正常运转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Cs w:val="21"/>
              </w:rPr>
              <w:t>目标3：</w:t>
            </w:r>
            <w:r>
              <w:rPr>
                <w:rFonts w:hint="eastAsia" w:eastAsia="仿宋_GB2312"/>
                <w:kern w:val="0"/>
                <w:szCs w:val="21"/>
              </w:rPr>
              <w:t>医疗收入保障医院日常工作开展</w:t>
            </w:r>
          </w:p>
        </w:tc>
        <w:tc>
          <w:tcPr>
            <w:tcW w:w="2312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default" w:ascii="仿宋_GB2312" w:hAnsi="仿宋_GB2312" w:eastAsia="仿宋_GB2312" w:cs="仿宋_GB2312"/>
                <w:color w:val="000000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职工工资福利发放，“五险一金缴纳”到位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医疗和公卫工作圆满完成预期目标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85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标</w:t>
            </w:r>
          </w:p>
        </w:tc>
        <w:tc>
          <w:tcPr>
            <w:tcW w:w="46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4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指标值</w:t>
            </w:r>
          </w:p>
        </w:tc>
        <w:tc>
          <w:tcPr>
            <w:tcW w:w="5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完成值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得分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8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产出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(50分)</w:t>
            </w: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数量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eastAsia="仿宋_GB2312"/>
                <w:kern w:val="0"/>
                <w:szCs w:val="21"/>
              </w:rPr>
              <w:t>工资福利发放率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leftChars="0" w:right="0" w:right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5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leftChars="0" w:right="0" w:right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eastAsia="仿宋_GB2312"/>
                <w:kern w:val="0"/>
                <w:szCs w:val="21"/>
              </w:rPr>
              <w:t>“五险一金”缴纳率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leftChars="0" w:right="0" w:right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5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leftChars="0" w:right="0" w:right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eastAsia="仿宋_GB2312"/>
                <w:kern w:val="0"/>
                <w:szCs w:val="21"/>
              </w:rPr>
              <w:t>日常公用经费使用率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5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default" w:eastAsia="仿宋_GB2312"/>
                <w:kern w:val="0"/>
                <w:szCs w:val="21"/>
                <w:lang w:val="en-US" w:eastAsia="zh-CN"/>
              </w:rPr>
            </w:pPr>
            <w:r>
              <w:rPr>
                <w:rFonts w:hint="eastAsia" w:eastAsia="仿宋_GB2312"/>
                <w:kern w:val="0"/>
                <w:szCs w:val="21"/>
                <w:lang w:val="en-US" w:eastAsia="zh-CN"/>
              </w:rPr>
              <w:t>......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质量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eastAsia="仿宋_GB2312"/>
                <w:kern w:val="0"/>
                <w:szCs w:val="21"/>
              </w:rPr>
              <w:t>患者治愈率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leftChars="0" w:right="0" w:right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5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98%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210" w:firstLineChars="10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加强专业技术培训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Cs w:val="21"/>
              </w:rPr>
              <w:t>公卫管理率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leftChars="0" w:right="0" w:right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5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95%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加强公卫及乡村医生管理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default" w:ascii="仿宋_GB2312" w:hAnsi="仿宋_GB2312" w:eastAsia="仿宋_GB2312" w:cs="仿宋_GB2312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Cs w:val="21"/>
                <w:lang w:val="en-US" w:eastAsia="zh-CN"/>
              </w:rPr>
              <w:t>......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leftChars="0" w:right="0" w:right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</w:pPr>
          </w:p>
        </w:tc>
        <w:tc>
          <w:tcPr>
            <w:tcW w:w="5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时效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eastAsia="仿宋_GB2312"/>
                <w:kern w:val="0"/>
                <w:szCs w:val="21"/>
              </w:rPr>
              <w:t>年初计划门诊收入完成率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5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eastAsia="仿宋_GB2312"/>
                <w:kern w:val="0"/>
                <w:szCs w:val="21"/>
              </w:rPr>
              <w:t>年初计划住院收入完成率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5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成本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eastAsia="仿宋_GB2312"/>
                <w:kern w:val="0"/>
                <w:szCs w:val="21"/>
              </w:rPr>
              <w:t>工资福利到位率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5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eastAsia="仿宋_GB2312"/>
                <w:kern w:val="0"/>
                <w:szCs w:val="21"/>
              </w:rPr>
              <w:t>“五险一金”缴纳到位率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5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85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标</w:t>
            </w:r>
          </w:p>
        </w:tc>
        <w:tc>
          <w:tcPr>
            <w:tcW w:w="46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4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指标值</w:t>
            </w:r>
          </w:p>
        </w:tc>
        <w:tc>
          <w:tcPr>
            <w:tcW w:w="5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完成值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得分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5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8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效益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（30分）</w:t>
            </w:r>
          </w:p>
        </w:tc>
        <w:tc>
          <w:tcPr>
            <w:tcW w:w="4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经济效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default" w:ascii="仿宋_GB2312" w:hAnsi="仿宋_GB2312" w:eastAsia="仿宋_GB2312" w:cs="仿宋_GB2312"/>
                <w:color w:val="000000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医院正常开展各项业务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5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5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8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社会效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default" w:ascii="仿宋_GB2312" w:hAnsi="仿宋_GB2312" w:eastAsia="仿宋_GB2312" w:cs="仿宋_GB2312"/>
                <w:color w:val="000000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患者治愈率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59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95%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加强专业知识培训，提升水平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5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8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  <w:t>......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9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5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8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生态效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default" w:ascii="仿宋_GB2312" w:hAnsi="仿宋_GB2312" w:eastAsia="仿宋_GB2312" w:cs="仿宋_GB2312"/>
                <w:color w:val="000000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环境污染处理率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59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5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8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  <w:t>......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9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5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8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可持续影响指标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医废污染处理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5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5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8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污水污染处理</w:t>
            </w:r>
          </w:p>
        </w:tc>
        <w:tc>
          <w:tcPr>
            <w:tcW w:w="59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59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54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5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8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（10分）</w:t>
            </w:r>
          </w:p>
        </w:tc>
        <w:tc>
          <w:tcPr>
            <w:tcW w:w="470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服务对象满意度指标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eastAsia="仿宋_GB2312"/>
                <w:kern w:val="0"/>
                <w:szCs w:val="21"/>
              </w:rPr>
              <w:t>患者满意度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59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5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8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eastAsia="仿宋_GB2312"/>
                <w:kern w:val="0"/>
                <w:szCs w:val="21"/>
              </w:rPr>
              <w:t>居民满意度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59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3286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总分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100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96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</w:tbl>
    <w:p>
      <w:pPr>
        <w:rPr>
          <w:rFonts w:hint="eastAsia" w:eastAsia="仿宋_GB2312" w:cs="Times New Roman"/>
          <w:sz w:val="2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2"/>
        </w:rPr>
        <w:t>说明：</w:t>
      </w:r>
      <w:r>
        <w:rPr>
          <w:rFonts w:hint="eastAsia" w:eastAsia="仿宋_GB2312" w:cs="Times New Roman"/>
          <w:sz w:val="22"/>
          <w:lang w:eastAsia="zh-CN"/>
        </w:rPr>
        <w:t>以上数据参照</w:t>
      </w:r>
      <w:r>
        <w:rPr>
          <w:rFonts w:hint="eastAsia" w:eastAsia="仿宋_GB2312" w:cs="Times New Roman"/>
          <w:sz w:val="22"/>
          <w:lang w:val="en-US" w:eastAsia="zh-CN"/>
        </w:rPr>
        <w:t>2022年部门决算报表中的“收入支出决算总表”(财决01表)。</w:t>
      </w: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default" w:ascii="Times New Roman" w:hAnsi="Times New Roman" w:eastAsia="仿宋_GB2312" w:cs="Times New Roman"/>
          <w:sz w:val="22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2"/>
        </w:rPr>
        <w:t>填表人：</w:t>
      </w:r>
      <w:r>
        <w:rPr>
          <w:rFonts w:hint="eastAsia" w:eastAsia="仿宋_GB2312" w:cs="Times New Roman"/>
          <w:sz w:val="22"/>
          <w:lang w:eastAsia="zh-CN"/>
        </w:rPr>
        <w:t>匡浙湘</w:t>
      </w:r>
      <w:r>
        <w:rPr>
          <w:rFonts w:hint="default" w:ascii="Times New Roman" w:hAnsi="Times New Roman" w:eastAsia="仿宋_GB2312" w:cs="Times New Roman"/>
          <w:sz w:val="22"/>
        </w:rPr>
        <w:t xml:space="preserve"> 填报日期：</w:t>
      </w:r>
      <w:r>
        <w:rPr>
          <w:rFonts w:hint="eastAsia" w:eastAsia="仿宋_GB2312" w:cs="Times New Roman"/>
          <w:sz w:val="22"/>
          <w:lang w:val="en-US" w:eastAsia="zh-CN"/>
        </w:rPr>
        <w:t>2023年7月10日</w:t>
      </w:r>
      <w:r>
        <w:rPr>
          <w:rFonts w:hint="default" w:ascii="Times New Roman" w:hAnsi="Times New Roman" w:eastAsia="仿宋_GB2312" w:cs="Times New Roman"/>
          <w:sz w:val="22"/>
        </w:rPr>
        <w:t xml:space="preserve"> 联系电话：</w:t>
      </w:r>
      <w:r>
        <w:rPr>
          <w:rFonts w:hint="eastAsia" w:eastAsia="仿宋_GB2312" w:cs="Times New Roman"/>
          <w:sz w:val="22"/>
          <w:lang w:val="en-US" w:eastAsia="zh-CN"/>
        </w:rPr>
        <w:t>13397306022</w:t>
      </w:r>
      <w:r>
        <w:rPr>
          <w:rFonts w:hint="default" w:ascii="Times New Roman" w:hAnsi="Times New Roman" w:eastAsia="仿宋_GB2312" w:cs="Times New Roman"/>
          <w:sz w:val="22"/>
        </w:rPr>
        <w:t xml:space="preserve"> 单位负责人签字：</w:t>
      </w:r>
      <w:r>
        <w:rPr>
          <w:rFonts w:hint="default" w:ascii="Times New Roman" w:hAnsi="Times New Roman" w:eastAsia="仿宋_GB2312" w:cs="Times New Roman"/>
          <w:sz w:val="22"/>
          <w:szCs w:val="22"/>
        </w:rPr>
        <w:br w:type="page"/>
      </w: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</w:t>
      </w:r>
    </w:p>
    <w:p>
      <w:pPr>
        <w:jc w:val="center"/>
        <w:rPr>
          <w:rFonts w:hint="default" w:ascii="Times New Roman" w:hAnsi="Times New Roman" w:eastAsia="方正小标宋_GBK" w:cs="Times New Roman"/>
          <w:sz w:val="52"/>
          <w:szCs w:val="5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操军镇卫生院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整体支出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jc w:val="center"/>
        <w:rPr>
          <w:rFonts w:hint="default" w:ascii="Times New Roman" w:hAnsi="Times New Roman" w:eastAsia="方正小标宋_GBK" w:cs="Times New Roman"/>
          <w:b/>
          <w:sz w:val="52"/>
          <w:szCs w:val="5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both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spacing w:line="600" w:lineRule="exact"/>
        <w:jc w:val="center"/>
        <w:rPr>
          <w:rFonts w:hint="default" w:ascii="Times New Roman" w:hAnsi="Times New Roman" w:eastAsia="仿宋_GB2312" w:cs="Times New Roman"/>
          <w:sz w:val="32"/>
          <w:szCs w:val="32"/>
          <w:u w:val="single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部门（单位）名称：</w:t>
      </w:r>
      <w:r>
        <w:rPr>
          <w:rFonts w:hint="default" w:ascii="Times New Roman" w:hAnsi="Times New Roman" w:eastAsia="仿宋_GB2312" w:cs="Times New Roman"/>
          <w:sz w:val="32"/>
          <w:szCs w:val="32"/>
          <w:u w:val="single"/>
        </w:rPr>
        <w:t>（盖章）</w:t>
      </w:r>
    </w:p>
    <w:p>
      <w:pPr>
        <w:spacing w:line="600" w:lineRule="exact"/>
        <w:jc w:val="center"/>
        <w:rPr>
          <w:rFonts w:hint="default" w:ascii="Times New Roman" w:hAnsi="Times New Roman" w:eastAsia="楷体_GB2312" w:cs="Times New Roman"/>
          <w:sz w:val="32"/>
          <w:szCs w:val="32"/>
        </w:rPr>
      </w:pPr>
      <w:r>
        <w:rPr>
          <w:rFonts w:hint="eastAsia" w:eastAsia="楷体_GB2312" w:cs="Times New Roman"/>
          <w:sz w:val="32"/>
          <w:szCs w:val="32"/>
          <w:lang w:val="en-US" w:eastAsia="zh-CN"/>
        </w:rPr>
        <w:t>2023</w:t>
      </w:r>
      <w:r>
        <w:rPr>
          <w:rFonts w:hint="default" w:ascii="Times New Roman" w:hAnsi="Times New Roman" w:eastAsia="楷体_GB2312" w:cs="Times New Roman"/>
          <w:sz w:val="32"/>
          <w:szCs w:val="32"/>
        </w:rPr>
        <w:t>年</w:t>
      </w:r>
      <w:r>
        <w:rPr>
          <w:rFonts w:hint="eastAsia" w:eastAsia="楷体_GB2312" w:cs="Times New Roman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楷体_GB2312" w:cs="Times New Roman"/>
          <w:sz w:val="32"/>
          <w:szCs w:val="32"/>
        </w:rPr>
        <w:t>月</w:t>
      </w:r>
      <w:r>
        <w:rPr>
          <w:rFonts w:hint="eastAsia" w:eastAsia="楷体_GB2312" w:cs="Times New Roman"/>
          <w:sz w:val="32"/>
          <w:szCs w:val="32"/>
          <w:lang w:val="en-US" w:eastAsia="zh-CN"/>
        </w:rPr>
        <w:t>10</w:t>
      </w:r>
      <w:r>
        <w:rPr>
          <w:rFonts w:hint="default" w:ascii="Times New Roman" w:hAnsi="Times New Roman" w:eastAsia="楷体_GB2312" w:cs="Times New Roman"/>
          <w:sz w:val="32"/>
          <w:szCs w:val="32"/>
        </w:rPr>
        <w:t>日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  <w:sectPr>
          <w:footerReference r:id="rId3" w:type="default"/>
          <w:pgSz w:w="11906" w:h="16838"/>
          <w:pgMar w:top="1701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（此页为封面）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操军镇卫生院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整体支出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部门（单位）基本情况</w:t>
      </w:r>
    </w:p>
    <w:p>
      <w:pPr>
        <w:keepNext w:val="0"/>
        <w:keepLines w:val="0"/>
        <w:pageBreakBefore w:val="0"/>
        <w:shd w:val="solid" w:color="FFFFFF" w:fill="auto"/>
        <w:kinsoku/>
        <w:wordWrap/>
        <w:overflowPunct/>
        <w:topLinePunct w:val="0"/>
        <w:autoSpaceDE/>
        <w:autoSpaceDN w:val="0"/>
        <w:bidi w:val="0"/>
        <w:spacing w:line="360" w:lineRule="auto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</w:rPr>
      </w:pPr>
      <w:r>
        <w:rPr>
          <w:rFonts w:hint="eastAsia" w:ascii="仿宋" w:hAnsi="仿宋" w:eastAsia="仿宋" w:cs="仿宋"/>
          <w:sz w:val="32"/>
        </w:rPr>
        <w:t>华容县操军镇卫生院系财政全额预算拨款单位。202</w:t>
      </w:r>
      <w:r>
        <w:rPr>
          <w:rFonts w:hint="eastAsia" w:ascii="仿宋" w:hAnsi="仿宋" w:eastAsia="仿宋" w:cs="仿宋"/>
          <w:sz w:val="32"/>
          <w:lang w:val="en-US" w:eastAsia="zh-CN"/>
        </w:rPr>
        <w:t>2</w:t>
      </w:r>
      <w:r>
        <w:rPr>
          <w:rFonts w:hint="eastAsia" w:ascii="仿宋" w:hAnsi="仿宋" w:eastAsia="仿宋" w:cs="仿宋"/>
          <w:sz w:val="32"/>
        </w:rPr>
        <w:t>年编制部门核实华容县操军镇卫生院卫生院事业编制41名，实有事业编制人员21人.华容县操军镇卫生院单位内设机构包括：3个职能科室。医疗组、防保组、行政后勤组。</w:t>
      </w:r>
    </w:p>
    <w:p>
      <w:pPr>
        <w:pStyle w:val="2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bidi w:val="0"/>
        <w:spacing w:line="360" w:lineRule="auto"/>
        <w:textAlignment w:val="auto"/>
        <w:rPr>
          <w:rFonts w:hint="default"/>
        </w:rPr>
      </w:pPr>
    </w:p>
    <w:p>
      <w:pPr>
        <w:pStyle w:val="13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基本支出情况</w:t>
      </w:r>
    </w:p>
    <w:p>
      <w:pPr>
        <w:pStyle w:val="13"/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auto"/>
        <w:rPr>
          <w:rFonts w:hint="default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sz w:val="32"/>
          <w:szCs w:val="28"/>
        </w:rPr>
        <w:t>202</w:t>
      </w:r>
      <w:r>
        <w:rPr>
          <w:rFonts w:hint="eastAsia" w:ascii="仿宋" w:hAnsi="仿宋" w:eastAsia="仿宋" w:cs="仿宋"/>
          <w:sz w:val="32"/>
          <w:szCs w:val="28"/>
          <w:lang w:val="en-US" w:eastAsia="zh-CN"/>
        </w:rPr>
        <w:t>2</w:t>
      </w:r>
      <w:r>
        <w:rPr>
          <w:rFonts w:hint="eastAsia" w:ascii="仿宋" w:hAnsi="仿宋" w:eastAsia="仿宋" w:cs="仿宋"/>
          <w:sz w:val="32"/>
          <w:szCs w:val="28"/>
        </w:rPr>
        <w:t>年华容县操军镇卫生院整体基本支出合计</w:t>
      </w:r>
      <w:r>
        <w:rPr>
          <w:rFonts w:hint="eastAsia" w:ascii="仿宋" w:hAnsi="仿宋" w:eastAsia="仿宋" w:cs="仿宋"/>
          <w:sz w:val="32"/>
          <w:szCs w:val="28"/>
          <w:lang w:val="en-US" w:eastAsia="zh-CN"/>
        </w:rPr>
        <w:t>995.3</w:t>
      </w:r>
      <w:r>
        <w:rPr>
          <w:rFonts w:hint="eastAsia" w:ascii="仿宋" w:hAnsi="仿宋" w:eastAsia="仿宋" w:cs="仿宋"/>
          <w:sz w:val="32"/>
          <w:szCs w:val="28"/>
        </w:rPr>
        <w:t>万元，主要是用于人员工资、社会保障缴费、临时工工资以及为保障医疗卫生机构正常运转、完成日常工作任务而发生的 商品和服务支出。其中：工资福利支出</w:t>
      </w:r>
      <w:r>
        <w:rPr>
          <w:rFonts w:hint="eastAsia" w:ascii="仿宋" w:hAnsi="仿宋" w:eastAsia="仿宋" w:cs="仿宋"/>
          <w:sz w:val="32"/>
          <w:szCs w:val="28"/>
          <w:lang w:val="en-US" w:eastAsia="zh-CN"/>
        </w:rPr>
        <w:t>306</w:t>
      </w:r>
      <w:r>
        <w:rPr>
          <w:rFonts w:hint="eastAsia" w:ascii="仿宋" w:hAnsi="仿宋" w:eastAsia="仿宋" w:cs="仿宋"/>
          <w:sz w:val="32"/>
          <w:szCs w:val="28"/>
        </w:rPr>
        <w:t>万元；商品和服务支出</w:t>
      </w:r>
      <w:r>
        <w:rPr>
          <w:rFonts w:hint="eastAsia" w:ascii="仿宋" w:hAnsi="仿宋" w:eastAsia="仿宋" w:cs="仿宋"/>
          <w:sz w:val="32"/>
          <w:szCs w:val="28"/>
          <w:lang w:val="en-US" w:eastAsia="zh-CN"/>
        </w:rPr>
        <w:t>489.3</w:t>
      </w:r>
      <w:r>
        <w:rPr>
          <w:rFonts w:hint="eastAsia" w:ascii="仿宋" w:hAnsi="仿宋" w:eastAsia="仿宋" w:cs="仿宋"/>
          <w:sz w:val="32"/>
          <w:szCs w:val="28"/>
        </w:rPr>
        <w:t>万元</w:t>
      </w:r>
      <w:r>
        <w:rPr>
          <w:rFonts w:hint="eastAsia" w:ascii="仿宋" w:hAnsi="仿宋" w:eastAsia="仿宋" w:cs="仿宋"/>
          <w:sz w:val="32"/>
          <w:szCs w:val="28"/>
          <w:lang w:val="en-US" w:eastAsia="zh-CN"/>
        </w:rPr>
        <w:t>；其他资本支出200万元。</w:t>
      </w:r>
    </w:p>
    <w:p>
      <w:pPr>
        <w:pStyle w:val="13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项目支出情况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spacing w:line="360" w:lineRule="auto"/>
        <w:ind w:firstLine="643" w:firstLineChars="200"/>
        <w:textAlignment w:val="auto"/>
        <w:rPr>
          <w:rFonts w:hint="eastAsia" w:eastAsia="仿宋_GB2312"/>
          <w:b/>
          <w:bCs/>
          <w:sz w:val="32"/>
          <w:szCs w:val="32"/>
          <w:shd w:val="clear" w:color="auto" w:fill="FFFFFF"/>
        </w:rPr>
      </w:pPr>
      <w:r>
        <w:rPr>
          <w:rFonts w:hint="eastAsia" w:eastAsia="仿宋_GB2312"/>
          <w:b/>
          <w:bCs/>
          <w:sz w:val="32"/>
          <w:szCs w:val="32"/>
          <w:shd w:val="clear" w:color="auto" w:fill="FFFFFF"/>
        </w:rPr>
        <w:t>1、项目资金安排落实、总投入等情况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28"/>
        </w:rPr>
      </w:pPr>
      <w:r>
        <w:rPr>
          <w:rFonts w:hint="eastAsia" w:ascii="仿宋" w:hAnsi="仿宋" w:eastAsia="仿宋" w:cs="仿宋"/>
          <w:sz w:val="32"/>
          <w:szCs w:val="28"/>
        </w:rPr>
        <w:t>我部门项目资金按照年初预算的安排，按照月度与进度等安排资金落实，202</w:t>
      </w:r>
      <w:r>
        <w:rPr>
          <w:rFonts w:hint="eastAsia" w:ascii="仿宋" w:hAnsi="仿宋" w:eastAsia="仿宋" w:cs="仿宋"/>
          <w:sz w:val="32"/>
          <w:szCs w:val="28"/>
          <w:lang w:val="en-US" w:eastAsia="zh-CN"/>
        </w:rPr>
        <w:t>2</w:t>
      </w:r>
      <w:r>
        <w:rPr>
          <w:rFonts w:hint="eastAsia" w:ascii="仿宋" w:hAnsi="仿宋" w:eastAsia="仿宋" w:cs="仿宋"/>
          <w:sz w:val="32"/>
          <w:szCs w:val="28"/>
        </w:rPr>
        <w:t>年华容县操军镇卫生院整体年初项目资金合计申报</w:t>
      </w:r>
      <w:r>
        <w:rPr>
          <w:rFonts w:hint="eastAsia" w:ascii="仿宋" w:hAnsi="仿宋" w:eastAsia="仿宋" w:cs="仿宋"/>
          <w:sz w:val="32"/>
          <w:szCs w:val="28"/>
          <w:lang w:val="en-US" w:eastAsia="zh-CN"/>
        </w:rPr>
        <w:t>340</w:t>
      </w:r>
      <w:r>
        <w:rPr>
          <w:rFonts w:hint="eastAsia" w:ascii="仿宋" w:hAnsi="仿宋" w:eastAsia="仿宋" w:cs="仿宋"/>
          <w:sz w:val="32"/>
          <w:szCs w:val="28"/>
        </w:rPr>
        <w:t>万元，主要是用于基本公共卫生服务、应急物质储备的支出。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spacing w:line="360" w:lineRule="auto"/>
        <w:ind w:firstLine="643" w:firstLineChars="200"/>
        <w:textAlignment w:val="auto"/>
        <w:rPr>
          <w:rFonts w:hint="eastAsia" w:eastAsia="仿宋_GB2312"/>
          <w:b/>
          <w:bCs/>
          <w:sz w:val="32"/>
          <w:szCs w:val="32"/>
          <w:shd w:val="clear" w:color="auto" w:fill="FFFFFF"/>
        </w:rPr>
      </w:pPr>
      <w:r>
        <w:rPr>
          <w:rFonts w:hint="eastAsia" w:eastAsia="仿宋_GB2312"/>
          <w:b/>
          <w:bCs/>
          <w:sz w:val="32"/>
          <w:szCs w:val="32"/>
          <w:shd w:val="clear" w:color="auto" w:fill="FFFFFF"/>
        </w:rPr>
        <w:t>2</w:t>
      </w:r>
      <w:r>
        <w:rPr>
          <w:rFonts w:hint="eastAsia" w:eastAsia="仿宋_GB2312"/>
          <w:b/>
          <w:bCs/>
          <w:sz w:val="32"/>
          <w:szCs w:val="32"/>
          <w:shd w:val="clear" w:color="auto" w:fill="FFFFFF"/>
          <w:lang w:eastAsia="zh-CN"/>
        </w:rPr>
        <w:t>、</w:t>
      </w:r>
      <w:r>
        <w:rPr>
          <w:rFonts w:hint="eastAsia" w:eastAsia="仿宋_GB2312"/>
          <w:b/>
          <w:bCs/>
          <w:sz w:val="32"/>
          <w:szCs w:val="32"/>
          <w:shd w:val="clear" w:color="auto" w:fill="FFFFFF"/>
        </w:rPr>
        <w:t>专项资金管理情况分析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spacing w:line="360" w:lineRule="auto"/>
        <w:ind w:firstLine="470" w:firstLineChars="147"/>
        <w:jc w:val="left"/>
        <w:textAlignment w:val="auto"/>
        <w:rPr>
          <w:rFonts w:hint="eastAsia" w:eastAsia="仿宋_GB2312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sz w:val="32"/>
          <w:szCs w:val="32"/>
          <w:shd w:val="clear" w:color="auto" w:fill="FFFFFF"/>
        </w:rPr>
        <w:t>严格按项目资金进行管理，执行相关财务支出管理制度，资金管理制度。加强项目资金专款专用管理，设立专账核算，各项目执行单位财务机构加强项目资金日常使用监督</w:t>
      </w:r>
      <w:r>
        <w:rPr>
          <w:rFonts w:hint="eastAsia" w:eastAsia="仿宋_GB2312"/>
          <w:sz w:val="32"/>
          <w:szCs w:val="32"/>
          <w:shd w:val="clear" w:color="auto" w:fill="FFFFFF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四</w:t>
      </w:r>
      <w:r>
        <w:rPr>
          <w:rFonts w:hint="default" w:ascii="Times New Roman" w:hAnsi="Times New Roman" w:eastAsia="黑体" w:cs="Times New Roman"/>
          <w:sz w:val="32"/>
          <w:szCs w:val="32"/>
        </w:rPr>
        <w:t>、部门整体支出绩效情况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adjustRightInd w:val="0"/>
        <w:snapToGrid w:val="0"/>
        <w:spacing w:line="360" w:lineRule="auto"/>
        <w:ind w:left="17" w:leftChars="8" w:firstLine="716" w:firstLineChars="223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28"/>
        </w:rPr>
        <w:t>1.部门整体收支情况：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adjustRightInd w:val="0"/>
        <w:snapToGrid w:val="0"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28"/>
        </w:rPr>
      </w:pPr>
      <w:r>
        <w:rPr>
          <w:rFonts w:hint="eastAsia" w:ascii="仿宋" w:hAnsi="仿宋" w:eastAsia="仿宋" w:cs="仿宋"/>
          <w:sz w:val="32"/>
          <w:szCs w:val="28"/>
        </w:rPr>
        <w:t>（1）收入情况：全年收入合计</w:t>
      </w:r>
      <w:r>
        <w:rPr>
          <w:rFonts w:hint="eastAsia" w:ascii="仿宋" w:hAnsi="仿宋" w:eastAsia="仿宋" w:cs="仿宋"/>
          <w:sz w:val="32"/>
          <w:szCs w:val="28"/>
          <w:lang w:val="en-US" w:eastAsia="zh-CN"/>
        </w:rPr>
        <w:t>995.3</w:t>
      </w:r>
      <w:r>
        <w:rPr>
          <w:rFonts w:hint="eastAsia" w:ascii="仿宋" w:hAnsi="仿宋" w:eastAsia="仿宋" w:cs="仿宋"/>
          <w:sz w:val="32"/>
          <w:szCs w:val="28"/>
        </w:rPr>
        <w:t>万元，其中：一般公共预算财政拨款收入</w:t>
      </w:r>
      <w:r>
        <w:rPr>
          <w:rFonts w:hint="eastAsia" w:ascii="仿宋" w:hAnsi="仿宋" w:eastAsia="仿宋" w:cs="仿宋"/>
          <w:sz w:val="32"/>
          <w:szCs w:val="28"/>
          <w:lang w:val="en-US" w:eastAsia="zh-CN"/>
        </w:rPr>
        <w:t>671.5</w:t>
      </w:r>
      <w:r>
        <w:rPr>
          <w:rFonts w:hint="eastAsia" w:ascii="仿宋" w:hAnsi="仿宋" w:eastAsia="仿宋" w:cs="仿宋"/>
          <w:sz w:val="32"/>
          <w:szCs w:val="28"/>
        </w:rPr>
        <w:t>万元，事业收入</w:t>
      </w:r>
      <w:r>
        <w:rPr>
          <w:rFonts w:hint="eastAsia" w:ascii="仿宋" w:hAnsi="仿宋" w:eastAsia="仿宋" w:cs="仿宋"/>
          <w:sz w:val="32"/>
          <w:szCs w:val="28"/>
          <w:lang w:val="en-US" w:eastAsia="zh-CN"/>
        </w:rPr>
        <w:t>323.8</w:t>
      </w:r>
      <w:r>
        <w:rPr>
          <w:rFonts w:hint="eastAsia" w:ascii="仿宋" w:hAnsi="仿宋" w:eastAsia="仿宋" w:cs="仿宋"/>
          <w:sz w:val="32"/>
          <w:szCs w:val="28"/>
        </w:rPr>
        <w:t>万元。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adjustRightInd w:val="0"/>
        <w:snapToGrid w:val="0"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28"/>
        </w:rPr>
      </w:pPr>
      <w:r>
        <w:rPr>
          <w:rFonts w:hint="eastAsia" w:ascii="仿宋" w:hAnsi="仿宋" w:eastAsia="仿宋" w:cs="仿宋"/>
          <w:sz w:val="32"/>
          <w:szCs w:val="28"/>
        </w:rPr>
        <w:t>（2）支出情况:全年支出合计</w:t>
      </w:r>
      <w:r>
        <w:rPr>
          <w:rFonts w:hint="eastAsia" w:ascii="仿宋" w:hAnsi="仿宋" w:eastAsia="仿宋" w:cs="仿宋"/>
          <w:sz w:val="32"/>
          <w:szCs w:val="28"/>
          <w:lang w:val="en-US" w:eastAsia="zh-CN"/>
        </w:rPr>
        <w:t>995.3</w:t>
      </w:r>
      <w:r>
        <w:rPr>
          <w:rFonts w:hint="eastAsia" w:ascii="仿宋" w:hAnsi="仿宋" w:eastAsia="仿宋" w:cs="仿宋"/>
          <w:sz w:val="32"/>
          <w:szCs w:val="28"/>
        </w:rPr>
        <w:t>万元，其中：基本支出</w:t>
      </w:r>
      <w:r>
        <w:rPr>
          <w:rFonts w:hint="eastAsia" w:ascii="仿宋" w:hAnsi="仿宋" w:eastAsia="仿宋" w:cs="仿宋"/>
          <w:sz w:val="32"/>
          <w:szCs w:val="28"/>
          <w:lang w:val="en-US" w:eastAsia="zh-CN"/>
        </w:rPr>
        <w:t>655.3</w:t>
      </w:r>
      <w:r>
        <w:rPr>
          <w:rFonts w:hint="eastAsia" w:ascii="仿宋" w:hAnsi="仿宋" w:eastAsia="仿宋" w:cs="仿宋"/>
          <w:sz w:val="32"/>
          <w:szCs w:val="28"/>
        </w:rPr>
        <w:t>万元（工资福利支出</w:t>
      </w:r>
      <w:r>
        <w:rPr>
          <w:rFonts w:hint="eastAsia" w:ascii="仿宋" w:hAnsi="仿宋" w:eastAsia="仿宋" w:cs="仿宋"/>
          <w:sz w:val="32"/>
          <w:szCs w:val="28"/>
          <w:lang w:val="en-US" w:eastAsia="zh-CN"/>
        </w:rPr>
        <w:t>306</w:t>
      </w:r>
      <w:r>
        <w:rPr>
          <w:rFonts w:hint="eastAsia" w:ascii="仿宋" w:hAnsi="仿宋" w:eastAsia="仿宋" w:cs="仿宋"/>
          <w:sz w:val="32"/>
          <w:szCs w:val="28"/>
        </w:rPr>
        <w:t>万元；商品和服务支出</w:t>
      </w:r>
      <w:r>
        <w:rPr>
          <w:rFonts w:hint="eastAsia" w:ascii="仿宋" w:hAnsi="仿宋" w:eastAsia="仿宋" w:cs="仿宋"/>
          <w:sz w:val="32"/>
          <w:szCs w:val="28"/>
          <w:lang w:val="en-US" w:eastAsia="zh-CN"/>
        </w:rPr>
        <w:t>349.3</w:t>
      </w:r>
      <w:r>
        <w:rPr>
          <w:rFonts w:hint="eastAsia" w:ascii="仿宋" w:hAnsi="仿宋" w:eastAsia="仿宋" w:cs="仿宋"/>
          <w:sz w:val="32"/>
          <w:szCs w:val="28"/>
        </w:rPr>
        <w:t>万元）。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adjustRightInd w:val="0"/>
        <w:snapToGrid w:val="0"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28"/>
        </w:rPr>
      </w:pPr>
      <w:r>
        <w:rPr>
          <w:rFonts w:hint="eastAsia" w:ascii="仿宋" w:hAnsi="仿宋" w:eastAsia="仿宋" w:cs="仿宋"/>
          <w:sz w:val="32"/>
          <w:szCs w:val="28"/>
        </w:rPr>
        <w:t>项目支出</w:t>
      </w:r>
      <w:r>
        <w:rPr>
          <w:rFonts w:hint="eastAsia" w:ascii="仿宋" w:hAnsi="仿宋" w:eastAsia="仿宋" w:cs="仿宋"/>
          <w:sz w:val="32"/>
          <w:szCs w:val="28"/>
          <w:lang w:val="en-US" w:eastAsia="zh-CN"/>
        </w:rPr>
        <w:t>340</w:t>
      </w:r>
      <w:r>
        <w:rPr>
          <w:rFonts w:hint="eastAsia" w:ascii="仿宋" w:hAnsi="仿宋" w:eastAsia="仿宋" w:cs="仿宋"/>
          <w:sz w:val="32"/>
          <w:szCs w:val="28"/>
        </w:rPr>
        <w:t>万元，主要是商品和服务</w:t>
      </w:r>
      <w:bookmarkStart w:id="0" w:name="_GoBack"/>
      <w:bookmarkEnd w:id="0"/>
      <w:r>
        <w:rPr>
          <w:rFonts w:hint="eastAsia" w:ascii="仿宋" w:hAnsi="仿宋" w:eastAsia="仿宋" w:cs="仿宋"/>
          <w:sz w:val="32"/>
          <w:szCs w:val="28"/>
        </w:rPr>
        <w:t>支出</w:t>
      </w:r>
      <w:r>
        <w:rPr>
          <w:rFonts w:hint="eastAsia" w:ascii="仿宋" w:hAnsi="仿宋" w:eastAsia="仿宋" w:cs="仿宋"/>
          <w:sz w:val="32"/>
          <w:szCs w:val="28"/>
          <w:lang w:val="en-US" w:eastAsia="zh-CN"/>
        </w:rPr>
        <w:t>340</w:t>
      </w:r>
      <w:r>
        <w:rPr>
          <w:rFonts w:hint="eastAsia" w:ascii="仿宋" w:hAnsi="仿宋" w:eastAsia="仿宋" w:cs="仿宋"/>
          <w:sz w:val="32"/>
          <w:szCs w:val="28"/>
        </w:rPr>
        <w:t>万元。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adjustRightInd w:val="0"/>
        <w:snapToGrid w:val="0"/>
        <w:spacing w:line="360" w:lineRule="auto"/>
        <w:ind w:firstLine="421" w:firstLineChars="131"/>
        <w:jc w:val="left"/>
        <w:textAlignment w:val="auto"/>
        <w:rPr>
          <w:rFonts w:hint="eastAsia" w:ascii="仿宋" w:hAnsi="仿宋" w:eastAsia="仿宋" w:cs="仿宋"/>
          <w:color w:val="000000"/>
          <w:sz w:val="32"/>
          <w:szCs w:val="28"/>
        </w:rPr>
      </w:pPr>
      <w:r>
        <w:rPr>
          <w:rFonts w:hint="eastAsia" w:ascii="仿宋_GB2312" w:hAnsi="宋体" w:eastAsia="仿宋_GB2312" w:cs="宋体"/>
          <w:b/>
          <w:bCs/>
          <w:sz w:val="32"/>
          <w:szCs w:val="28"/>
        </w:rPr>
        <w:t>2</w:t>
      </w:r>
      <w:r>
        <w:rPr>
          <w:rFonts w:hint="eastAsia" w:ascii="仿宋_GB2312" w:hAnsi="宋体" w:eastAsia="仿宋_GB2312" w:cs="宋体"/>
          <w:sz w:val="32"/>
          <w:szCs w:val="28"/>
        </w:rPr>
        <w:t>.</w:t>
      </w:r>
      <w:r>
        <w:rPr>
          <w:rFonts w:hint="eastAsia" w:ascii="仿宋_GB2312" w:hAnsi="宋体" w:eastAsia="仿宋_GB2312" w:cs="宋体"/>
          <w:b/>
          <w:bCs/>
          <w:sz w:val="32"/>
          <w:szCs w:val="28"/>
        </w:rPr>
        <w:t>三公经费支出情况：</w:t>
      </w:r>
      <w:r>
        <w:rPr>
          <w:rFonts w:hint="eastAsia" w:ascii="仿宋" w:hAnsi="仿宋" w:eastAsia="仿宋" w:cs="仿宋"/>
          <w:sz w:val="32"/>
          <w:szCs w:val="28"/>
        </w:rPr>
        <w:t>202</w:t>
      </w:r>
      <w:r>
        <w:rPr>
          <w:rFonts w:hint="eastAsia" w:ascii="仿宋" w:hAnsi="仿宋" w:eastAsia="仿宋" w:cs="仿宋"/>
          <w:sz w:val="32"/>
          <w:szCs w:val="28"/>
          <w:lang w:val="en-US" w:eastAsia="zh-CN"/>
        </w:rPr>
        <w:t>2</w:t>
      </w:r>
      <w:r>
        <w:rPr>
          <w:rFonts w:hint="eastAsia" w:ascii="仿宋" w:hAnsi="仿宋" w:eastAsia="仿宋" w:cs="仿宋"/>
          <w:sz w:val="32"/>
          <w:szCs w:val="28"/>
        </w:rPr>
        <w:t>年部门预算安排“三公”经费”</w:t>
      </w:r>
      <w:r>
        <w:rPr>
          <w:rFonts w:hint="eastAsia" w:ascii="仿宋" w:hAnsi="仿宋" w:eastAsia="仿宋" w:cs="仿宋"/>
          <w:sz w:val="24"/>
          <w:szCs w:val="24"/>
        </w:rPr>
        <w:t xml:space="preserve"> 0</w:t>
      </w:r>
      <w:r>
        <w:rPr>
          <w:rFonts w:hint="eastAsia" w:ascii="仿宋" w:hAnsi="仿宋" w:eastAsia="仿宋" w:cs="仿宋"/>
          <w:sz w:val="32"/>
          <w:szCs w:val="28"/>
        </w:rPr>
        <w:t>万元，实际支出0万元。其中公务用车运行维护0万元，公务接待费0万元。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adjustRightInd w:val="0"/>
        <w:snapToGrid w:val="0"/>
        <w:spacing w:line="360" w:lineRule="auto"/>
        <w:textAlignment w:val="auto"/>
        <w:rPr>
          <w:rFonts w:hint="eastAsia" w:ascii="仿宋_GB2312" w:hAnsi="仿宋_GB2312" w:eastAsia="仿宋_GB2312" w:cs="仿宋_GB2312"/>
          <w:sz w:val="32"/>
          <w:szCs w:val="28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 xml:space="preserve">  </w:t>
      </w:r>
      <w:r>
        <w:rPr>
          <w:rFonts w:hint="eastAsia" w:ascii="仿宋_GB2312" w:hAnsi="宋体" w:eastAsia="仿宋_GB2312" w:cs="宋体"/>
          <w:b/>
          <w:bCs/>
          <w:sz w:val="32"/>
          <w:szCs w:val="28"/>
        </w:rPr>
        <w:t>3.政府性基金预算财政拨款项目支出情况：</w:t>
      </w:r>
      <w:r>
        <w:rPr>
          <w:rFonts w:hint="eastAsia" w:ascii="仿宋" w:hAnsi="仿宋" w:eastAsia="仿宋" w:cs="仿宋"/>
          <w:b w:val="0"/>
          <w:bCs w:val="0"/>
          <w:sz w:val="32"/>
          <w:szCs w:val="28"/>
        </w:rPr>
        <w:t>2</w:t>
      </w:r>
      <w:r>
        <w:rPr>
          <w:rFonts w:hint="eastAsia" w:ascii="仿宋" w:hAnsi="仿宋" w:eastAsia="仿宋" w:cs="仿宋"/>
          <w:sz w:val="32"/>
          <w:szCs w:val="32"/>
        </w:rPr>
        <w:t>02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sz w:val="32"/>
          <w:szCs w:val="32"/>
        </w:rPr>
        <w:t>年华容县操军镇卫院没有</w:t>
      </w:r>
      <w:r>
        <w:rPr>
          <w:rFonts w:hint="eastAsia" w:ascii="仿宋" w:hAnsi="仿宋" w:eastAsia="仿宋" w:cs="仿宋"/>
          <w:sz w:val="32"/>
          <w:szCs w:val="28"/>
        </w:rPr>
        <w:t>政府性基金预算财政拨款项目收入和支出</w:t>
      </w:r>
      <w:r>
        <w:rPr>
          <w:rFonts w:hint="eastAsia" w:ascii="仿宋_GB2312" w:hAnsi="仿宋_GB2312" w:eastAsia="仿宋_GB2312" w:cs="仿宋_GB2312"/>
          <w:sz w:val="32"/>
          <w:szCs w:val="28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adjustRightInd w:val="0"/>
        <w:snapToGrid w:val="0"/>
        <w:spacing w:line="360" w:lineRule="auto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 xml:space="preserve">  4</w:t>
      </w:r>
      <w:r>
        <w:rPr>
          <w:rFonts w:hint="eastAsia" w:ascii="仿宋_GB2312" w:hAnsi="宋体" w:eastAsia="仿宋_GB2312" w:cs="宋体"/>
          <w:b/>
          <w:bCs/>
          <w:sz w:val="32"/>
          <w:szCs w:val="28"/>
        </w:rPr>
        <w:t>.部门整体绩效目标完成情况：</w:t>
      </w:r>
      <w:r>
        <w:rPr>
          <w:rFonts w:hint="eastAsia" w:ascii="仿宋" w:hAnsi="仿宋" w:eastAsia="仿宋" w:cs="仿宋"/>
          <w:sz w:val="32"/>
          <w:szCs w:val="32"/>
        </w:rPr>
        <w:t>202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sz w:val="32"/>
          <w:szCs w:val="32"/>
        </w:rPr>
        <w:t>年规范化居民电子健康档案已完成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32536</w:t>
      </w:r>
      <w:r>
        <w:rPr>
          <w:rFonts w:hint="eastAsia" w:ascii="仿宋" w:hAnsi="仿宋" w:eastAsia="仿宋" w:cs="仿宋"/>
          <w:sz w:val="32"/>
          <w:szCs w:val="32"/>
        </w:rPr>
        <w:t>份，建档率达92%；共完成接种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3800</w:t>
      </w:r>
      <w:r>
        <w:rPr>
          <w:rFonts w:hint="eastAsia" w:ascii="仿宋" w:hAnsi="仿宋" w:eastAsia="仿宋" w:cs="仿宋"/>
          <w:sz w:val="32"/>
          <w:szCs w:val="32"/>
        </w:rPr>
        <w:t>针次，其中卡介苗、乙肝疫苗、脊灰疫苗、麻疹疫苗、百白破、流脑、乙脑、甲肝等免疫规划疫苗接种率均达9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8</w:t>
      </w:r>
      <w:r>
        <w:rPr>
          <w:rFonts w:hint="eastAsia" w:ascii="仿宋" w:hAnsi="仿宋" w:eastAsia="仿宋" w:cs="仿宋"/>
          <w:sz w:val="32"/>
          <w:szCs w:val="32"/>
        </w:rPr>
        <w:t>%以上；0-6岁儿童健康管理人数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1394</w:t>
      </w:r>
      <w:r>
        <w:rPr>
          <w:rFonts w:hint="eastAsia" w:ascii="仿宋" w:hAnsi="仿宋" w:eastAsia="仿宋" w:cs="仿宋"/>
          <w:sz w:val="32"/>
          <w:szCs w:val="32"/>
        </w:rPr>
        <w:t>人，新生儿家庭访视率9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7</w:t>
      </w:r>
      <w:r>
        <w:rPr>
          <w:rFonts w:hint="eastAsia" w:ascii="仿宋" w:hAnsi="仿宋" w:eastAsia="仿宋" w:cs="仿宋"/>
          <w:sz w:val="32"/>
          <w:szCs w:val="32"/>
        </w:rPr>
        <w:t>.27%，儿童健康管理率94.43%；共管理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211</w:t>
      </w:r>
      <w:r>
        <w:rPr>
          <w:rFonts w:hint="eastAsia" w:ascii="仿宋" w:hAnsi="仿宋" w:eastAsia="仿宋" w:cs="仿宋"/>
          <w:sz w:val="32"/>
          <w:szCs w:val="32"/>
        </w:rPr>
        <w:t>例孕产妇，早孕建册率97.8%，产后访视率97.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8</w:t>
      </w:r>
      <w:r>
        <w:rPr>
          <w:rFonts w:hint="eastAsia" w:ascii="仿宋" w:hAnsi="仿宋" w:eastAsia="仿宋" w:cs="仿宋"/>
          <w:sz w:val="32"/>
          <w:szCs w:val="32"/>
        </w:rPr>
        <w:t>%；老年人健康管理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4633</w:t>
      </w:r>
      <w:r>
        <w:rPr>
          <w:rFonts w:hint="eastAsia" w:ascii="仿宋" w:hAnsi="仿宋" w:eastAsia="仿宋" w:cs="仿宋"/>
          <w:sz w:val="32"/>
          <w:szCs w:val="32"/>
        </w:rPr>
        <w:t>人，健康管理率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9</w:t>
      </w:r>
      <w:r>
        <w:rPr>
          <w:rFonts w:hint="eastAsia" w:ascii="仿宋" w:hAnsi="仿宋" w:eastAsia="仿宋" w:cs="仿宋"/>
          <w:sz w:val="32"/>
          <w:szCs w:val="32"/>
        </w:rPr>
        <w:t>0% ;糖尿病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1028</w:t>
      </w:r>
      <w:r>
        <w:rPr>
          <w:rFonts w:hint="eastAsia" w:ascii="仿宋" w:hAnsi="仿宋" w:eastAsia="仿宋" w:cs="仿宋"/>
          <w:sz w:val="32"/>
          <w:szCs w:val="32"/>
        </w:rPr>
        <w:t>人，规范管理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955</w:t>
      </w:r>
      <w:r>
        <w:rPr>
          <w:rFonts w:hint="eastAsia" w:ascii="仿宋" w:hAnsi="仿宋" w:eastAsia="仿宋" w:cs="仿宋"/>
          <w:sz w:val="32"/>
          <w:szCs w:val="32"/>
        </w:rPr>
        <w:t>人，规范管理率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92.89</w:t>
      </w:r>
      <w:r>
        <w:rPr>
          <w:rFonts w:hint="eastAsia" w:ascii="仿宋" w:hAnsi="仿宋" w:eastAsia="仿宋" w:cs="仿宋"/>
          <w:sz w:val="32"/>
          <w:szCs w:val="32"/>
        </w:rPr>
        <w:t>%；高血压管理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3313</w:t>
      </w:r>
      <w:r>
        <w:rPr>
          <w:rFonts w:hint="eastAsia" w:ascii="仿宋" w:hAnsi="仿宋" w:eastAsia="仿宋" w:cs="仿宋"/>
          <w:sz w:val="32"/>
          <w:szCs w:val="32"/>
        </w:rPr>
        <w:t>人,规范管理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2617</w:t>
      </w:r>
      <w:r>
        <w:rPr>
          <w:rFonts w:hint="eastAsia" w:ascii="仿宋" w:hAnsi="仿宋" w:eastAsia="仿宋" w:cs="仿宋"/>
          <w:sz w:val="32"/>
          <w:szCs w:val="32"/>
        </w:rPr>
        <w:t>人,规范管理率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78.99</w:t>
      </w:r>
      <w:r>
        <w:rPr>
          <w:rFonts w:hint="eastAsia" w:ascii="仿宋" w:hAnsi="仿宋" w:eastAsia="仿宋" w:cs="仿宋"/>
          <w:sz w:val="32"/>
          <w:szCs w:val="32"/>
        </w:rPr>
        <w:t>%；严重精神障碍患者健康管理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213</w:t>
      </w:r>
      <w:r>
        <w:rPr>
          <w:rFonts w:hint="eastAsia" w:ascii="仿宋" w:hAnsi="仿宋" w:eastAsia="仿宋" w:cs="仿宋"/>
          <w:sz w:val="32"/>
          <w:szCs w:val="32"/>
        </w:rPr>
        <w:t>人，规范管理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212</w:t>
      </w:r>
      <w:r>
        <w:rPr>
          <w:rFonts w:hint="eastAsia" w:ascii="仿宋" w:hAnsi="仿宋" w:eastAsia="仿宋" w:cs="仿宋"/>
          <w:sz w:val="32"/>
          <w:szCs w:val="32"/>
        </w:rPr>
        <w:t>人，规范管理率99.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sz w:val="32"/>
          <w:szCs w:val="32"/>
        </w:rPr>
        <w:t>%；肺结核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12</w:t>
      </w:r>
      <w:r>
        <w:rPr>
          <w:rFonts w:hint="eastAsia" w:ascii="仿宋" w:hAnsi="仿宋" w:eastAsia="仿宋" w:cs="仿宋"/>
          <w:sz w:val="32"/>
          <w:szCs w:val="32"/>
        </w:rPr>
        <w:t>人，已管理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12</w:t>
      </w:r>
      <w:r>
        <w:rPr>
          <w:rFonts w:hint="eastAsia" w:ascii="仿宋" w:hAnsi="仿宋" w:eastAsia="仿宋" w:cs="仿宋"/>
          <w:sz w:val="32"/>
          <w:szCs w:val="32"/>
        </w:rPr>
        <w:t>人，管理率100%，规范服药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12</w:t>
      </w:r>
      <w:r>
        <w:rPr>
          <w:rFonts w:hint="eastAsia" w:ascii="仿宋" w:hAnsi="仿宋" w:eastAsia="仿宋" w:cs="仿宋"/>
          <w:sz w:val="32"/>
          <w:szCs w:val="32"/>
        </w:rPr>
        <w:t>人，规范服药率100%；接受中医药健康管理服务老年人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3243</w:t>
      </w:r>
      <w:r>
        <w:rPr>
          <w:rFonts w:hint="eastAsia" w:ascii="仿宋" w:hAnsi="仿宋" w:eastAsia="仿宋" w:cs="仿宋"/>
          <w:sz w:val="32"/>
          <w:szCs w:val="32"/>
        </w:rPr>
        <w:t>人，老年人中医药健康管理率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70</w:t>
      </w:r>
      <w:r>
        <w:rPr>
          <w:rFonts w:hint="eastAsia" w:ascii="仿宋" w:hAnsi="仿宋" w:eastAsia="仿宋" w:cs="仿宋"/>
          <w:sz w:val="32"/>
          <w:szCs w:val="32"/>
        </w:rPr>
        <w:t>%，0-3岁儿童接受中医药健康管理服务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742</w:t>
      </w:r>
      <w:r>
        <w:rPr>
          <w:rFonts w:hint="eastAsia" w:ascii="仿宋" w:hAnsi="仿宋" w:eastAsia="仿宋" w:cs="仿宋"/>
          <w:sz w:val="32"/>
          <w:szCs w:val="32"/>
        </w:rPr>
        <w:t>人，儿童中医药健康管理服务率8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仿宋"/>
          <w:sz w:val="32"/>
          <w:szCs w:val="32"/>
        </w:rPr>
        <w:t>.99%；卫生院均实行了传染病和突发公共卫生事件预警应急机制，传染病疫情报告率100%，及时报告率100%；卫生计生监督协管信息报告率100%。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adjustRightInd w:val="0"/>
        <w:snapToGrid w:val="0"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全乡家庭医生团队7个累计签约人数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21220</w:t>
      </w:r>
      <w:r>
        <w:rPr>
          <w:rFonts w:hint="eastAsia" w:ascii="仿宋" w:hAnsi="仿宋" w:eastAsia="仿宋" w:cs="仿宋"/>
          <w:sz w:val="32"/>
          <w:szCs w:val="32"/>
        </w:rPr>
        <w:t>人，通过“卫宁家医平台”实现了应签尽签，签约率100%；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adjustRightInd w:val="0"/>
        <w:snapToGrid w:val="0"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202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sz w:val="32"/>
          <w:szCs w:val="32"/>
        </w:rPr>
        <w:t>年共发放健康教育应刷资料种类24种,发放健康教育印刷资料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sz w:val="32"/>
          <w:szCs w:val="32"/>
        </w:rPr>
        <w:t>6000本,设置4个健康教育宣传栏,健康教育宣传栏内容更新次数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</w:t>
      </w:r>
      <w:r>
        <w:rPr>
          <w:rFonts w:hint="eastAsia" w:ascii="仿宋" w:hAnsi="仿宋" w:eastAsia="仿宋" w:cs="仿宋"/>
          <w:sz w:val="32"/>
          <w:szCs w:val="32"/>
        </w:rPr>
        <w:t xml:space="preserve">次；共举办12次健康教育讲座, 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25</w:t>
      </w:r>
      <w:r>
        <w:rPr>
          <w:rFonts w:hint="eastAsia" w:ascii="仿宋" w:hAnsi="仿宋" w:eastAsia="仿宋" w:cs="仿宋"/>
          <w:sz w:val="32"/>
          <w:szCs w:val="32"/>
        </w:rPr>
        <w:t>60人参加健康教育讲座,共举办健康教育咨询活动9次,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3740</w:t>
      </w:r>
      <w:r>
        <w:rPr>
          <w:rFonts w:hint="eastAsia" w:ascii="仿宋" w:hAnsi="仿宋" w:eastAsia="仿宋" w:cs="仿宋"/>
          <w:sz w:val="32"/>
          <w:szCs w:val="32"/>
        </w:rPr>
        <w:t>人参加健康教育咨询;健康教育知识全面普及，人民群众健康意识普遍增强，群众满意度达9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</w:t>
      </w:r>
      <w:r>
        <w:rPr>
          <w:rFonts w:hint="eastAsia" w:ascii="仿宋" w:hAnsi="仿宋" w:eastAsia="仿宋" w:cs="仿宋"/>
          <w:sz w:val="32"/>
          <w:szCs w:val="32"/>
        </w:rPr>
        <w:t>%以上。</w:t>
      </w:r>
    </w:p>
    <w:p>
      <w:pPr>
        <w:pStyle w:val="1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ascii="Times New Roman" w:hAnsi="Times New Roman" w:eastAsia="黑体" w:cs="Times New Roman"/>
          <w:sz w:val="32"/>
          <w:szCs w:val="32"/>
          <w:lang w:eastAsia="zh-CN"/>
        </w:rPr>
        <w:t>五</w:t>
      </w:r>
      <w:r>
        <w:rPr>
          <w:rFonts w:hint="default" w:ascii="Times New Roman" w:hAnsi="Times New Roman" w:eastAsia="黑体" w:cs="Times New Roman"/>
          <w:sz w:val="32"/>
          <w:szCs w:val="32"/>
        </w:rPr>
        <w:t>、存在的问题及原因分析</w:t>
      </w:r>
    </w:p>
    <w:p>
      <w:pPr>
        <w:keepNext w:val="0"/>
        <w:keepLines w:val="0"/>
        <w:pageBreakBefore w:val="0"/>
        <w:tabs>
          <w:tab w:val="center" w:pos="4153"/>
        </w:tabs>
        <w:kinsoku/>
        <w:wordWrap/>
        <w:overflowPunct/>
        <w:topLinePunct w:val="0"/>
        <w:autoSpaceDE/>
        <w:bidi w:val="0"/>
        <w:spacing w:line="360" w:lineRule="auto"/>
        <w:ind w:firstLine="640" w:firstLineChars="200"/>
        <w:jc w:val="left"/>
        <w:textAlignment w:val="auto"/>
        <w:rPr>
          <w:rFonts w:hint="eastAsia" w:ascii="仿宋" w:hAnsi="仿宋" w:eastAsia="仿宋" w:cs="仿宋"/>
          <w:bCs/>
          <w:sz w:val="32"/>
          <w:szCs w:val="32"/>
        </w:rPr>
      </w:pPr>
      <w:r>
        <w:rPr>
          <w:rFonts w:hint="eastAsia" w:ascii="仿宋" w:hAnsi="仿宋" w:eastAsia="仿宋" w:cs="仿宋"/>
          <w:bCs/>
          <w:sz w:val="32"/>
          <w:szCs w:val="32"/>
        </w:rPr>
        <w:t>1、预算编制有待更严格执行。预算编制与实际支出项目有的存在差异。</w:t>
      </w:r>
      <w:r>
        <w:rPr>
          <w:rFonts w:hint="eastAsia" w:ascii="仿宋" w:hAnsi="仿宋" w:eastAsia="仿宋" w:cs="仿宋"/>
          <w:sz w:val="32"/>
          <w:szCs w:val="32"/>
        </w:rPr>
        <w:t>有些工作未能找到适当的量化方式，对绩效管理量化评价方面略显不足。通过县财政局组织的预算绩效管理培训，逐步找到适合的方法对本单位的工作进行合理的分类量化，以便适应将来的预算绩效管理工作。</w:t>
      </w:r>
    </w:p>
    <w:p>
      <w:pPr>
        <w:keepNext w:val="0"/>
        <w:keepLines w:val="0"/>
        <w:pageBreakBefore w:val="0"/>
        <w:tabs>
          <w:tab w:val="center" w:pos="4153"/>
        </w:tabs>
        <w:kinsoku/>
        <w:wordWrap/>
        <w:overflowPunct/>
        <w:topLinePunct w:val="0"/>
        <w:autoSpaceDE/>
        <w:bidi w:val="0"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bCs/>
          <w:sz w:val="32"/>
          <w:szCs w:val="32"/>
        </w:rPr>
      </w:pPr>
      <w:r>
        <w:rPr>
          <w:rFonts w:hint="eastAsia" w:ascii="仿宋" w:hAnsi="仿宋" w:eastAsia="仿宋" w:cs="仿宋"/>
          <w:bCs/>
          <w:sz w:val="32"/>
          <w:szCs w:val="32"/>
        </w:rPr>
        <w:t>2、</w:t>
      </w:r>
      <w:r>
        <w:rPr>
          <w:rFonts w:hint="eastAsia" w:ascii="仿宋" w:hAnsi="仿宋" w:eastAsia="仿宋" w:cs="仿宋"/>
          <w:sz w:val="32"/>
          <w:szCs w:val="32"/>
        </w:rPr>
        <w:t>加强对卫生院基础设施及能力建设，抓好医疗质量安全、医疗纠纷第三方调解机制、医疗机构布局、医疗废物集中处置等工作</w:t>
      </w:r>
      <w:r>
        <w:rPr>
          <w:rFonts w:hint="eastAsia" w:ascii="仿宋" w:hAnsi="仿宋" w:eastAsia="仿宋" w:cs="仿宋"/>
          <w:bCs/>
          <w:sz w:val="32"/>
          <w:szCs w:val="32"/>
        </w:rPr>
        <w:t>。</w:t>
      </w:r>
    </w:p>
    <w:p>
      <w:pPr>
        <w:keepNext w:val="0"/>
        <w:keepLines w:val="0"/>
        <w:pageBreakBefore w:val="0"/>
        <w:tabs>
          <w:tab w:val="center" w:pos="4153"/>
        </w:tabs>
        <w:kinsoku/>
        <w:wordWrap/>
        <w:overflowPunct/>
        <w:topLinePunct w:val="0"/>
        <w:autoSpaceDE/>
        <w:bidi w:val="0"/>
        <w:spacing w:line="360" w:lineRule="auto"/>
        <w:ind w:firstLine="643" w:firstLineChars="200"/>
        <w:textAlignment w:val="auto"/>
        <w:rPr>
          <w:rFonts w:hint="eastAsia" w:ascii="黑体" w:hAnsi="宋体" w:eastAsia="黑体" w:cs="宋体"/>
          <w:sz w:val="32"/>
          <w:szCs w:val="32"/>
        </w:rPr>
      </w:pPr>
      <w:r>
        <w:rPr>
          <w:rFonts w:hint="eastAsia" w:ascii="黑体" w:hAnsi="宋体" w:eastAsia="黑体" w:cs="宋体"/>
          <w:b/>
          <w:sz w:val="32"/>
          <w:szCs w:val="32"/>
        </w:rPr>
        <w:t>（</w:t>
      </w:r>
      <w:r>
        <w:rPr>
          <w:rFonts w:hint="eastAsia" w:ascii="黑体" w:hAnsi="宋体" w:eastAsia="黑体" w:cs="宋体"/>
          <w:sz w:val="32"/>
          <w:szCs w:val="32"/>
        </w:rPr>
        <w:t>二）、工作建议</w:t>
      </w:r>
    </w:p>
    <w:p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bidi w:val="0"/>
        <w:adjustRightInd w:val="0"/>
        <w:snapToGrid w:val="0"/>
        <w:spacing w:before="0" w:beforeAutospacing="0" w:afterAutospacing="0" w:line="360" w:lineRule="auto"/>
        <w:ind w:firstLine="643" w:firstLineChars="200"/>
        <w:textAlignment w:val="auto"/>
        <w:rPr>
          <w:rFonts w:hint="eastAsia" w:eastAsia="仿宋_GB2312"/>
          <w:kern w:val="2"/>
          <w:sz w:val="32"/>
          <w:szCs w:val="32"/>
        </w:rPr>
      </w:pPr>
      <w:r>
        <w:rPr>
          <w:rFonts w:hint="eastAsia" w:eastAsia="仿宋_GB2312"/>
          <w:b/>
          <w:bCs/>
          <w:kern w:val="2"/>
          <w:sz w:val="32"/>
          <w:szCs w:val="32"/>
        </w:rPr>
        <w:t>1.强化宣传</w:t>
      </w:r>
      <w:r>
        <w:rPr>
          <w:rFonts w:hint="eastAsia" w:eastAsia="仿宋_GB2312"/>
          <w:kern w:val="2"/>
          <w:sz w:val="32"/>
          <w:szCs w:val="32"/>
        </w:rPr>
        <w:t>。</w:t>
      </w:r>
      <w:r>
        <w:rPr>
          <w:rFonts w:hint="eastAsia" w:ascii="仿宋" w:hAnsi="仿宋" w:eastAsia="仿宋" w:cs="仿宋"/>
          <w:kern w:val="2"/>
          <w:sz w:val="32"/>
          <w:szCs w:val="32"/>
        </w:rPr>
        <w:t>进一步加大宣传力度，让广大城乡居民更全面了解项目的益处，提高群众知晓率，鼓励群众积极参与，自愿配合医疗卫生服务工作的开展。</w:t>
      </w:r>
    </w:p>
    <w:p>
      <w:pPr>
        <w:keepNext w:val="0"/>
        <w:keepLines w:val="0"/>
        <w:pageBreakBefore w:val="0"/>
        <w:tabs>
          <w:tab w:val="center" w:pos="4153"/>
        </w:tabs>
        <w:kinsoku/>
        <w:wordWrap/>
        <w:overflowPunct/>
        <w:topLinePunct w:val="0"/>
        <w:autoSpaceDE/>
        <w:bidi w:val="0"/>
        <w:spacing w:line="360" w:lineRule="auto"/>
        <w:ind w:firstLine="630"/>
        <w:jc w:val="left"/>
        <w:textAlignment w:val="auto"/>
        <w:rPr>
          <w:rFonts w:hint="eastAsia" w:ascii="仿宋_GB2312" w:hAnsi="宋体" w:eastAsia="仿宋_GB2312" w:cs="宋体"/>
          <w:b/>
          <w:sz w:val="32"/>
          <w:szCs w:val="32"/>
        </w:rPr>
      </w:pPr>
      <w:r>
        <w:rPr>
          <w:rFonts w:hint="eastAsia" w:ascii="宋体" w:hAnsi="宋体" w:cs="宋体"/>
          <w:b/>
          <w:sz w:val="32"/>
          <w:szCs w:val="32"/>
        </w:rPr>
        <w:t>2.严格审核。</w:t>
      </w:r>
      <w:r>
        <w:rPr>
          <w:rFonts w:hint="eastAsia" w:ascii="仿宋" w:hAnsi="仿宋" w:eastAsia="仿宋" w:cs="仿宋"/>
          <w:sz w:val="32"/>
          <w:szCs w:val="32"/>
        </w:rPr>
        <w:t>按照预算规定的项目和用途严格财务审核，经费支出严格按预算规定项目的财务支出内容进行财务核算，在预算金额内严格控制费用的支出。</w:t>
      </w:r>
    </w:p>
    <w:p>
      <w:pPr>
        <w:keepNext w:val="0"/>
        <w:keepLines w:val="0"/>
        <w:pageBreakBefore w:val="0"/>
        <w:tabs>
          <w:tab w:val="center" w:pos="4153"/>
        </w:tabs>
        <w:kinsoku/>
        <w:wordWrap/>
        <w:overflowPunct/>
        <w:topLinePunct w:val="0"/>
        <w:autoSpaceDE/>
        <w:bidi w:val="0"/>
        <w:spacing w:line="360" w:lineRule="auto"/>
        <w:ind w:firstLine="645"/>
        <w:jc w:val="left"/>
        <w:textAlignment w:val="auto"/>
        <w:rPr>
          <w:rFonts w:hint="eastAsia" w:ascii="仿宋_GB2312" w:hAnsi="宋体" w:eastAsia="仿宋_GB2312" w:cs="宋体"/>
          <w:sz w:val="32"/>
          <w:szCs w:val="32"/>
          <w:shd w:val="clear" w:color="auto" w:fill="FFFFFF"/>
        </w:rPr>
      </w:pPr>
      <w:r>
        <w:rPr>
          <w:rFonts w:hint="eastAsia" w:ascii="宋体" w:hAnsi="宋体" w:cs="宋体"/>
          <w:b/>
          <w:sz w:val="32"/>
          <w:szCs w:val="32"/>
        </w:rPr>
        <w:t>3.分析常态化。</w:t>
      </w:r>
      <w:r>
        <w:rPr>
          <w:rFonts w:hint="eastAsia" w:ascii="仿宋" w:hAnsi="仿宋" w:eastAsia="仿宋" w:cs="仿宋"/>
          <w:sz w:val="32"/>
          <w:szCs w:val="32"/>
          <w:shd w:val="clear" w:color="auto" w:fill="FFFFFF"/>
        </w:rPr>
        <w:t>将预算财务分析常态化，定期做好预算支出财务分析，做好医院整体支出预算评价工作。</w:t>
      </w:r>
    </w:p>
    <w:p>
      <w:pPr>
        <w:keepNext w:val="0"/>
        <w:keepLines w:val="0"/>
        <w:pageBreakBefore w:val="0"/>
        <w:tabs>
          <w:tab w:val="center" w:pos="4153"/>
        </w:tabs>
        <w:kinsoku/>
        <w:wordWrap/>
        <w:overflowPunct/>
        <w:topLinePunct w:val="0"/>
        <w:autoSpaceDE/>
        <w:bidi w:val="0"/>
        <w:spacing w:line="360" w:lineRule="auto"/>
        <w:ind w:firstLine="645"/>
        <w:jc w:val="left"/>
        <w:textAlignment w:val="auto"/>
        <w:rPr>
          <w:rFonts w:hint="eastAsia" w:ascii="宋体" w:hAnsi="宋体" w:cs="宋体"/>
          <w:bCs/>
          <w:sz w:val="32"/>
          <w:szCs w:val="32"/>
        </w:rPr>
      </w:pPr>
      <w:r>
        <w:rPr>
          <w:rFonts w:hint="eastAsia" w:ascii="宋体" w:hAnsi="宋体" w:cs="宋体"/>
          <w:b/>
          <w:sz w:val="32"/>
          <w:szCs w:val="32"/>
        </w:rPr>
        <w:t>4.强化信息公开。</w:t>
      </w:r>
      <w:r>
        <w:rPr>
          <w:rFonts w:hint="eastAsia" w:ascii="仿宋" w:hAnsi="仿宋" w:eastAsia="仿宋" w:cs="仿宋"/>
          <w:sz w:val="32"/>
          <w:szCs w:val="32"/>
        </w:rPr>
        <w:t>积极宣传和引导居民群众对医疗卫生服务的认知度和信任度，激发公众的参与度，从而积极献计献策、监督政府职能部门的各项工作</w:t>
      </w:r>
      <w:r>
        <w:rPr>
          <w:rFonts w:hint="eastAsia" w:eastAsia="仿宋_GB2312"/>
          <w:sz w:val="32"/>
          <w:szCs w:val="32"/>
        </w:rPr>
        <w:t>。</w:t>
      </w:r>
      <w:r>
        <w:rPr>
          <w:rFonts w:hint="eastAsia" w:ascii="宋体" w:hAnsi="宋体" w:cs="宋体"/>
          <w:bCs/>
          <w:spacing w:val="-6"/>
          <w:sz w:val="32"/>
          <w:szCs w:val="32"/>
        </w:rPr>
        <w:t xml:space="preserve"> </w:t>
      </w:r>
    </w:p>
    <w:p>
      <w:pPr>
        <w:keepNext w:val="0"/>
        <w:keepLines w:val="0"/>
        <w:pageBreakBefore w:val="0"/>
        <w:tabs>
          <w:tab w:val="center" w:pos="4153"/>
        </w:tabs>
        <w:kinsoku/>
        <w:wordWrap/>
        <w:overflowPunct/>
        <w:topLinePunct w:val="0"/>
        <w:autoSpaceDE/>
        <w:bidi w:val="0"/>
        <w:spacing w:line="360" w:lineRule="auto"/>
        <w:ind w:firstLine="643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宋体" w:hAnsi="宋体" w:cs="宋体"/>
          <w:b/>
          <w:kern w:val="0"/>
          <w:sz w:val="32"/>
          <w:szCs w:val="32"/>
          <w:lang w:bidi="ar"/>
        </w:rPr>
        <w:t>5.加大人才培养。</w:t>
      </w:r>
      <w:r>
        <w:rPr>
          <w:rFonts w:hint="eastAsia" w:ascii="仿宋" w:hAnsi="仿宋" w:eastAsia="仿宋" w:cs="仿宋"/>
          <w:sz w:val="32"/>
          <w:szCs w:val="32"/>
        </w:rPr>
        <w:t>由于基层医疗卫生机构医护人员总量不足且青黄不接的问题，希望财政能加大对医疗卫生本土化人才培养的投入，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bidi w:val="0"/>
        <w:spacing w:line="360" w:lineRule="auto"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宋体" w:hAnsi="宋体" w:cs="宋体"/>
          <w:b/>
          <w:sz w:val="32"/>
          <w:szCs w:val="32"/>
          <w:lang w:bidi="ar"/>
        </w:rPr>
        <w:t>6.增强投入。</w:t>
      </w:r>
      <w:r>
        <w:rPr>
          <w:rFonts w:hint="eastAsia" w:ascii="仿宋" w:hAnsi="仿宋" w:eastAsia="仿宋" w:cs="仿宋"/>
          <w:sz w:val="32"/>
          <w:szCs w:val="32"/>
        </w:rPr>
        <w:t>疾病预防控制中相关经费短缺，预防性健康体检经费，疫情防控经费，建设等项目需要增强投入和建设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六</w:t>
      </w:r>
      <w:r>
        <w:rPr>
          <w:rFonts w:hint="default" w:ascii="Times New Roman" w:hAnsi="Times New Roman" w:eastAsia="黑体" w:cs="Times New Roman"/>
          <w:sz w:val="32"/>
          <w:szCs w:val="32"/>
        </w:rPr>
        <w:t>、下一步改进措施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bidi w:val="0"/>
        <w:spacing w:line="360" w:lineRule="auto"/>
        <w:ind w:firstLine="640" w:firstLineChars="200"/>
        <w:textAlignment w:val="auto"/>
        <w:rPr>
          <w:rFonts w:hint="default"/>
        </w:rPr>
      </w:pPr>
      <w:r>
        <w:rPr>
          <w:rFonts w:hint="eastAsia" w:ascii="仿宋" w:hAnsi="仿宋" w:eastAsia="仿宋" w:cs="仿宋"/>
          <w:sz w:val="32"/>
          <w:szCs w:val="32"/>
        </w:rPr>
        <w:t>根据考核评分细则，按照部门整体支出绩效评价指标体系对照，打分得出我院自评结果为95分，等级为优秀。考评认为华容县操军镇卫生院2021年整体支出，我院严格执行《国家基本公共卫生服务规范》为辖区内群众提供基本公共卫生服务，并认真执行财务制度，加强资金管理。严抓基本公共卫生服务项目工作，充分调动全院职工及辖区内乡村医生的工作积极性和主动性。始终把医疗质量与医疗安全放在首位，不断强化医疗质量管理，合理应用抗菌药物，提高医疗服务水平，为辖区群众提供优质、便捷、安全的医疗卫生服务。我院将在规定时间将考评结果在单位门户网与政务网上</w:t>
      </w:r>
      <w:r>
        <w:rPr>
          <w:rFonts w:hint="eastAsia" w:ascii="仿宋" w:hAnsi="仿宋" w:eastAsia="仿宋" w:cs="仿宋"/>
          <w:sz w:val="32"/>
          <w:szCs w:val="32"/>
          <w:shd w:val="clear" w:color="auto" w:fill="FFFFFF"/>
        </w:rPr>
        <w:t>进行公开</w:t>
      </w:r>
      <w:r>
        <w:rPr>
          <w:rFonts w:hint="eastAsia" w:ascii="仿宋_GB2312" w:hAnsi="宋体" w:eastAsia="仿宋_GB2312" w:cs="宋体"/>
          <w:sz w:val="32"/>
          <w:szCs w:val="32"/>
          <w:shd w:val="clear" w:color="auto" w:fill="FFFFFF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七</w:t>
      </w:r>
      <w:r>
        <w:rPr>
          <w:rFonts w:hint="default" w:ascii="Times New Roman" w:hAnsi="Times New Roman" w:eastAsia="黑体" w:cs="Times New Roman"/>
          <w:sz w:val="32"/>
          <w:szCs w:val="32"/>
        </w:rPr>
        <w:t>、其他需要说明的情况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bidi w:val="0"/>
        <w:spacing w:line="360" w:lineRule="auto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无</w:t>
      </w:r>
    </w:p>
    <w:sectPr>
      <w:pgSz w:w="11906" w:h="16838"/>
      <w:pgMar w:top="1984" w:right="1701" w:bottom="1984" w:left="170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5717448-090E-464E-B048-C1C57161FB62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17DDA9C5-65F2-408D-A847-E9132A3D8DF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54A7431C-E129-40F8-A934-299EE4DE4745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24AC9123-88EE-4889-B9AD-58CFAC08706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92B78101-4074-44DC-9932-37C31D5BBC0A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9DD62F77-330A-49F7-A3A9-0156AC3C1D73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DDCB8E49-2F4E-426B-A737-941B22523ED2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378B48E4-6F19-4575-ABFA-E2A4E9FAC7EF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E7FA03A0-2E25-4F92-8041-284AEA0FD78E}"/>
  </w:font>
  <w:font w:name="华文楷体">
    <w:altName w:val="楷体_GB2312"/>
    <w:panose1 w:val="00000000000000000000"/>
    <w:charset w:val="86"/>
    <w:family w:val="auto"/>
    <w:pitch w:val="default"/>
    <w:sig w:usb0="00000000" w:usb1="00000000" w:usb2="00000010" w:usb3="00000000" w:csb0="0004009F" w:csb1="00000000"/>
  </w:font>
  <w:font w:name="方正小标宋简体">
    <w:altName w:val="仿宋_GB2312"/>
    <w:panose1 w:val="02010601030101010101"/>
    <w:charset w:val="86"/>
    <w:family w:val="auto"/>
    <w:pitch w:val="default"/>
    <w:sig w:usb0="00000000" w:usb1="00000000" w:usb2="00000000" w:usb3="00000000" w:csb0="00040000" w:csb1="00000000"/>
    <w:embedRegular r:id="rId10" w:fontKey="{49E8B143-B775-4CAC-A59F-EB52D86277F4}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  <w:embedRegular r:id="rId11" w:fontKey="{B8774D37-96E3-470C-A1CC-DBA3EAA37713}"/>
  </w:font>
  <w:font w:name="方正小标">
    <w:altName w:val="宋体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2" w:fontKey="{689239E0-6B6A-48AD-B42E-80CD3EB98C5C}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  <w:embedRegular r:id="rId13" w:fontKey="{847E0A19-0933-4979-9577-F2F591DC52B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rFonts w:ascii="仿宋_GB2312" w:eastAsia="仿宋_GB2312"/>
        <w:sz w:val="28"/>
        <w:szCs w:val="28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4"/>
                            <w:jc w:val="right"/>
                          </w:pP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  <w:lang w:val="zh-CN"/>
                            </w:rPr>
                            <w:t>1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jHpww4AgAAb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mMenDD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jc w:val="right"/>
                    </w:pP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  <w:lang w:val="zh-CN"/>
                      </w:rPr>
                      <w:t>1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0F39C4"/>
    <w:multiLevelType w:val="singleLevel"/>
    <w:tmpl w:val="B80F39C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9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U3ODQ1NWZkYjJhMjJlZGQ5NjdmMjQ4ZDkxNTRjODMifQ=="/>
  </w:docVars>
  <w:rsids>
    <w:rsidRoot w:val="0CCB7736"/>
    <w:rsid w:val="00047FEF"/>
    <w:rsid w:val="000A3906"/>
    <w:rsid w:val="001776F1"/>
    <w:rsid w:val="006F0A16"/>
    <w:rsid w:val="00773328"/>
    <w:rsid w:val="00821883"/>
    <w:rsid w:val="00917857"/>
    <w:rsid w:val="00A755C2"/>
    <w:rsid w:val="016A347B"/>
    <w:rsid w:val="02B50488"/>
    <w:rsid w:val="0338470A"/>
    <w:rsid w:val="034822A9"/>
    <w:rsid w:val="03D86621"/>
    <w:rsid w:val="04EE6171"/>
    <w:rsid w:val="05395EA9"/>
    <w:rsid w:val="05EB38C2"/>
    <w:rsid w:val="0ABD557B"/>
    <w:rsid w:val="0BBB5A8D"/>
    <w:rsid w:val="0C104906"/>
    <w:rsid w:val="0CCB7736"/>
    <w:rsid w:val="0D9E0E8D"/>
    <w:rsid w:val="0E83577D"/>
    <w:rsid w:val="0EAB7397"/>
    <w:rsid w:val="0EF755B3"/>
    <w:rsid w:val="0F17035E"/>
    <w:rsid w:val="0F4E168D"/>
    <w:rsid w:val="11404466"/>
    <w:rsid w:val="11963ADD"/>
    <w:rsid w:val="11EB0F5C"/>
    <w:rsid w:val="11F20483"/>
    <w:rsid w:val="136F31F8"/>
    <w:rsid w:val="138750E0"/>
    <w:rsid w:val="15A620D3"/>
    <w:rsid w:val="16A3369E"/>
    <w:rsid w:val="178536BD"/>
    <w:rsid w:val="17EA3485"/>
    <w:rsid w:val="19516372"/>
    <w:rsid w:val="19575CC2"/>
    <w:rsid w:val="19A80228"/>
    <w:rsid w:val="1A101464"/>
    <w:rsid w:val="1AB74849"/>
    <w:rsid w:val="1AC52FF2"/>
    <w:rsid w:val="1AE6175D"/>
    <w:rsid w:val="1B742AA7"/>
    <w:rsid w:val="1CA34935"/>
    <w:rsid w:val="1CFC7C78"/>
    <w:rsid w:val="1D5A640E"/>
    <w:rsid w:val="1F7640EC"/>
    <w:rsid w:val="204E6A0D"/>
    <w:rsid w:val="20D76C5F"/>
    <w:rsid w:val="21057490"/>
    <w:rsid w:val="214A230E"/>
    <w:rsid w:val="21B052C4"/>
    <w:rsid w:val="22FF5445"/>
    <w:rsid w:val="238D0E57"/>
    <w:rsid w:val="24256710"/>
    <w:rsid w:val="251E7983"/>
    <w:rsid w:val="260D5D83"/>
    <w:rsid w:val="271E58A5"/>
    <w:rsid w:val="284A2254"/>
    <w:rsid w:val="292F1467"/>
    <w:rsid w:val="29324F17"/>
    <w:rsid w:val="29786927"/>
    <w:rsid w:val="297B51B4"/>
    <w:rsid w:val="29E40467"/>
    <w:rsid w:val="29F527E2"/>
    <w:rsid w:val="2BF35971"/>
    <w:rsid w:val="2C487650"/>
    <w:rsid w:val="2E4F43C0"/>
    <w:rsid w:val="2EC7368E"/>
    <w:rsid w:val="2EF3008A"/>
    <w:rsid w:val="30FB4B41"/>
    <w:rsid w:val="31621165"/>
    <w:rsid w:val="323C5548"/>
    <w:rsid w:val="330D3AE3"/>
    <w:rsid w:val="37450F88"/>
    <w:rsid w:val="37D6106F"/>
    <w:rsid w:val="38F862EB"/>
    <w:rsid w:val="39343807"/>
    <w:rsid w:val="39887BBC"/>
    <w:rsid w:val="3A53023B"/>
    <w:rsid w:val="3AF42D2D"/>
    <w:rsid w:val="3B3A041F"/>
    <w:rsid w:val="3BAE6BF9"/>
    <w:rsid w:val="3CCA47F2"/>
    <w:rsid w:val="3CDE0708"/>
    <w:rsid w:val="3D075F72"/>
    <w:rsid w:val="3D5877DF"/>
    <w:rsid w:val="3DC55CAA"/>
    <w:rsid w:val="3DD556CA"/>
    <w:rsid w:val="3F450429"/>
    <w:rsid w:val="40226C80"/>
    <w:rsid w:val="40C451A5"/>
    <w:rsid w:val="4156470B"/>
    <w:rsid w:val="41943ACE"/>
    <w:rsid w:val="425D4066"/>
    <w:rsid w:val="43173FD4"/>
    <w:rsid w:val="44143822"/>
    <w:rsid w:val="44654A12"/>
    <w:rsid w:val="457C5F26"/>
    <w:rsid w:val="49CF255F"/>
    <w:rsid w:val="4B2C5DCD"/>
    <w:rsid w:val="4B7D1173"/>
    <w:rsid w:val="4C150E22"/>
    <w:rsid w:val="4C1A4A51"/>
    <w:rsid w:val="4C6A38FC"/>
    <w:rsid w:val="4CE74BC3"/>
    <w:rsid w:val="4CF5000E"/>
    <w:rsid w:val="4DB17672"/>
    <w:rsid w:val="50AC44C4"/>
    <w:rsid w:val="50EA6DB9"/>
    <w:rsid w:val="51CA7471"/>
    <w:rsid w:val="521C2FA3"/>
    <w:rsid w:val="522529B2"/>
    <w:rsid w:val="53910AF4"/>
    <w:rsid w:val="555952B3"/>
    <w:rsid w:val="556B5A36"/>
    <w:rsid w:val="55AF40BB"/>
    <w:rsid w:val="56F72F7C"/>
    <w:rsid w:val="586243BF"/>
    <w:rsid w:val="58FD3402"/>
    <w:rsid w:val="5AAF7799"/>
    <w:rsid w:val="5B5C1753"/>
    <w:rsid w:val="5E134100"/>
    <w:rsid w:val="5E1629CC"/>
    <w:rsid w:val="5F7A1C50"/>
    <w:rsid w:val="601C4AB5"/>
    <w:rsid w:val="60BE691E"/>
    <w:rsid w:val="61444403"/>
    <w:rsid w:val="62265BDF"/>
    <w:rsid w:val="62E1699A"/>
    <w:rsid w:val="637D7716"/>
    <w:rsid w:val="64147F0D"/>
    <w:rsid w:val="64D66362"/>
    <w:rsid w:val="65860217"/>
    <w:rsid w:val="667E0AA1"/>
    <w:rsid w:val="68E97798"/>
    <w:rsid w:val="68FB17C3"/>
    <w:rsid w:val="695F12F9"/>
    <w:rsid w:val="69636C3A"/>
    <w:rsid w:val="69CF7B2C"/>
    <w:rsid w:val="6A0B0004"/>
    <w:rsid w:val="6BA1010E"/>
    <w:rsid w:val="6CE47E41"/>
    <w:rsid w:val="6CED5810"/>
    <w:rsid w:val="6CF92413"/>
    <w:rsid w:val="6DFE5E04"/>
    <w:rsid w:val="6E87203D"/>
    <w:rsid w:val="6F8A1C4E"/>
    <w:rsid w:val="6F9278BB"/>
    <w:rsid w:val="71572F19"/>
    <w:rsid w:val="719B7427"/>
    <w:rsid w:val="724A6793"/>
    <w:rsid w:val="741F26FA"/>
    <w:rsid w:val="74470DF8"/>
    <w:rsid w:val="75FD1676"/>
    <w:rsid w:val="799536BA"/>
    <w:rsid w:val="7AC40EE9"/>
    <w:rsid w:val="7B170752"/>
    <w:rsid w:val="7B8F681B"/>
    <w:rsid w:val="7DD96C0E"/>
    <w:rsid w:val="7E474F7B"/>
    <w:rsid w:val="7E8F7AC1"/>
    <w:rsid w:val="7EAA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locked/>
    <w:uiPriority w:val="0"/>
    <w:pPr>
      <w:keepNext/>
      <w:keepLines/>
      <w:outlineLvl w:val="0"/>
    </w:pPr>
    <w:rPr>
      <w:rFonts w:eastAsia="黑体"/>
      <w:bCs/>
      <w:kern w:val="44"/>
      <w:szCs w:val="44"/>
    </w:rPr>
  </w:style>
  <w:style w:type="character" w:default="1" w:styleId="9">
    <w:name w:val="Default Paragraph Font"/>
    <w:semiHidden/>
    <w:qFormat/>
    <w:uiPriority w:val="99"/>
  </w:style>
  <w:style w:type="table" w:default="1" w:styleId="7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eastAsia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note text"/>
    <w:basedOn w:val="1"/>
    <w:next w:val="1"/>
    <w:qFormat/>
    <w:uiPriority w:val="0"/>
    <w:pPr>
      <w:snapToGrid w:val="0"/>
      <w:jc w:val="left"/>
    </w:pPr>
    <w:rPr>
      <w:sz w:val="18"/>
      <w:szCs w:val="18"/>
    </w:rPr>
  </w:style>
  <w:style w:type="paragraph" w:styleId="4">
    <w:name w:val="footer"/>
    <w:basedOn w:val="1"/>
    <w:link w:val="1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page number"/>
    <w:basedOn w:val="9"/>
    <w:qFormat/>
    <w:uiPriority w:val="99"/>
    <w:rPr>
      <w:rFonts w:cs="Times New Roman"/>
    </w:rPr>
  </w:style>
  <w:style w:type="character" w:customStyle="1" w:styleId="11">
    <w:name w:val="Footer Char"/>
    <w:basedOn w:val="9"/>
    <w:link w:val="4"/>
    <w:semiHidden/>
    <w:qFormat/>
    <w:uiPriority w:val="99"/>
    <w:rPr>
      <w:sz w:val="18"/>
      <w:szCs w:val="18"/>
    </w:rPr>
  </w:style>
  <w:style w:type="character" w:customStyle="1" w:styleId="12">
    <w:name w:val="Header Char"/>
    <w:basedOn w:val="9"/>
    <w:link w:val="5"/>
    <w:semiHidden/>
    <w:qFormat/>
    <w:uiPriority w:val="99"/>
    <w:rPr>
      <w:sz w:val="18"/>
      <w:szCs w:val="18"/>
    </w:rPr>
  </w:style>
  <w:style w:type="paragraph" w:styleId="13">
    <w:name w:val="List Paragraph"/>
    <w:basedOn w:val="1"/>
    <w:qFormat/>
    <w:uiPriority w:val="99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9</Pages>
  <Words>3141</Words>
  <Characters>3603</Characters>
  <Lines>0</Lines>
  <Paragraphs>0</Paragraphs>
  <TotalTime>12</TotalTime>
  <ScaleCrop>false</ScaleCrop>
  <LinksUpToDate>false</LinksUpToDate>
  <CharactersWithSpaces>3671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2020-06-04T01:07:00Z</dcterms:created>
  <dc:creator>Administrator</dc:creator>
  <cp:lastModifiedBy>Administrator</cp:lastModifiedBy>
  <cp:lastPrinted>2023-06-29T01:04:00Z</cp:lastPrinted>
  <dcterms:modified xsi:type="dcterms:W3CDTF">2023-07-12T07:40:06Z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SaveFontToCloudKey">
    <vt:lpwstr>386772509_embed</vt:lpwstr>
  </property>
  <property fmtid="{D5CDD505-2E9C-101B-9397-08002B2CF9AE}" pid="4" name="ICV">
    <vt:lpwstr>B9A2148AEC6A459B81A3D9C9881CCE15_13</vt:lpwstr>
  </property>
</Properties>
</file>