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7"/>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407</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.卫生健康支出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侯隽</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2023年7月10日</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15700823632</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7"/>
        <w:tblW w:w="4996" w:type="pct"/>
        <w:jc w:val="center"/>
        <w:tblLayout w:type="autofit"/>
        <w:tblCellMar>
          <w:top w:w="0" w:type="dxa"/>
          <w:left w:w="108" w:type="dxa"/>
          <w:bottom w:w="0" w:type="dxa"/>
          <w:right w:w="108" w:type="dxa"/>
        </w:tblCellMar>
      </w:tblPr>
      <w:tblGrid>
        <w:gridCol w:w="1072"/>
        <w:gridCol w:w="857"/>
        <w:gridCol w:w="873"/>
        <w:gridCol w:w="1051"/>
        <w:gridCol w:w="1116"/>
        <w:gridCol w:w="1146"/>
        <w:gridCol w:w="587"/>
        <w:gridCol w:w="1012"/>
        <w:gridCol w:w="1567"/>
      </w:tblGrid>
      <w:tr>
        <w:tblPrEx>
          <w:tblCellMar>
            <w:top w:w="0" w:type="dxa"/>
            <w:left w:w="108" w:type="dxa"/>
            <w:bottom w:w="0" w:type="dxa"/>
            <w:right w:w="108" w:type="dxa"/>
          </w:tblCellMar>
        </w:tblPrEx>
        <w:trPr>
          <w:trHeight w:val="1003" w:hRule="atLeast"/>
          <w:jc w:val="center"/>
        </w:trPr>
        <w:tc>
          <w:tcPr>
            <w:tcW w:w="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21"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华容县梅田湖镇卫生院</w:t>
            </w:r>
          </w:p>
        </w:tc>
      </w:tr>
      <w:tr>
        <w:tblPrEx>
          <w:tblCellMar>
            <w:top w:w="0" w:type="dxa"/>
            <w:left w:w="108" w:type="dxa"/>
            <w:bottom w:w="0" w:type="dxa"/>
            <w:right w:w="108" w:type="dxa"/>
          </w:tblCellMar>
        </w:tblPrEx>
        <w:trPr>
          <w:trHeight w:val="863" w:hRule="atLeast"/>
          <w:jc w:val="center"/>
        </w:trPr>
        <w:tc>
          <w:tcPr>
            <w:tcW w:w="578"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2"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78"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2"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290</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580</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580</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580</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580</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407</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420</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0</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160</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173</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78"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099"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21"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78"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099" w:type="pct"/>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szCs w:val="21"/>
              </w:rPr>
              <w:t>目标1：</w:t>
            </w:r>
            <w:r>
              <w:rPr>
                <w:rFonts w:hint="eastAsia" w:eastAsia="仿宋_GB2312"/>
                <w:kern w:val="0"/>
                <w:szCs w:val="21"/>
              </w:rPr>
              <w:t>保障职工工资福利发放，“五险一金缴纳”</w:t>
            </w:r>
          </w:p>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ascii="仿宋_GB2312" w:hAnsi="仿宋_GB2312" w:eastAsia="仿宋_GB2312" w:cs="仿宋_GB2312"/>
                <w:color w:val="000000"/>
                <w:szCs w:val="21"/>
              </w:rPr>
              <w:t>目标2：</w:t>
            </w:r>
            <w:r>
              <w:rPr>
                <w:rFonts w:hint="eastAsia" w:eastAsia="仿宋_GB2312"/>
                <w:kern w:val="0"/>
                <w:szCs w:val="21"/>
              </w:rPr>
              <w:t>公用经费确保工作正常运转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Cs w:val="21"/>
              </w:rPr>
              <w:t>目标3：</w:t>
            </w:r>
            <w:r>
              <w:rPr>
                <w:rFonts w:hint="eastAsia" w:eastAsia="仿宋_GB2312"/>
                <w:kern w:val="0"/>
                <w:szCs w:val="21"/>
              </w:rPr>
              <w:t>医疗收入保障医院日常工作开展</w:t>
            </w:r>
          </w:p>
        </w:tc>
        <w:tc>
          <w:tcPr>
            <w:tcW w:w="2321"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职工工资福利发放，“五险一金缴纳”到位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eastAsia="仿宋_GB2312"/>
                <w:kern w:val="0"/>
                <w:szCs w:val="21"/>
              </w:rPr>
              <w:t>医疗和公卫工作圆满完成预期目标</w:t>
            </w:r>
          </w:p>
        </w:tc>
      </w:tr>
      <w:tr>
        <w:tblPrEx>
          <w:tblCellMar>
            <w:top w:w="0" w:type="dxa"/>
            <w:left w:w="108" w:type="dxa"/>
            <w:bottom w:w="0" w:type="dxa"/>
            <w:right w:w="108" w:type="dxa"/>
          </w:tblCellMar>
        </w:tblPrEx>
        <w:trPr>
          <w:trHeight w:val="850" w:hRule="atLeast"/>
          <w:jc w:val="center"/>
        </w:trPr>
        <w:tc>
          <w:tcPr>
            <w:tcW w:w="57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eastAsia="仿宋_GB2312"/>
                <w:kern w:val="0"/>
                <w:szCs w:val="21"/>
              </w:rPr>
              <w:t>工资福利发放率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eastAsia="仿宋_GB2312"/>
                <w:kern w:val="0"/>
                <w:szCs w:val="21"/>
              </w:rPr>
              <w:t>“五险一金”缴纳率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日常公用经费使用率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eastAsia="仿宋_GB2312"/>
                <w:kern w:val="0"/>
                <w:szCs w:val="21"/>
              </w:rPr>
              <w:t>患者治愈率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提高服务质量</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仿宋_GB2312" w:hAnsi="仿宋_GB2312" w:eastAsia="仿宋_GB2312" w:cs="仿宋_GB2312"/>
                <w:color w:val="000000"/>
                <w:szCs w:val="21"/>
              </w:rPr>
              <w:t>公卫管理率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加强公共卫生宣传及服务</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年初计划门诊收入完成率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年初计划住院收入完成率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工资福利到位率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“五险一金”缴纳到位率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7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医院正常开展各项业务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提高对老百姓的服务质量</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患者治愈率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加强专业知识培训，提升水平</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Cs w:val="21"/>
              </w:rPr>
            </w:pPr>
            <w:r>
              <w:rPr>
                <w:rFonts w:hint="eastAsia" w:eastAsia="仿宋_GB2312"/>
                <w:kern w:val="0"/>
                <w:szCs w:val="21"/>
              </w:rPr>
              <w:t>环境污染处理率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医废污染处理</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污水污染处理</w:t>
            </w:r>
          </w:p>
        </w:tc>
        <w:tc>
          <w:tcPr>
            <w:tcW w:w="60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分）</w:t>
            </w: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患者满意度</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r>
              <w:rPr>
                <w:rFonts w:hint="eastAsia" w:ascii="新宋体" w:hAnsi="新宋体" w:eastAsia="新宋体" w:cs="新宋体"/>
                <w:color w:val="000000"/>
                <w:sz w:val="21"/>
                <w:szCs w:val="21"/>
              </w:rPr>
              <w:t>　</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210" w:firstLineChars="100"/>
              <w:jc w:val="both"/>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Cs w:val="21"/>
              </w:rPr>
              <w:t>居民满意度</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93"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94</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侯隽</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2023年7月10日</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15700823632</w:t>
      </w:r>
      <w:r>
        <w:rPr>
          <w:rFonts w:hint="default" w:ascii="Times New Roman" w:hAnsi="Times New Roman" w:eastAsia="仿宋_GB2312" w:cs="Times New Roman"/>
          <w:sz w:val="22"/>
          <w:szCs w:val="22"/>
        </w:rPr>
        <w:t xml:space="preserve">  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华容县梅田湖镇卫生院</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bookmarkStart w:id="0" w:name="_GoBack"/>
      <w:bookmarkEnd w:id="0"/>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w:t>
      </w:r>
      <w:r>
        <w:rPr>
          <w:rFonts w:hint="eastAsia" w:eastAsia="楷体_GB2312" w:cs="Times New Roman"/>
          <w:sz w:val="32"/>
          <w:szCs w:val="32"/>
          <w:lang w:val="en-US" w:eastAsia="zh-CN"/>
        </w:rPr>
        <w:t>12</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华容县梅田湖镇卫生院</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hd w:val="solid" w:color="FFFFFF" w:fill="auto"/>
        <w:autoSpaceDN w:val="0"/>
        <w:spacing w:line="600" w:lineRule="exact"/>
        <w:ind w:firstLine="640" w:firstLineChars="200"/>
        <w:jc w:val="left"/>
        <w:rPr>
          <w:rFonts w:hint="default" w:ascii="仿宋_GB2312" w:hAnsi="仿宋_GB2312" w:eastAsia="仿宋_GB2312" w:cs="仿宋_GB2312"/>
          <w:b w:val="0"/>
          <w:bCs w:val="0"/>
          <w:color w:val="auto"/>
          <w:sz w:val="32"/>
          <w:szCs w:val="32"/>
          <w:lang w:val="en-US"/>
        </w:rPr>
      </w:pPr>
      <w:r>
        <w:rPr>
          <w:rFonts w:hint="eastAsia" w:ascii="仿宋_GB2312" w:hAnsi="仿宋_GB2312" w:eastAsia="仿宋_GB2312" w:cs="仿宋_GB2312"/>
          <w:b w:val="0"/>
          <w:bCs w:val="0"/>
          <w:color w:val="auto"/>
          <w:sz w:val="32"/>
          <w:szCs w:val="32"/>
        </w:rPr>
        <w:t>华容县</w:t>
      </w:r>
      <w:r>
        <w:rPr>
          <w:rFonts w:hint="eastAsia" w:ascii="仿宋_GB2312" w:hAnsi="仿宋_GB2312" w:eastAsia="仿宋_GB2312" w:cs="仿宋_GB2312"/>
          <w:b w:val="0"/>
          <w:bCs w:val="0"/>
          <w:color w:val="auto"/>
          <w:sz w:val="32"/>
          <w:szCs w:val="32"/>
          <w:lang w:eastAsia="zh-CN"/>
        </w:rPr>
        <w:t>梅田湖镇</w:t>
      </w:r>
      <w:r>
        <w:rPr>
          <w:rFonts w:hint="eastAsia" w:ascii="仿宋_GB2312" w:hAnsi="仿宋_GB2312" w:eastAsia="仿宋_GB2312" w:cs="仿宋_GB2312"/>
          <w:b w:val="0"/>
          <w:bCs w:val="0"/>
          <w:color w:val="auto"/>
          <w:sz w:val="32"/>
          <w:szCs w:val="32"/>
        </w:rPr>
        <w:t>卫</w:t>
      </w:r>
      <w:r>
        <w:rPr>
          <w:rFonts w:hint="eastAsia" w:ascii="仿宋_GB2312" w:hAnsi="仿宋_GB2312" w:eastAsia="仿宋_GB2312" w:cs="仿宋_GB2312"/>
          <w:b w:val="0"/>
          <w:bCs w:val="0"/>
          <w:color w:val="auto"/>
          <w:sz w:val="32"/>
          <w:szCs w:val="32"/>
          <w:lang w:eastAsia="zh-CN"/>
        </w:rPr>
        <w:t>生院</w:t>
      </w:r>
      <w:r>
        <w:rPr>
          <w:rFonts w:hint="eastAsia" w:ascii="仿宋_GB2312" w:hAnsi="仿宋_GB2312" w:eastAsia="仿宋_GB2312" w:cs="仿宋_GB2312"/>
          <w:b w:val="0"/>
          <w:bCs w:val="0"/>
          <w:color w:val="auto"/>
          <w:sz w:val="32"/>
          <w:szCs w:val="32"/>
        </w:rPr>
        <w:t>系财政全额预算拨款单位。202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年编制部门核实华容县</w:t>
      </w:r>
      <w:r>
        <w:rPr>
          <w:rFonts w:hint="eastAsia" w:ascii="仿宋_GB2312" w:hAnsi="仿宋_GB2312" w:eastAsia="仿宋_GB2312" w:cs="仿宋_GB2312"/>
          <w:b w:val="0"/>
          <w:bCs w:val="0"/>
          <w:color w:val="auto"/>
          <w:sz w:val="32"/>
          <w:szCs w:val="32"/>
          <w:lang w:eastAsia="zh-CN"/>
        </w:rPr>
        <w:t>梅田湖镇中心卫生院</w:t>
      </w:r>
      <w:r>
        <w:rPr>
          <w:rFonts w:hint="eastAsia" w:ascii="仿宋_GB2312" w:hAnsi="仿宋_GB2312" w:eastAsia="仿宋_GB2312" w:cs="仿宋_GB2312"/>
          <w:b w:val="0"/>
          <w:bCs w:val="0"/>
          <w:color w:val="auto"/>
          <w:sz w:val="32"/>
          <w:szCs w:val="32"/>
        </w:rPr>
        <w:t>卫生</w:t>
      </w:r>
      <w:r>
        <w:rPr>
          <w:rFonts w:hint="eastAsia" w:ascii="仿宋_GB2312" w:hAnsi="仿宋_GB2312" w:eastAsia="仿宋_GB2312" w:cs="仿宋_GB2312"/>
          <w:b w:val="0"/>
          <w:bCs w:val="0"/>
          <w:color w:val="auto"/>
          <w:sz w:val="32"/>
          <w:szCs w:val="32"/>
          <w:lang w:eastAsia="zh-CN"/>
        </w:rPr>
        <w:t>院事业</w:t>
      </w:r>
      <w:r>
        <w:rPr>
          <w:rFonts w:hint="eastAsia" w:ascii="仿宋_GB2312" w:hAnsi="仿宋_GB2312" w:eastAsia="仿宋_GB2312" w:cs="仿宋_GB2312"/>
          <w:b w:val="0"/>
          <w:bCs w:val="0"/>
          <w:color w:val="auto"/>
          <w:sz w:val="32"/>
          <w:szCs w:val="32"/>
        </w:rPr>
        <w:t>编制</w:t>
      </w:r>
      <w:r>
        <w:rPr>
          <w:rFonts w:hint="eastAsia" w:ascii="仿宋_GB2312" w:hAnsi="仿宋_GB2312" w:eastAsia="仿宋_GB2312" w:cs="仿宋_GB2312"/>
          <w:b w:val="0"/>
          <w:bCs w:val="0"/>
          <w:color w:val="auto"/>
          <w:sz w:val="32"/>
          <w:szCs w:val="32"/>
          <w:lang w:val="en-US" w:eastAsia="zh-CN"/>
        </w:rPr>
        <w:t>23</w:t>
      </w:r>
      <w:r>
        <w:rPr>
          <w:rFonts w:hint="eastAsia" w:ascii="仿宋_GB2312" w:hAnsi="仿宋_GB2312" w:eastAsia="仿宋_GB2312" w:cs="仿宋_GB2312"/>
          <w:b w:val="0"/>
          <w:bCs w:val="0"/>
          <w:color w:val="auto"/>
          <w:sz w:val="32"/>
          <w:szCs w:val="32"/>
        </w:rPr>
        <w:t>名，实有</w:t>
      </w:r>
      <w:r>
        <w:rPr>
          <w:rFonts w:hint="eastAsia" w:ascii="仿宋_GB2312" w:hAnsi="仿宋_GB2312" w:eastAsia="仿宋_GB2312" w:cs="仿宋_GB2312"/>
          <w:b w:val="0"/>
          <w:bCs w:val="0"/>
          <w:color w:val="auto"/>
          <w:sz w:val="32"/>
          <w:szCs w:val="32"/>
          <w:lang w:eastAsia="zh-CN"/>
        </w:rPr>
        <w:t>事业编制</w:t>
      </w:r>
      <w:r>
        <w:rPr>
          <w:rFonts w:hint="eastAsia" w:ascii="仿宋_GB2312" w:hAnsi="仿宋_GB2312" w:eastAsia="仿宋_GB2312" w:cs="仿宋_GB2312"/>
          <w:b w:val="0"/>
          <w:bCs w:val="0"/>
          <w:color w:val="auto"/>
          <w:sz w:val="32"/>
          <w:szCs w:val="32"/>
        </w:rPr>
        <w:t>人员</w:t>
      </w:r>
      <w:r>
        <w:rPr>
          <w:rFonts w:hint="eastAsia" w:ascii="仿宋_GB2312" w:hAnsi="仿宋_GB2312" w:eastAsia="仿宋_GB2312" w:cs="仿宋_GB2312"/>
          <w:b w:val="0"/>
          <w:bCs w:val="0"/>
          <w:color w:val="auto"/>
          <w:sz w:val="32"/>
          <w:szCs w:val="32"/>
          <w:lang w:val="en-US" w:eastAsia="zh-CN"/>
        </w:rPr>
        <w:t>18</w:t>
      </w:r>
      <w:r>
        <w:rPr>
          <w:rFonts w:hint="eastAsia" w:ascii="仿宋_GB2312" w:hAnsi="仿宋_GB2312" w:eastAsia="仿宋_GB2312" w:cs="仿宋_GB2312"/>
          <w:b w:val="0"/>
          <w:bCs w:val="0"/>
          <w:color w:val="auto"/>
          <w:sz w:val="32"/>
          <w:szCs w:val="32"/>
        </w:rPr>
        <w:t>人</w:t>
      </w:r>
      <w:r>
        <w:rPr>
          <w:rFonts w:hint="eastAsia" w:ascii="仿宋_GB2312" w:hAnsi="仿宋_GB2312" w:eastAsia="仿宋_GB2312" w:cs="仿宋_GB2312"/>
          <w:b w:val="0"/>
          <w:bCs w:val="0"/>
          <w:color w:val="auto"/>
          <w:sz w:val="32"/>
          <w:szCs w:val="32"/>
          <w:lang w:eastAsia="zh-CN"/>
        </w:rPr>
        <w:t>，临聘人员</w:t>
      </w:r>
      <w:r>
        <w:rPr>
          <w:rFonts w:hint="eastAsia" w:ascii="仿宋_GB2312" w:hAnsi="仿宋_GB2312" w:eastAsia="仿宋_GB2312" w:cs="仿宋_GB2312"/>
          <w:b w:val="0"/>
          <w:bCs w:val="0"/>
          <w:color w:val="auto"/>
          <w:sz w:val="32"/>
          <w:szCs w:val="32"/>
          <w:lang w:val="en-US" w:eastAsia="zh-CN"/>
        </w:rPr>
        <w:t>13人。华容县梅田湖镇卫生院单位内设机构包括：3个职能科室。医疗组、防保组、行政后勤组。</w:t>
      </w:r>
    </w:p>
    <w:p>
      <w:pPr>
        <w:pStyle w:val="2"/>
        <w:numPr>
          <w:ilvl w:val="0"/>
          <w:numId w:val="0"/>
        </w:numPr>
        <w:rPr>
          <w:rFonts w:hint="default"/>
        </w:rPr>
      </w:pP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spacing w:line="560" w:lineRule="exact"/>
        <w:ind w:firstLine="640" w:firstLineChars="200"/>
        <w:rPr>
          <w:rFonts w:hint="eastAsia" w:ascii="华文仿宋" w:hAnsi="华文仿宋" w:eastAsia="仿宋_GB2312"/>
          <w:b/>
          <w:bCs/>
          <w:sz w:val="32"/>
          <w:szCs w:val="32"/>
          <w:lang w:val="en-US" w:eastAsia="zh-CN"/>
        </w:rPr>
      </w:pPr>
      <w:r>
        <w:rPr>
          <w:rFonts w:hint="eastAsia" w:ascii="仿宋_GB2312" w:hAnsi="仿宋_GB2312" w:eastAsia="仿宋_GB2312" w:cs="仿宋_GB2312"/>
          <w:sz w:val="32"/>
          <w:szCs w:val="28"/>
          <w:lang w:val="en-US" w:eastAsia="zh-CN"/>
        </w:rPr>
        <w:t>2022年华容县梅田湖镇卫生院基本支出合计580万元，主要是用于人员工资、社会保障缴费、临时工工资以及为保障医疗卫生机构正常运转、完成日常工作任务而发生的商品和服务支出。其中：</w:t>
      </w:r>
      <w:r>
        <w:rPr>
          <w:rFonts w:hint="eastAsia" w:ascii="仿宋_GB2312" w:hAnsi="仿宋_GB2312" w:eastAsia="仿宋_GB2312" w:cs="仿宋_GB2312"/>
          <w:sz w:val="32"/>
          <w:szCs w:val="28"/>
          <w:lang w:eastAsia="zh-CN"/>
        </w:rPr>
        <w:t>工资福利支出</w:t>
      </w:r>
      <w:r>
        <w:rPr>
          <w:rFonts w:hint="eastAsia" w:ascii="仿宋_GB2312" w:hAnsi="仿宋_GB2312" w:eastAsia="仿宋_GB2312" w:cs="仿宋_GB2312"/>
          <w:sz w:val="32"/>
          <w:szCs w:val="28"/>
          <w:lang w:val="en-US" w:eastAsia="zh-CN"/>
        </w:rPr>
        <w:t>420</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w:t>
      </w: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spacing w:line="560" w:lineRule="exact"/>
        <w:ind w:firstLine="643" w:firstLineChars="200"/>
        <w:rPr>
          <w:rFonts w:hint="eastAsia" w:ascii="Times New Roman" w:hAnsi="Times New Roman" w:eastAsia="仿宋_GB2312" w:cs="Times New Roman"/>
          <w:b/>
          <w:bCs/>
          <w:color w:val="auto"/>
          <w:kern w:val="2"/>
          <w:sz w:val="32"/>
          <w:szCs w:val="32"/>
          <w:shd w:val="clear" w:color="auto" w:fill="FFFFFF"/>
          <w:lang w:val="en-US" w:eastAsia="zh-CN" w:bidi="ar-SA"/>
        </w:rPr>
      </w:pPr>
      <w:r>
        <w:rPr>
          <w:rFonts w:hint="eastAsia" w:ascii="Times New Roman" w:hAnsi="Times New Roman" w:eastAsia="仿宋_GB2312" w:cs="Times New Roman"/>
          <w:b/>
          <w:bCs/>
          <w:color w:val="auto"/>
          <w:kern w:val="2"/>
          <w:sz w:val="32"/>
          <w:szCs w:val="32"/>
          <w:shd w:val="clear" w:color="auto" w:fill="FFFFFF"/>
          <w:lang w:val="en-US" w:eastAsia="zh-CN" w:bidi="ar-SA"/>
        </w:rPr>
        <w:t>1、项目资金安排落实、总投入等情况</w:t>
      </w:r>
    </w:p>
    <w:p>
      <w:pPr>
        <w:spacing w:line="560" w:lineRule="exact"/>
        <w:ind w:firstLine="640" w:firstLineChars="200"/>
        <w:rPr>
          <w:rFonts w:hint="eastAsia" w:ascii="仿宋_GB2312" w:hAnsi="仿宋_GB2312" w:eastAsia="仿宋_GB2312" w:cs="仿宋_GB2312"/>
          <w:color w:val="auto"/>
          <w:sz w:val="32"/>
          <w:szCs w:val="28"/>
          <w:lang w:val="en-US" w:eastAsia="zh-CN"/>
        </w:rPr>
      </w:pPr>
      <w:r>
        <w:rPr>
          <w:rFonts w:hint="eastAsia" w:ascii="仿宋_GB2312" w:hAnsi="仿宋_GB2312" w:eastAsia="仿宋_GB2312" w:cs="仿宋_GB2312"/>
          <w:sz w:val="32"/>
          <w:szCs w:val="28"/>
          <w:lang w:val="en-US" w:eastAsia="zh-CN"/>
        </w:rPr>
        <w:t>我部门项目资金按照年初预算的安排，按照月度与进度等安排资金落实，2022年华容县梅田湖卫生院整体年初项目资金合计申报160万元，主要是用于</w:t>
      </w:r>
      <w:r>
        <w:rPr>
          <w:rFonts w:hint="eastAsia" w:ascii="仿宋_GB2312" w:hAnsi="仿宋_GB2312" w:eastAsia="仿宋_GB2312" w:cs="仿宋_GB2312"/>
          <w:color w:val="auto"/>
          <w:sz w:val="32"/>
          <w:szCs w:val="28"/>
          <w:lang w:val="en-US" w:eastAsia="zh-CN"/>
        </w:rPr>
        <w:t>基本公共卫生服务、应急物质储备的支出。</w:t>
      </w:r>
    </w:p>
    <w:p>
      <w:pPr>
        <w:spacing w:line="560" w:lineRule="exact"/>
        <w:ind w:firstLine="643" w:firstLineChars="200"/>
        <w:rPr>
          <w:rFonts w:hint="eastAsia" w:ascii="Times New Roman" w:hAnsi="Times New Roman" w:eastAsia="仿宋_GB2312" w:cs="Times New Roman"/>
          <w:b/>
          <w:bCs/>
          <w:color w:val="auto"/>
          <w:kern w:val="2"/>
          <w:sz w:val="32"/>
          <w:szCs w:val="32"/>
          <w:shd w:val="clear" w:color="auto" w:fill="FFFFFF"/>
          <w:lang w:val="en-US" w:eastAsia="zh-CN" w:bidi="ar-SA"/>
        </w:rPr>
      </w:pPr>
      <w:r>
        <w:rPr>
          <w:rFonts w:hint="eastAsia" w:eastAsia="仿宋_GB2312" w:cs="Times New Roman"/>
          <w:b/>
          <w:bCs/>
          <w:color w:val="auto"/>
          <w:kern w:val="2"/>
          <w:sz w:val="32"/>
          <w:szCs w:val="32"/>
          <w:shd w:val="clear" w:color="auto" w:fill="FFFFFF"/>
          <w:lang w:val="en-US" w:eastAsia="zh-CN" w:bidi="ar-SA"/>
        </w:rPr>
        <w:t>2</w:t>
      </w:r>
      <w:r>
        <w:rPr>
          <w:rFonts w:hint="eastAsia" w:ascii="Times New Roman" w:hAnsi="Times New Roman" w:eastAsia="仿宋_GB2312" w:cs="Times New Roman"/>
          <w:b/>
          <w:bCs/>
          <w:color w:val="auto"/>
          <w:kern w:val="2"/>
          <w:sz w:val="32"/>
          <w:szCs w:val="32"/>
          <w:shd w:val="clear" w:color="auto" w:fill="FFFFFF"/>
          <w:lang w:val="en-US" w:eastAsia="zh-CN" w:bidi="ar-SA"/>
        </w:rPr>
        <w:t>、专项资金管理情况分析</w:t>
      </w:r>
    </w:p>
    <w:p>
      <w:pPr>
        <w:spacing w:line="600" w:lineRule="exact"/>
        <w:ind w:firstLine="470" w:firstLineChars="147"/>
        <w:jc w:val="left"/>
        <w:rPr>
          <w:rFonts w:hint="eastAsia" w:ascii="Times New Roman" w:hAnsi="Times New Roman" w:eastAsia="仿宋_GB2312" w:cs="Times New Roman"/>
          <w:color w:val="auto"/>
          <w:kern w:val="2"/>
          <w:sz w:val="32"/>
          <w:szCs w:val="32"/>
          <w:shd w:val="clear" w:color="auto" w:fill="FFFFFF"/>
          <w:lang w:val="en-US" w:eastAsia="zh-CN" w:bidi="ar-SA"/>
        </w:rPr>
      </w:pPr>
      <w:r>
        <w:rPr>
          <w:rFonts w:hint="default" w:ascii="Times New Roman" w:hAnsi="Times New Roman" w:eastAsia="仿宋_GB2312" w:cs="Times New Roman"/>
          <w:color w:val="auto"/>
          <w:kern w:val="2"/>
          <w:sz w:val="32"/>
          <w:szCs w:val="32"/>
          <w:shd w:val="clear" w:color="auto" w:fill="FFFFFF"/>
          <w:lang w:val="en-US" w:eastAsia="zh-CN" w:bidi="ar-SA"/>
        </w:rPr>
        <w:t>严格按项目资金进行管理，执行相关财务支出管理制度，资金管理制度。</w:t>
      </w:r>
      <w:r>
        <w:rPr>
          <w:rFonts w:hint="eastAsia" w:ascii="Times New Roman" w:hAnsi="Times New Roman" w:eastAsia="仿宋_GB2312" w:cs="Times New Roman"/>
          <w:color w:val="auto"/>
          <w:kern w:val="2"/>
          <w:sz w:val="32"/>
          <w:szCs w:val="32"/>
          <w:shd w:val="clear" w:color="auto" w:fill="FFFFFF"/>
          <w:lang w:val="en-US" w:eastAsia="zh-CN" w:bidi="ar-SA"/>
        </w:rPr>
        <w:t>加强项目资金专款专用管理，设立专账核算，各项目执行单位财务机构加强项目资金日常使用监督。</w:t>
      </w:r>
    </w:p>
    <w:p>
      <w:pPr>
        <w:pStyle w:val="13"/>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仿宋_GB2312" w:hAnsi="仿宋_GB2312" w:eastAsia="仿宋_GB2312" w:cs="仿宋_GB2312"/>
          <w:kern w:val="2"/>
          <w:sz w:val="32"/>
          <w:szCs w:val="28"/>
          <w:lang w:val="en-US" w:eastAsia="zh-CN" w:bidi="ar-SA"/>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（1）建立居民健康档案：20</w:t>
      </w:r>
      <w:r>
        <w:rPr>
          <w:rFonts w:hint="eastAsia" w:ascii="楷体" w:hAnsi="楷体" w:eastAsia="楷体" w:cs="楷体"/>
          <w:sz w:val="32"/>
          <w:szCs w:val="32"/>
          <w:lang w:val="en-US" w:eastAsia="zh-CN"/>
        </w:rPr>
        <w:t>22</w:t>
      </w:r>
      <w:r>
        <w:rPr>
          <w:rFonts w:hint="eastAsia" w:ascii="楷体" w:hAnsi="楷体" w:eastAsia="楷体" w:cs="楷体"/>
          <w:sz w:val="32"/>
          <w:szCs w:val="32"/>
        </w:rPr>
        <w:t>年在去年工作基础上继续加大居民健康档案建档工作力度，重点加强了特殊人群健康档案的建档和动态管理工作。至目前共为农村居民建立健康档案</w:t>
      </w:r>
      <w:r>
        <w:rPr>
          <w:rFonts w:hint="eastAsia" w:ascii="楷体" w:hAnsi="楷体" w:eastAsia="楷体" w:cs="楷体"/>
          <w:sz w:val="32"/>
          <w:szCs w:val="32"/>
          <w:lang w:val="en-US" w:eastAsia="zh-CN"/>
        </w:rPr>
        <w:t>16042</w:t>
      </w:r>
      <w:r>
        <w:rPr>
          <w:rFonts w:hint="eastAsia" w:ascii="楷体" w:hAnsi="楷体" w:eastAsia="楷体" w:cs="楷体"/>
          <w:sz w:val="32"/>
          <w:szCs w:val="32"/>
        </w:rPr>
        <w:t>人份，电子档案</w:t>
      </w:r>
      <w:r>
        <w:rPr>
          <w:rFonts w:hint="eastAsia" w:ascii="楷体" w:hAnsi="楷体" w:eastAsia="楷体" w:cs="楷体"/>
          <w:sz w:val="32"/>
          <w:szCs w:val="32"/>
          <w:lang w:val="en-US" w:eastAsia="zh-CN"/>
        </w:rPr>
        <w:t>16042</w:t>
      </w:r>
      <w:r>
        <w:rPr>
          <w:rFonts w:hint="eastAsia" w:ascii="楷体" w:hAnsi="楷体" w:eastAsia="楷体" w:cs="楷体"/>
          <w:sz w:val="32"/>
          <w:szCs w:val="32"/>
        </w:rPr>
        <w:t>人份。</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2）健康教育工作：严格按照健康教育服务规范要求，认真贯彻落实市县级主管部门和业务部门的各项健康教育项目工作。采取了发放宣传材料、开展健康教育讲座、设置宣传栏等多种方式，针对老年人保健、慢性病管理、 重性精神疾病患者等主要健康问题和危险因素开展健康教育宣传活动。开展各类宣传、健康教育讲座</w:t>
      </w:r>
      <w:r>
        <w:rPr>
          <w:rFonts w:hint="eastAsia" w:ascii="楷体" w:hAnsi="楷体" w:eastAsia="楷体" w:cs="楷体"/>
          <w:sz w:val="32"/>
          <w:szCs w:val="32"/>
          <w:lang w:val="en-US" w:eastAsia="zh-CN"/>
        </w:rPr>
        <w:t>39</w:t>
      </w:r>
      <w:r>
        <w:rPr>
          <w:rFonts w:hint="eastAsia" w:ascii="楷体" w:hAnsi="楷体" w:eastAsia="楷体" w:cs="楷体"/>
          <w:sz w:val="32"/>
          <w:szCs w:val="32"/>
        </w:rPr>
        <w:t>场次，开具健康教育处方</w:t>
      </w:r>
      <w:r>
        <w:rPr>
          <w:rFonts w:hint="eastAsia" w:ascii="楷体" w:hAnsi="楷体" w:eastAsia="楷体" w:cs="楷体"/>
          <w:sz w:val="32"/>
          <w:szCs w:val="32"/>
          <w:lang w:val="en-US" w:eastAsia="zh-CN"/>
        </w:rPr>
        <w:t>1300</w:t>
      </w:r>
      <w:r>
        <w:rPr>
          <w:rFonts w:hint="eastAsia" w:ascii="楷体" w:hAnsi="楷体" w:eastAsia="楷体" w:cs="楷体"/>
          <w:sz w:val="32"/>
          <w:szCs w:val="32"/>
        </w:rPr>
        <w:t>份，各类宣传材料</w:t>
      </w:r>
      <w:r>
        <w:rPr>
          <w:rFonts w:hint="eastAsia" w:ascii="楷体" w:hAnsi="楷体" w:eastAsia="楷体" w:cs="楷体"/>
          <w:sz w:val="32"/>
          <w:szCs w:val="32"/>
          <w:lang w:val="en-US" w:eastAsia="zh-CN"/>
        </w:rPr>
        <w:t>3780</w:t>
      </w:r>
      <w:r>
        <w:rPr>
          <w:rFonts w:hint="eastAsia" w:ascii="楷体" w:hAnsi="楷体" w:eastAsia="楷体" w:cs="楷体"/>
          <w:sz w:val="32"/>
          <w:szCs w:val="32"/>
        </w:rPr>
        <w:t xml:space="preserve">余份。 </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（3）儿童预防接种工作：按照上级部门下达的任务指标有序开展，各项制度完善，扩大计划免疫工作规范运行，冷链运转正常规范，记录完整，各类疫苗接种及时，儿童建卡、建证率达100%，各类疫苗接种率达</w:t>
      </w:r>
      <w:r>
        <w:rPr>
          <w:rFonts w:hint="eastAsia" w:ascii="楷体" w:hAnsi="楷体" w:eastAsia="楷体" w:cs="楷体"/>
          <w:sz w:val="32"/>
          <w:szCs w:val="32"/>
          <w:lang w:val="en-US" w:eastAsia="zh-CN"/>
        </w:rPr>
        <w:t>95%</w:t>
      </w:r>
      <w:r>
        <w:rPr>
          <w:rFonts w:hint="eastAsia" w:ascii="楷体" w:hAnsi="楷体" w:eastAsia="楷体" w:cs="楷体"/>
          <w:sz w:val="32"/>
          <w:szCs w:val="32"/>
        </w:rPr>
        <w:t>以上。</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（4）0-6岁儿童健康管理服务：</w:t>
      </w:r>
      <w:r>
        <w:rPr>
          <w:rFonts w:hint="eastAsia" w:ascii="楷体" w:hAnsi="楷体" w:eastAsia="楷体" w:cs="楷体"/>
          <w:sz w:val="32"/>
          <w:szCs w:val="32"/>
          <w:lang w:val="en-US" w:eastAsia="zh-CN"/>
        </w:rPr>
        <w:t>2022年1月至2022年12</w:t>
      </w:r>
      <w:r>
        <w:rPr>
          <w:rFonts w:hint="eastAsia" w:ascii="楷体" w:hAnsi="楷体" w:eastAsia="楷体" w:cs="楷体"/>
          <w:sz w:val="32"/>
          <w:szCs w:val="32"/>
        </w:rPr>
        <w:t>月出生</w:t>
      </w:r>
      <w:r>
        <w:rPr>
          <w:rFonts w:hint="eastAsia" w:ascii="楷体" w:hAnsi="楷体" w:eastAsia="楷体" w:cs="楷体"/>
          <w:sz w:val="32"/>
          <w:szCs w:val="32"/>
          <w:lang w:val="en-US" w:eastAsia="zh-CN"/>
        </w:rPr>
        <w:t>55</w:t>
      </w:r>
      <w:r>
        <w:rPr>
          <w:rFonts w:hint="eastAsia" w:ascii="楷体" w:hAnsi="楷体" w:eastAsia="楷体" w:cs="楷体"/>
          <w:sz w:val="32"/>
          <w:szCs w:val="32"/>
        </w:rPr>
        <w:t>人</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，活产</w:t>
      </w:r>
      <w:r>
        <w:rPr>
          <w:rFonts w:hint="eastAsia" w:ascii="楷体" w:hAnsi="楷体" w:eastAsia="楷体" w:cs="楷体"/>
          <w:sz w:val="32"/>
          <w:szCs w:val="32"/>
          <w:lang w:val="en-US" w:eastAsia="zh-CN"/>
        </w:rPr>
        <w:t>55人</w:t>
      </w:r>
      <w:r>
        <w:rPr>
          <w:rFonts w:hint="eastAsia" w:ascii="楷体" w:hAnsi="楷体" w:eastAsia="楷体" w:cs="楷体"/>
          <w:sz w:val="32"/>
          <w:szCs w:val="32"/>
        </w:rPr>
        <w:t>，活产率100%</w:t>
      </w:r>
      <w:r>
        <w:rPr>
          <w:rFonts w:hint="eastAsia" w:ascii="楷体" w:hAnsi="楷体" w:eastAsia="楷体" w:cs="楷体"/>
          <w:sz w:val="32"/>
          <w:szCs w:val="32"/>
          <w:lang w:eastAsia="zh-CN"/>
        </w:rPr>
        <w:t>；</w:t>
      </w:r>
      <w:r>
        <w:rPr>
          <w:rFonts w:hint="eastAsia" w:ascii="楷体" w:hAnsi="楷体" w:eastAsia="楷体" w:cs="楷体"/>
          <w:sz w:val="32"/>
          <w:szCs w:val="32"/>
        </w:rPr>
        <w:t>婴幼儿死亡</w:t>
      </w:r>
      <w:r>
        <w:rPr>
          <w:rFonts w:hint="eastAsia" w:ascii="楷体" w:hAnsi="楷体" w:eastAsia="楷体" w:cs="楷体"/>
          <w:sz w:val="32"/>
          <w:szCs w:val="32"/>
          <w:lang w:val="en-US" w:eastAsia="zh-CN"/>
        </w:rPr>
        <w:t>0</w:t>
      </w:r>
      <w:r>
        <w:rPr>
          <w:rFonts w:hint="eastAsia" w:ascii="楷体" w:hAnsi="楷体" w:eastAsia="楷体" w:cs="楷体"/>
          <w:sz w:val="32"/>
          <w:szCs w:val="32"/>
        </w:rPr>
        <w:t>例，未发生新生儿破伤风病例</w:t>
      </w:r>
      <w:r>
        <w:rPr>
          <w:rFonts w:hint="eastAsia" w:ascii="楷体" w:hAnsi="楷体" w:eastAsia="楷体" w:cs="楷体"/>
          <w:sz w:val="32"/>
          <w:szCs w:val="32"/>
          <w:lang w:eastAsia="zh-CN"/>
        </w:rPr>
        <w:t>，共管理</w:t>
      </w:r>
      <w:r>
        <w:rPr>
          <w:rFonts w:hint="eastAsia" w:ascii="楷体" w:hAnsi="楷体" w:eastAsia="楷体" w:cs="楷体"/>
          <w:sz w:val="32"/>
          <w:szCs w:val="32"/>
          <w:lang w:val="en-US" w:eastAsia="zh-CN"/>
        </w:rPr>
        <w:t>0-6岁儿童934人</w:t>
      </w:r>
      <w:r>
        <w:rPr>
          <w:rFonts w:hint="eastAsia" w:ascii="楷体" w:hAnsi="楷体" w:eastAsia="楷体" w:cs="楷体"/>
          <w:sz w:val="32"/>
          <w:szCs w:val="32"/>
        </w:rPr>
        <w:t>。</w:t>
      </w:r>
    </w:p>
    <w:p>
      <w:pPr>
        <w:spacing w:line="600" w:lineRule="exact"/>
        <w:ind w:firstLine="640" w:firstLineChars="200"/>
        <w:jc w:val="left"/>
        <w:rPr>
          <w:rFonts w:hint="eastAsia" w:ascii="楷体" w:hAnsi="楷体" w:eastAsia="楷体" w:cs="楷体"/>
          <w:sz w:val="32"/>
          <w:szCs w:val="32"/>
          <w:lang w:val="en-US" w:eastAsia="zh-CN"/>
        </w:rPr>
      </w:pPr>
      <w:r>
        <w:rPr>
          <w:rFonts w:hint="eastAsia" w:ascii="楷体" w:hAnsi="楷体" w:eastAsia="楷体" w:cs="楷体"/>
          <w:sz w:val="32"/>
          <w:szCs w:val="32"/>
        </w:rPr>
        <w:t>（5）孕产妇健康管理服务：严格按照要求落实孕产妇保健服务，全</w:t>
      </w:r>
      <w:r>
        <w:rPr>
          <w:rFonts w:hint="eastAsia" w:ascii="楷体" w:hAnsi="楷体" w:eastAsia="楷体" w:cs="楷体"/>
          <w:sz w:val="32"/>
          <w:szCs w:val="32"/>
          <w:lang w:eastAsia="zh-CN"/>
        </w:rPr>
        <w:t>镇</w:t>
      </w:r>
      <w:r>
        <w:rPr>
          <w:rFonts w:hint="eastAsia" w:ascii="楷体" w:hAnsi="楷体" w:eastAsia="楷体" w:cs="楷体"/>
          <w:sz w:val="32"/>
          <w:szCs w:val="32"/>
        </w:rPr>
        <w:t>共有产妇</w:t>
      </w:r>
      <w:r>
        <w:rPr>
          <w:rFonts w:hint="eastAsia" w:ascii="楷体" w:hAnsi="楷体" w:eastAsia="楷体" w:cs="楷体"/>
          <w:sz w:val="32"/>
          <w:szCs w:val="32"/>
          <w:lang w:val="en-US" w:eastAsia="zh-CN"/>
        </w:rPr>
        <w:t>120</w:t>
      </w:r>
      <w:r>
        <w:rPr>
          <w:rFonts w:hint="eastAsia" w:ascii="楷体" w:hAnsi="楷体" w:eastAsia="楷体" w:cs="楷体"/>
          <w:sz w:val="32"/>
          <w:szCs w:val="32"/>
        </w:rPr>
        <w:t>人，</w:t>
      </w:r>
      <w:r>
        <w:rPr>
          <w:rFonts w:hint="eastAsia" w:ascii="楷体" w:hAnsi="楷体" w:eastAsia="楷体" w:cs="楷体"/>
          <w:sz w:val="32"/>
          <w:szCs w:val="32"/>
          <w:lang w:eastAsia="zh-CN"/>
        </w:rPr>
        <w:t>其中产妇</w:t>
      </w:r>
      <w:r>
        <w:rPr>
          <w:rFonts w:hint="eastAsia" w:ascii="楷体" w:hAnsi="楷体" w:eastAsia="楷体" w:cs="楷体"/>
          <w:sz w:val="32"/>
          <w:szCs w:val="32"/>
          <w:lang w:val="en-US" w:eastAsia="zh-CN"/>
        </w:rPr>
        <w:t>55，</w:t>
      </w:r>
      <w:r>
        <w:rPr>
          <w:rFonts w:hint="eastAsia" w:ascii="楷体" w:hAnsi="楷体" w:eastAsia="楷体" w:cs="楷体"/>
          <w:sz w:val="32"/>
          <w:szCs w:val="32"/>
        </w:rPr>
        <w:t>，高危孕产妇筛查</w:t>
      </w:r>
      <w:r>
        <w:rPr>
          <w:rFonts w:hint="eastAsia" w:ascii="楷体" w:hAnsi="楷体" w:eastAsia="楷体" w:cs="楷体"/>
          <w:sz w:val="32"/>
          <w:szCs w:val="32"/>
          <w:lang w:val="en-US" w:eastAsia="zh-CN"/>
        </w:rPr>
        <w:t>42人，</w:t>
      </w:r>
      <w:r>
        <w:rPr>
          <w:rFonts w:hint="eastAsia" w:ascii="楷体" w:hAnsi="楷体" w:eastAsia="楷体" w:cs="楷体"/>
          <w:sz w:val="32"/>
          <w:szCs w:val="32"/>
        </w:rPr>
        <w:t>建档管理率及住院监测分娩率均为100% </w:t>
      </w:r>
      <w:r>
        <w:rPr>
          <w:rFonts w:hint="eastAsia" w:ascii="楷体" w:hAnsi="楷体" w:eastAsia="楷体" w:cs="楷体"/>
          <w:sz w:val="32"/>
          <w:szCs w:val="32"/>
          <w:lang w:val="en-US" w:eastAsia="zh-CN"/>
        </w:rPr>
        <w:t>。并</w:t>
      </w:r>
      <w:r>
        <w:rPr>
          <w:rFonts w:hint="eastAsia" w:ascii="楷体" w:hAnsi="楷体" w:eastAsia="楷体" w:cs="楷体"/>
          <w:sz w:val="32"/>
          <w:szCs w:val="32"/>
        </w:rPr>
        <w:t xml:space="preserve">对育龄妇女进行健康教育和保健指导。 </w:t>
      </w:r>
    </w:p>
    <w:p>
      <w:pPr>
        <w:spacing w:line="600" w:lineRule="exact"/>
        <w:ind w:firstLine="640" w:firstLineChars="200"/>
        <w:jc w:val="left"/>
        <w:rPr>
          <w:rFonts w:hint="eastAsia" w:ascii="楷体" w:hAnsi="楷体" w:eastAsia="楷体" w:cs="楷体"/>
          <w:sz w:val="32"/>
          <w:szCs w:val="32"/>
          <w:lang w:val="en-US" w:eastAsia="zh-CN"/>
        </w:rPr>
      </w:pPr>
      <w:r>
        <w:rPr>
          <w:rFonts w:hint="eastAsia" w:ascii="楷体" w:hAnsi="楷体" w:eastAsia="楷体" w:cs="楷体"/>
          <w:sz w:val="32"/>
          <w:szCs w:val="32"/>
        </w:rPr>
        <w:t>（6）老年人健康管理服务：在总结往年老年人管理工作的基础上，考虑到老年人行动不便，认识不够，来院体检困难的情况下，通过与镇政府协调，动用村级行政力量宣传、动员，对全镇65岁以上的老年人及慢病患者进行了免费健康体检，全镇共体检老年人</w:t>
      </w:r>
      <w:r>
        <w:rPr>
          <w:rFonts w:hint="eastAsia" w:ascii="楷体" w:hAnsi="楷体" w:eastAsia="楷体" w:cs="楷体"/>
          <w:sz w:val="32"/>
          <w:szCs w:val="32"/>
          <w:lang w:val="en-US" w:eastAsia="zh-CN"/>
        </w:rPr>
        <w:t>1809</w:t>
      </w:r>
      <w:r>
        <w:rPr>
          <w:rFonts w:hint="eastAsia" w:ascii="楷体" w:hAnsi="楷体" w:eastAsia="楷体" w:cs="楷体"/>
          <w:sz w:val="32"/>
          <w:szCs w:val="32"/>
        </w:rPr>
        <w:t>人次</w:t>
      </w:r>
      <w:r>
        <w:rPr>
          <w:rFonts w:hint="eastAsia" w:ascii="楷体" w:hAnsi="楷体" w:eastAsia="楷体" w:cs="楷体"/>
          <w:sz w:val="32"/>
          <w:szCs w:val="32"/>
          <w:lang w:eastAsia="zh-CN"/>
        </w:rPr>
        <w:t>，</w:t>
      </w:r>
      <w:r>
        <w:rPr>
          <w:rFonts w:hint="eastAsia" w:ascii="楷体" w:hAnsi="楷体" w:eastAsia="楷体" w:cs="楷体"/>
          <w:sz w:val="32"/>
          <w:szCs w:val="32"/>
        </w:rPr>
        <w:t>全镇65岁老年人</w:t>
      </w:r>
      <w:r>
        <w:rPr>
          <w:rFonts w:hint="eastAsia" w:ascii="楷体" w:hAnsi="楷体" w:eastAsia="楷体" w:cs="楷体"/>
          <w:sz w:val="32"/>
          <w:szCs w:val="32"/>
          <w:lang w:val="en-US" w:eastAsia="zh-CN"/>
        </w:rPr>
        <w:t>2702</w:t>
      </w:r>
      <w:r>
        <w:rPr>
          <w:rFonts w:hint="eastAsia" w:ascii="楷体" w:hAnsi="楷体" w:eastAsia="楷体" w:cs="楷体"/>
          <w:sz w:val="32"/>
          <w:szCs w:val="32"/>
        </w:rPr>
        <w:t>人，建</w:t>
      </w:r>
      <w:r>
        <w:rPr>
          <w:rFonts w:hint="eastAsia" w:ascii="楷体" w:hAnsi="楷体" w:eastAsia="楷体" w:cs="楷体"/>
          <w:sz w:val="32"/>
          <w:szCs w:val="32"/>
          <w:lang w:val="en-US" w:eastAsia="zh-CN"/>
        </w:rPr>
        <w:t xml:space="preserve"> 康</w:t>
      </w:r>
      <w:r>
        <w:rPr>
          <w:rFonts w:hint="eastAsia" w:ascii="楷体" w:hAnsi="楷体" w:eastAsia="楷体" w:cs="楷体"/>
          <w:sz w:val="32"/>
          <w:szCs w:val="32"/>
        </w:rPr>
        <w:t>理</w:t>
      </w:r>
      <w:r>
        <w:rPr>
          <w:rFonts w:hint="eastAsia" w:ascii="楷体" w:hAnsi="楷体" w:eastAsia="楷体" w:cs="楷体"/>
          <w:sz w:val="32"/>
          <w:szCs w:val="32"/>
          <w:lang w:val="en-US" w:eastAsia="zh-CN"/>
        </w:rPr>
        <w:t>1809</w:t>
      </w:r>
      <w:r>
        <w:rPr>
          <w:rFonts w:hint="eastAsia" w:ascii="楷体" w:hAnsi="楷体" w:eastAsia="楷体" w:cs="楷体"/>
          <w:sz w:val="32"/>
          <w:szCs w:val="32"/>
        </w:rPr>
        <w:t>人</w:t>
      </w:r>
      <w:r>
        <w:rPr>
          <w:rFonts w:hint="eastAsia" w:ascii="楷体" w:hAnsi="楷体" w:eastAsia="楷体" w:cs="楷体"/>
          <w:sz w:val="32"/>
          <w:szCs w:val="32"/>
          <w:lang w:val="en-US" w:eastAsia="zh-CN"/>
        </w:rPr>
        <w:t>.</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（7）高血压健康管理服务：一是通过开展3 5岁及以上居民首诊测血压；居民诊疗过程测血压；健康体检测血压和健康档案建立过程中询问等方式发现高血压患者。二是对确诊的高血压患者进行登记管理，并提供一年4次面对面随坊，每次随访询问病情、测量血压，对用药、饮食、运动、心理等提供健康指导。三是对已经登记管理的高血压患者每年进行一次免费的健康体检。20</w:t>
      </w:r>
      <w:r>
        <w:rPr>
          <w:rFonts w:hint="eastAsia" w:ascii="楷体" w:hAnsi="楷体" w:eastAsia="楷体" w:cs="楷体"/>
          <w:sz w:val="32"/>
          <w:szCs w:val="32"/>
          <w:lang w:val="en-US" w:eastAsia="zh-CN"/>
        </w:rPr>
        <w:t>22</w:t>
      </w:r>
      <w:r>
        <w:rPr>
          <w:rFonts w:hint="eastAsia" w:ascii="楷体" w:hAnsi="楷体" w:eastAsia="楷体" w:cs="楷体"/>
          <w:sz w:val="32"/>
          <w:szCs w:val="32"/>
        </w:rPr>
        <w:t>年，我院共登记管理高血压患者</w:t>
      </w:r>
      <w:r>
        <w:rPr>
          <w:rFonts w:hint="eastAsia" w:ascii="楷体" w:hAnsi="楷体" w:eastAsia="楷体" w:cs="楷体"/>
          <w:sz w:val="32"/>
          <w:szCs w:val="32"/>
          <w:lang w:val="en-US" w:eastAsia="zh-CN"/>
        </w:rPr>
        <w:t>1767</w:t>
      </w:r>
      <w:r>
        <w:rPr>
          <w:rFonts w:hint="eastAsia" w:ascii="楷体" w:hAnsi="楷体" w:eastAsia="楷体" w:cs="楷体"/>
          <w:sz w:val="32"/>
          <w:szCs w:val="32"/>
        </w:rPr>
        <w:t>人，规范管理</w:t>
      </w:r>
      <w:r>
        <w:rPr>
          <w:rFonts w:hint="eastAsia" w:ascii="楷体" w:hAnsi="楷体" w:eastAsia="楷体" w:cs="楷体"/>
          <w:sz w:val="32"/>
          <w:szCs w:val="32"/>
          <w:lang w:val="en-US" w:eastAsia="zh-CN"/>
        </w:rPr>
        <w:t>1608</w:t>
      </w:r>
      <w:r>
        <w:rPr>
          <w:rFonts w:hint="eastAsia" w:ascii="楷体" w:hAnsi="楷体" w:eastAsia="楷体" w:cs="楷体"/>
          <w:sz w:val="32"/>
          <w:szCs w:val="32"/>
        </w:rPr>
        <w:t>人，规范管理率</w:t>
      </w:r>
      <w:r>
        <w:rPr>
          <w:rFonts w:hint="eastAsia" w:ascii="楷体" w:hAnsi="楷体" w:eastAsia="楷体" w:cs="楷体"/>
          <w:sz w:val="32"/>
          <w:szCs w:val="32"/>
          <w:lang w:val="en-US" w:eastAsia="zh-CN"/>
        </w:rPr>
        <w:t xml:space="preserve">91.00% </w:t>
      </w:r>
      <w:r>
        <w:rPr>
          <w:rFonts w:hint="eastAsia" w:ascii="楷体" w:hAnsi="楷体" w:eastAsia="楷体" w:cs="楷体"/>
          <w:sz w:val="32"/>
          <w:szCs w:val="32"/>
        </w:rPr>
        <w:t>。</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8）Ⅱ型糖尿病患者健康管理服务：一是通过健康体检和高危人群筛查检测血糖以及建立居民健康档案过程中询问等方式发现患者；二是对确诊的Ⅱ型糖尿病患者进行登记管理，并提供面对面4次随访，每次随访要询问病情、进行空腹血糖测量等检查，对用药、 饮食、运动、心理提供健康指导；三是对已经登记管理的Ⅱ型糖尿病患者每年进行一次免费健康体检；共登记管理Ⅱ型糖尿病患者</w:t>
      </w:r>
      <w:r>
        <w:rPr>
          <w:rFonts w:hint="eastAsia" w:ascii="楷体" w:hAnsi="楷体" w:eastAsia="楷体" w:cs="楷体"/>
          <w:sz w:val="32"/>
          <w:szCs w:val="32"/>
          <w:lang w:val="en-US" w:eastAsia="zh-CN"/>
        </w:rPr>
        <w:t>512</w:t>
      </w:r>
      <w:r>
        <w:rPr>
          <w:rFonts w:hint="eastAsia" w:ascii="楷体" w:hAnsi="楷体" w:eastAsia="楷体" w:cs="楷体"/>
          <w:sz w:val="32"/>
          <w:szCs w:val="32"/>
        </w:rPr>
        <w:t>人，规范管理</w:t>
      </w:r>
      <w:r>
        <w:rPr>
          <w:rFonts w:hint="eastAsia" w:ascii="楷体" w:hAnsi="楷体" w:eastAsia="楷体" w:cs="楷体"/>
          <w:sz w:val="32"/>
          <w:szCs w:val="32"/>
          <w:lang w:val="en-US" w:eastAsia="zh-CN"/>
        </w:rPr>
        <w:t>431</w:t>
      </w:r>
      <w:r>
        <w:rPr>
          <w:rFonts w:hint="eastAsia" w:ascii="楷体" w:hAnsi="楷体" w:eastAsia="楷体" w:cs="楷体"/>
          <w:sz w:val="32"/>
          <w:szCs w:val="32"/>
        </w:rPr>
        <w:t>人，规范管理率</w:t>
      </w:r>
      <w:r>
        <w:rPr>
          <w:rFonts w:hint="eastAsia" w:ascii="楷体" w:hAnsi="楷体" w:eastAsia="楷体" w:cs="楷体"/>
          <w:sz w:val="32"/>
          <w:szCs w:val="32"/>
          <w:lang w:val="en-US" w:eastAsia="zh-CN"/>
        </w:rPr>
        <w:t xml:space="preserve"> 84.17% </w:t>
      </w:r>
      <w:r>
        <w:rPr>
          <w:rFonts w:hint="eastAsia" w:ascii="楷体" w:hAnsi="楷体" w:eastAsia="楷体" w:cs="楷体"/>
          <w:sz w:val="32"/>
          <w:szCs w:val="32"/>
        </w:rPr>
        <w:t>。</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（9）</w:t>
      </w:r>
      <w:r>
        <w:rPr>
          <w:rFonts w:hint="eastAsia" w:ascii="楷体" w:hAnsi="楷体" w:eastAsia="楷体" w:cs="楷体"/>
          <w:sz w:val="32"/>
          <w:szCs w:val="32"/>
          <w:lang w:eastAsia="zh-CN"/>
        </w:rPr>
        <w:t>严重精神障碍</w:t>
      </w:r>
      <w:r>
        <w:rPr>
          <w:rFonts w:hint="eastAsia" w:ascii="楷体" w:hAnsi="楷体" w:eastAsia="楷体" w:cs="楷体"/>
          <w:sz w:val="32"/>
          <w:szCs w:val="32"/>
        </w:rPr>
        <w:t>患者管理服务：对确诊的</w:t>
      </w:r>
      <w:r>
        <w:rPr>
          <w:rFonts w:hint="eastAsia" w:ascii="楷体" w:hAnsi="楷体" w:eastAsia="楷体" w:cs="楷体"/>
          <w:sz w:val="32"/>
          <w:szCs w:val="32"/>
          <w:lang w:eastAsia="zh-CN"/>
        </w:rPr>
        <w:t>严重</w:t>
      </w:r>
      <w:r>
        <w:rPr>
          <w:rFonts w:hint="eastAsia" w:ascii="楷体" w:hAnsi="楷体" w:eastAsia="楷体" w:cs="楷体"/>
          <w:sz w:val="32"/>
          <w:szCs w:val="32"/>
        </w:rPr>
        <w:t>精神</w:t>
      </w:r>
      <w:r>
        <w:rPr>
          <w:rFonts w:hint="eastAsia" w:ascii="楷体" w:hAnsi="楷体" w:eastAsia="楷体" w:cs="楷体"/>
          <w:sz w:val="32"/>
          <w:szCs w:val="32"/>
          <w:lang w:eastAsia="zh-CN"/>
        </w:rPr>
        <w:t>障碍</w:t>
      </w:r>
      <w:r>
        <w:rPr>
          <w:rFonts w:hint="eastAsia" w:ascii="楷体" w:hAnsi="楷体" w:eastAsia="楷体" w:cs="楷体"/>
          <w:sz w:val="32"/>
          <w:szCs w:val="32"/>
        </w:rPr>
        <w:t>患者进行登记管理，并对在家居住的恢复期</w:t>
      </w:r>
      <w:r>
        <w:rPr>
          <w:rFonts w:hint="eastAsia" w:ascii="楷体" w:hAnsi="楷体" w:eastAsia="楷体" w:cs="楷体"/>
          <w:sz w:val="32"/>
          <w:szCs w:val="32"/>
          <w:lang w:eastAsia="zh-CN"/>
        </w:rPr>
        <w:t>严重</w:t>
      </w:r>
      <w:r>
        <w:rPr>
          <w:rFonts w:hint="eastAsia" w:ascii="楷体" w:hAnsi="楷体" w:eastAsia="楷体" w:cs="楷体"/>
          <w:sz w:val="32"/>
          <w:szCs w:val="32"/>
        </w:rPr>
        <w:t>精神</w:t>
      </w:r>
      <w:r>
        <w:rPr>
          <w:rFonts w:hint="eastAsia" w:ascii="楷体" w:hAnsi="楷体" w:eastAsia="楷体" w:cs="楷体"/>
          <w:sz w:val="32"/>
          <w:szCs w:val="32"/>
          <w:lang w:eastAsia="zh-CN"/>
        </w:rPr>
        <w:t>障碍</w:t>
      </w:r>
      <w:r>
        <w:rPr>
          <w:rFonts w:hint="eastAsia" w:ascii="楷体" w:hAnsi="楷体" w:eastAsia="楷体" w:cs="楷体"/>
          <w:sz w:val="32"/>
          <w:szCs w:val="32"/>
        </w:rPr>
        <w:t>患者进行随访和康复指导。</w:t>
      </w:r>
      <w:r>
        <w:rPr>
          <w:rFonts w:hint="eastAsia" w:ascii="楷体" w:hAnsi="楷体" w:eastAsia="楷体" w:cs="楷体"/>
          <w:sz w:val="32"/>
          <w:szCs w:val="32"/>
          <w:lang w:eastAsia="zh-CN"/>
        </w:rPr>
        <w:t>共</w:t>
      </w:r>
      <w:r>
        <w:rPr>
          <w:rFonts w:hint="eastAsia" w:ascii="楷体" w:hAnsi="楷体" w:eastAsia="楷体" w:cs="楷体"/>
          <w:sz w:val="32"/>
          <w:szCs w:val="32"/>
        </w:rPr>
        <w:t>管理</w:t>
      </w:r>
      <w:r>
        <w:rPr>
          <w:rFonts w:hint="eastAsia" w:ascii="楷体" w:hAnsi="楷体" w:eastAsia="楷体" w:cs="楷体"/>
          <w:sz w:val="32"/>
          <w:szCs w:val="32"/>
          <w:lang w:eastAsia="zh-CN"/>
        </w:rPr>
        <w:t>严重</w:t>
      </w:r>
      <w:r>
        <w:rPr>
          <w:rFonts w:hint="eastAsia" w:ascii="楷体" w:hAnsi="楷体" w:eastAsia="楷体" w:cs="楷体"/>
          <w:sz w:val="32"/>
          <w:szCs w:val="32"/>
        </w:rPr>
        <w:t>精神</w:t>
      </w:r>
      <w:r>
        <w:rPr>
          <w:rFonts w:hint="eastAsia" w:ascii="楷体" w:hAnsi="楷体" w:eastAsia="楷体" w:cs="楷体"/>
          <w:sz w:val="32"/>
          <w:szCs w:val="32"/>
          <w:lang w:eastAsia="zh-CN"/>
        </w:rPr>
        <w:t>障碍</w:t>
      </w:r>
      <w:r>
        <w:rPr>
          <w:rFonts w:hint="eastAsia" w:ascii="楷体" w:hAnsi="楷体" w:eastAsia="楷体" w:cs="楷体"/>
          <w:sz w:val="32"/>
          <w:szCs w:val="32"/>
        </w:rPr>
        <w:t>患者</w:t>
      </w:r>
      <w:r>
        <w:rPr>
          <w:rFonts w:hint="eastAsia" w:ascii="楷体" w:hAnsi="楷体" w:eastAsia="楷体" w:cs="楷体"/>
          <w:sz w:val="32"/>
          <w:szCs w:val="32"/>
          <w:lang w:val="en-US" w:eastAsia="zh-CN"/>
        </w:rPr>
        <w:t>92</w:t>
      </w:r>
      <w:r>
        <w:rPr>
          <w:rFonts w:hint="eastAsia" w:ascii="楷体" w:hAnsi="楷体" w:eastAsia="楷体" w:cs="楷体"/>
          <w:sz w:val="32"/>
          <w:szCs w:val="32"/>
        </w:rPr>
        <w:t>人，全部规范管理。</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（10）传染病及突发公共卫生事件报告和处置服务：认真开展传染病防治工作，提高疫情报告意识，完善疫情报告制度，落实传染病网络直报，至目前共报告各类传染病</w:t>
      </w:r>
      <w:r>
        <w:rPr>
          <w:rFonts w:hint="eastAsia" w:ascii="楷体" w:hAnsi="楷体" w:eastAsia="楷体" w:cs="楷体"/>
          <w:sz w:val="32"/>
          <w:szCs w:val="32"/>
          <w:lang w:val="en-US" w:eastAsia="zh-CN"/>
        </w:rPr>
        <w:t xml:space="preserve"> 2</w:t>
      </w:r>
      <w:r>
        <w:rPr>
          <w:rFonts w:hint="eastAsia" w:ascii="楷体" w:hAnsi="楷体" w:eastAsia="楷体" w:cs="楷体"/>
          <w:sz w:val="32"/>
          <w:szCs w:val="32"/>
        </w:rPr>
        <w:t>例，各类传染病报告率100%，报告及时率100%，辖区内无传染病暴发流行。完善突发公共卫生事件预警机制，加强突发公共卫生事件应急处置能力，应急物资储备足量。积极做好结核病人的归口管理工作。重点强化疫情检测报告，切实加强麻疹疫情应急和脊髓灰质炎</w:t>
      </w:r>
      <w:r>
        <w:rPr>
          <w:rFonts w:hint="eastAsia" w:ascii="楷体" w:hAnsi="楷体" w:eastAsia="楷体" w:cs="楷体"/>
          <w:sz w:val="32"/>
          <w:szCs w:val="32"/>
          <w:lang w:eastAsia="zh-CN"/>
        </w:rPr>
        <w:t>、新冠肺炎</w:t>
      </w:r>
      <w:r>
        <w:rPr>
          <w:rFonts w:hint="eastAsia" w:ascii="楷体" w:hAnsi="楷体" w:eastAsia="楷体" w:cs="楷体"/>
          <w:sz w:val="32"/>
          <w:szCs w:val="32"/>
        </w:rPr>
        <w:t>疫情防控工作，规范发热门诊，控制院内感染，完善发热门诊各项制度，同时启动预检分诊制度，认真落实工作人员岗位责任制和预检分诊制度，严格落实首诊负责制，加强对发热病人的管理。</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（11）卫生监督协管服务：积极协助卫生监督部门开展公共场所、学校卫生、生活饮用水卫生和医疗场所等卫生监督协管工作</w:t>
      </w:r>
      <w:r>
        <w:rPr>
          <w:rFonts w:hint="eastAsia" w:ascii="楷体" w:hAnsi="楷体" w:eastAsia="楷体" w:cs="楷体"/>
          <w:sz w:val="32"/>
          <w:szCs w:val="32"/>
          <w:lang w:eastAsia="zh-CN"/>
        </w:rPr>
        <w:t>，全年共开展卫生监督巡查</w:t>
      </w:r>
      <w:r>
        <w:rPr>
          <w:rFonts w:hint="eastAsia" w:ascii="楷体" w:hAnsi="楷体" w:eastAsia="楷体" w:cs="楷体"/>
          <w:sz w:val="32"/>
          <w:szCs w:val="32"/>
          <w:lang w:val="en-US" w:eastAsia="zh-CN"/>
        </w:rPr>
        <w:t>66次，上报问题线索66例，移交县监督执法局案件1例</w:t>
      </w:r>
      <w:r>
        <w:rPr>
          <w:rFonts w:hint="eastAsia" w:ascii="楷体" w:hAnsi="楷体" w:eastAsia="楷体" w:cs="楷体"/>
          <w:sz w:val="32"/>
          <w:szCs w:val="32"/>
        </w:rPr>
        <w:t>。</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（12）中医药服务: 通过加强中医科建设，开展中医特色诊疗，积极推广中医药适宜技术，广泛运用于</w:t>
      </w:r>
      <w:r>
        <w:rPr>
          <w:rFonts w:hint="eastAsia" w:ascii="楷体" w:hAnsi="楷体" w:eastAsia="楷体" w:cs="楷体"/>
          <w:sz w:val="32"/>
          <w:szCs w:val="32"/>
          <w:lang w:eastAsia="zh-CN"/>
        </w:rPr>
        <w:t>辖</w:t>
      </w:r>
      <w:r>
        <w:rPr>
          <w:rFonts w:hint="eastAsia" w:ascii="楷体" w:hAnsi="楷体" w:eastAsia="楷体" w:cs="楷体"/>
          <w:sz w:val="32"/>
          <w:szCs w:val="32"/>
        </w:rPr>
        <w:t>区常见病、多发病、慢性病等的防治，向广大居民群众提供了“简、便、验、廉”的中医药特色服务。</w:t>
      </w:r>
      <w:r>
        <w:rPr>
          <w:rFonts w:hint="eastAsia" w:ascii="楷体" w:hAnsi="楷体" w:eastAsia="楷体" w:cs="楷体"/>
          <w:sz w:val="32"/>
          <w:szCs w:val="32"/>
          <w:lang w:val="en-US" w:eastAsia="zh-CN"/>
        </w:rPr>
        <w:t>针对颈、肩、腰、腿疼痛、中风后遗症、面瘫、骨质增生等的治疗，开展项目以针刺、艾灸、火罐、推拿、刮痧、穴位注射、放血疗法等，使患者在就诊的同时感受传统医学文化的魅力。2022年对1696名老年人进行了中医体质辨识，通过起居调摄，穴位保健，运动保健，饮食调养等方面进行了中医药健康指导，对388名0-3岁儿童进行了中医药健康管理，已达到上级要求。</w:t>
      </w:r>
      <w:r>
        <w:rPr>
          <w:rFonts w:hint="eastAsia" w:ascii="楷体" w:hAnsi="楷体" w:eastAsia="楷体" w:cs="楷体"/>
          <w:sz w:val="32"/>
          <w:szCs w:val="32"/>
        </w:rPr>
        <w:t>同时积极组织举办</w:t>
      </w:r>
      <w:r>
        <w:rPr>
          <w:rFonts w:hint="eastAsia" w:ascii="楷体" w:hAnsi="楷体" w:eastAsia="楷体" w:cs="楷体"/>
          <w:sz w:val="32"/>
          <w:szCs w:val="32"/>
          <w:lang w:eastAsia="zh-CN"/>
        </w:rPr>
        <w:t>中医</w:t>
      </w:r>
      <w:r>
        <w:rPr>
          <w:rFonts w:hint="eastAsia" w:ascii="楷体" w:hAnsi="楷体" w:eastAsia="楷体" w:cs="楷体"/>
          <w:sz w:val="32"/>
          <w:szCs w:val="32"/>
        </w:rPr>
        <w:t>健康教育讲座、出刊健康教育橱窗、印发健康教育入户宣传资料、使中医药健教工作落到了实处。</w:t>
      </w:r>
    </w:p>
    <w:p>
      <w:pPr>
        <w:spacing w:line="600" w:lineRule="exact"/>
        <w:ind w:firstLine="640" w:firstLineChars="200"/>
        <w:jc w:val="left"/>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  （13）肺结核健康管理服务：我院共管理肺结核病人6人，涂阴2人，随访追踪率100%，筛查疑似肺结核患者11人，并对65岁以上糖尿病人每季度进行了症状筛查。</w:t>
      </w: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 xml:space="preserve"> 我乡基本公共卫生工作从总体上已经步入了正常运转的轨道，但从考核、督导情况来看，仍存在一些问题和薄弱环节，归纳起来，主要有以下几个方面：</w:t>
      </w:r>
    </w:p>
    <w:p>
      <w:pPr>
        <w:numPr>
          <w:ilvl w:val="0"/>
          <w:numId w:val="0"/>
        </w:num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lang w:val="en-US" w:eastAsia="zh-CN"/>
        </w:rPr>
        <w:t>1、糖尿病、高血压建档率还需加大筛查力度，及时发现糖尿病、高血压患者，并纳入管理。</w:t>
      </w:r>
    </w:p>
    <w:p>
      <w:pPr>
        <w:numPr>
          <w:ilvl w:val="0"/>
          <w:numId w:val="0"/>
        </w:numPr>
        <w:spacing w:line="60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lang w:val="en-US" w:eastAsia="zh-CN"/>
        </w:rPr>
        <w:t>2、</w:t>
      </w:r>
      <w:r>
        <w:rPr>
          <w:rFonts w:hint="eastAsia" w:ascii="楷体" w:hAnsi="楷体" w:eastAsia="楷体" w:cs="楷体"/>
          <w:sz w:val="32"/>
          <w:szCs w:val="32"/>
          <w:lang w:eastAsia="zh-CN"/>
        </w:rPr>
        <w:t>因辖区居民外出，部分档案外迁，档案流失严重，建档率有待提高。</w:t>
      </w:r>
    </w:p>
    <w:p>
      <w:pPr>
        <w:numPr>
          <w:ilvl w:val="0"/>
          <w:numId w:val="0"/>
        </w:numPr>
        <w:spacing w:line="600" w:lineRule="exact"/>
        <w:ind w:firstLine="640" w:firstLineChars="200"/>
        <w:jc w:val="left"/>
        <w:rPr>
          <w:rFonts w:hint="eastAsia" w:ascii="楷体" w:hAnsi="楷体" w:eastAsia="楷体" w:cs="楷体"/>
          <w:sz w:val="32"/>
          <w:szCs w:val="32"/>
          <w:lang w:eastAsia="zh-CN"/>
        </w:rPr>
      </w:pPr>
      <w:r>
        <w:rPr>
          <w:rFonts w:hint="eastAsia" w:ascii="楷体" w:hAnsi="楷体" w:eastAsia="楷体" w:cs="楷体"/>
          <w:sz w:val="32"/>
          <w:szCs w:val="32"/>
          <w:lang w:val="en-US" w:eastAsia="zh-CN"/>
        </w:rPr>
        <w:t>3、</w:t>
      </w:r>
      <w:r>
        <w:rPr>
          <w:rFonts w:hint="eastAsia" w:ascii="楷体" w:hAnsi="楷体" w:eastAsia="楷体" w:cs="楷体"/>
          <w:sz w:val="32"/>
          <w:szCs w:val="32"/>
        </w:rPr>
        <w:t>妇幼工作中不能及时随访辖区叶酸人员的叶酸服用情况，影响了叶酸服用的依从率；</w:t>
      </w:r>
      <w:r>
        <w:rPr>
          <w:rFonts w:hint="eastAsia" w:ascii="楷体" w:hAnsi="楷体" w:eastAsia="楷体" w:cs="楷体"/>
          <w:sz w:val="32"/>
          <w:szCs w:val="32"/>
          <w:lang w:eastAsia="zh-CN"/>
        </w:rPr>
        <w:t>早孕检出率低，孕妇保健手册回收登记不详。</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4.慢性疾病防治宣传力度有待加强，居民健康素养有待提高。</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1.强化宣传</w:t>
      </w:r>
      <w:r>
        <w:rPr>
          <w:rFonts w:hint="eastAsia" w:ascii="Times New Roman" w:hAnsi="Times New Roman" w:eastAsia="仿宋_GB2312" w:cs="Times New Roman"/>
          <w:color w:val="auto"/>
          <w:kern w:val="2"/>
          <w:sz w:val="32"/>
          <w:szCs w:val="32"/>
          <w:lang w:val="en-US" w:eastAsia="zh-CN" w:bidi="ar-SA"/>
        </w:rPr>
        <w:t>。进一步加大宣传力度，让广大城乡居民更全面了解项目的益处，提高群众知晓率，鼓励群众积极参与，自愿配合医疗卫生服务工作的开展。</w:t>
      </w:r>
    </w:p>
    <w:p>
      <w:pPr>
        <w:tabs>
          <w:tab w:val="center" w:pos="4153"/>
        </w:tabs>
        <w:spacing w:line="540" w:lineRule="exact"/>
        <w:ind w:firstLine="630"/>
        <w:jc w:val="left"/>
        <w:rPr>
          <w:rFonts w:hint="eastAsia" w:ascii="仿宋_GB2312" w:hAnsi="宋体" w:eastAsia="仿宋_GB2312" w:cs="宋体"/>
          <w:b/>
          <w:sz w:val="32"/>
          <w:szCs w:val="32"/>
        </w:rPr>
      </w:pPr>
      <w:r>
        <w:rPr>
          <w:rFonts w:hint="eastAsia" w:ascii="宋体" w:hAnsi="宋体" w:eastAsia="宋体" w:cs="宋体"/>
          <w:b/>
          <w:bCs w:val="0"/>
          <w:sz w:val="32"/>
          <w:szCs w:val="32"/>
          <w:lang w:val="en-US" w:eastAsia="zh-CN"/>
        </w:rPr>
        <w:t>2.严格审核。</w:t>
      </w:r>
      <w:r>
        <w:rPr>
          <w:rFonts w:hint="eastAsia" w:ascii="Times New Roman" w:hAnsi="Times New Roman" w:eastAsia="仿宋_GB2312" w:cs="Times New Roman"/>
          <w:color w:val="auto"/>
          <w:kern w:val="2"/>
          <w:sz w:val="32"/>
          <w:szCs w:val="32"/>
          <w:lang w:val="en-US" w:eastAsia="zh-CN" w:bidi="ar-SA"/>
        </w:rPr>
        <w:t>按照预算规定的项目和用途严格财务审核，经费支出严格按预算规定项目的财务支出内容进行财务核算，在预算金额内严格控制费用的支出。</w:t>
      </w:r>
    </w:p>
    <w:p>
      <w:pPr>
        <w:tabs>
          <w:tab w:val="center" w:pos="4153"/>
        </w:tabs>
        <w:spacing w:line="540" w:lineRule="exact"/>
        <w:ind w:firstLine="645"/>
        <w:jc w:val="left"/>
        <w:rPr>
          <w:rFonts w:hint="eastAsia" w:ascii="仿宋_GB2312" w:hAnsi="宋体" w:eastAsia="仿宋_GB2312" w:cs="宋体"/>
          <w:sz w:val="32"/>
          <w:szCs w:val="32"/>
          <w:shd w:val="clear" w:color="auto" w:fill="FFFFFF"/>
        </w:rPr>
      </w:pPr>
      <w:r>
        <w:rPr>
          <w:rFonts w:hint="eastAsia" w:ascii="宋体" w:hAnsi="宋体" w:eastAsia="宋体" w:cs="宋体"/>
          <w:b/>
          <w:bCs w:val="0"/>
          <w:sz w:val="32"/>
          <w:szCs w:val="32"/>
          <w:lang w:val="en-US" w:eastAsia="zh-CN"/>
        </w:rPr>
        <w:t>3.分析常态化。</w:t>
      </w:r>
      <w:r>
        <w:rPr>
          <w:rFonts w:hint="eastAsia" w:ascii="仿宋_GB2312" w:hAnsi="宋体" w:eastAsia="仿宋_GB2312" w:cs="宋体"/>
          <w:sz w:val="32"/>
          <w:szCs w:val="32"/>
          <w:shd w:val="clear" w:color="auto" w:fill="FFFFFF"/>
          <w:lang w:eastAsia="zh-CN"/>
        </w:rPr>
        <w:t>将</w:t>
      </w:r>
      <w:r>
        <w:rPr>
          <w:rFonts w:hint="eastAsia" w:ascii="仿宋_GB2312" w:hAnsi="宋体" w:eastAsia="仿宋_GB2312" w:cs="宋体"/>
          <w:sz w:val="32"/>
          <w:szCs w:val="32"/>
          <w:shd w:val="clear" w:color="auto" w:fill="FFFFFF"/>
        </w:rPr>
        <w:t>预算财务分析常态化，定期做好预算支出财务分析，做好</w:t>
      </w:r>
      <w:r>
        <w:rPr>
          <w:rFonts w:hint="eastAsia" w:ascii="仿宋_GB2312" w:hAnsi="宋体" w:eastAsia="仿宋_GB2312" w:cs="宋体"/>
          <w:sz w:val="32"/>
          <w:szCs w:val="32"/>
          <w:shd w:val="clear" w:color="auto" w:fill="FFFFFF"/>
          <w:lang w:eastAsia="zh-CN"/>
        </w:rPr>
        <w:t>医院</w:t>
      </w:r>
      <w:r>
        <w:rPr>
          <w:rFonts w:hint="eastAsia" w:ascii="仿宋_GB2312" w:hAnsi="宋体" w:eastAsia="仿宋_GB2312" w:cs="宋体"/>
          <w:sz w:val="32"/>
          <w:szCs w:val="32"/>
          <w:shd w:val="clear" w:color="auto" w:fill="FFFFFF"/>
        </w:rPr>
        <w:t>整体支出预算评价工作。</w:t>
      </w:r>
    </w:p>
    <w:p>
      <w:pPr>
        <w:tabs>
          <w:tab w:val="center" w:pos="4153"/>
        </w:tabs>
        <w:spacing w:line="540" w:lineRule="exact"/>
        <w:ind w:firstLine="645"/>
        <w:jc w:val="left"/>
        <w:rPr>
          <w:rFonts w:hint="eastAsia" w:ascii="宋体" w:hAnsi="宋体" w:eastAsia="宋体" w:cs="宋体"/>
          <w:bCs/>
          <w:sz w:val="32"/>
          <w:szCs w:val="32"/>
        </w:rPr>
      </w:pPr>
      <w:r>
        <w:rPr>
          <w:rFonts w:hint="eastAsia" w:ascii="宋体" w:hAnsi="宋体" w:eastAsia="宋体" w:cs="宋体"/>
          <w:b/>
          <w:bCs w:val="0"/>
          <w:sz w:val="32"/>
          <w:szCs w:val="32"/>
          <w:lang w:val="en-US" w:eastAsia="zh-CN"/>
        </w:rPr>
        <w:t>4.强化信息公开。</w:t>
      </w:r>
      <w:r>
        <w:rPr>
          <w:rFonts w:hint="eastAsia" w:ascii="Times New Roman" w:hAnsi="Times New Roman" w:eastAsia="仿宋_GB2312" w:cs="Times New Roman"/>
          <w:color w:val="auto"/>
          <w:kern w:val="2"/>
          <w:sz w:val="32"/>
          <w:szCs w:val="32"/>
          <w:lang w:val="en-US" w:eastAsia="zh-CN" w:bidi="ar-SA"/>
        </w:rPr>
        <w:t>积极宣传和引导居民群众对医疗卫生服务的认知度和信任度，激发公众的参与度，从而积极献计献策、监督政府职能部门的各项工作。</w:t>
      </w:r>
      <w:r>
        <w:rPr>
          <w:rFonts w:hint="eastAsia" w:ascii="宋体" w:hAnsi="宋体" w:eastAsia="宋体" w:cs="宋体"/>
          <w:bCs/>
          <w:spacing w:val="-6"/>
          <w:sz w:val="32"/>
          <w:szCs w:val="32"/>
        </w:rPr>
        <w:t xml:space="preserve"> </w:t>
      </w:r>
    </w:p>
    <w:p>
      <w:pPr>
        <w:tabs>
          <w:tab w:val="center" w:pos="4153"/>
        </w:tabs>
        <w:spacing w:line="600" w:lineRule="exact"/>
        <w:ind w:firstLine="643" w:firstLineChars="200"/>
        <w:jc w:val="left"/>
        <w:rPr>
          <w:rFonts w:hint="eastAsia" w:eastAsia="仿宋_GB2312"/>
          <w:sz w:val="32"/>
          <w:szCs w:val="32"/>
          <w:lang w:eastAsia="zh-CN"/>
        </w:rPr>
      </w:pPr>
      <w:r>
        <w:rPr>
          <w:rFonts w:hint="eastAsia" w:ascii="宋体" w:hAnsi="宋体" w:eastAsia="宋体" w:cs="宋体"/>
          <w:b/>
          <w:bCs w:val="0"/>
          <w:kern w:val="0"/>
          <w:sz w:val="32"/>
          <w:szCs w:val="32"/>
          <w:lang w:val="en-US" w:eastAsia="zh-CN" w:bidi="ar"/>
        </w:rPr>
        <w:t>5.加大人才培养。</w:t>
      </w:r>
      <w:r>
        <w:rPr>
          <w:rFonts w:hint="eastAsia" w:eastAsia="仿宋_GB2312"/>
          <w:sz w:val="32"/>
          <w:szCs w:val="32"/>
          <w:lang w:eastAsia="zh-CN"/>
        </w:rPr>
        <w:t>由于基层医疗卫生机构医护人员总量不足且青黄不接的问题，希望财政能加大对医疗卫生本土化人才培养的投入，</w:t>
      </w:r>
    </w:p>
    <w:p>
      <w:pPr>
        <w:pStyle w:val="2"/>
        <w:ind w:firstLine="643" w:firstLineChars="200"/>
        <w:rPr>
          <w:rFonts w:hint="default"/>
        </w:rPr>
      </w:pPr>
      <w:r>
        <w:rPr>
          <w:rFonts w:hint="eastAsia" w:ascii="宋体" w:hAnsi="宋体" w:eastAsia="宋体" w:cs="宋体"/>
          <w:b/>
          <w:bCs w:val="0"/>
          <w:kern w:val="0"/>
          <w:sz w:val="32"/>
          <w:szCs w:val="32"/>
          <w:lang w:val="en-US" w:eastAsia="zh-CN" w:bidi="ar"/>
        </w:rPr>
        <w:t>6.增强投入。</w:t>
      </w:r>
      <w:r>
        <w:rPr>
          <w:rFonts w:hint="eastAsia" w:eastAsia="仿宋_GB2312"/>
          <w:sz w:val="32"/>
          <w:szCs w:val="32"/>
          <w:lang w:eastAsia="zh-CN"/>
        </w:rPr>
        <w:t>疾病预防控制中相关经费短缺，预防性健康体检经费，疫情防控经费，建设等项目需要增强投入和建设。</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2"/>
        <w:rPr>
          <w:rFonts w:hint="eastAsia" w:eastAsia="黑体"/>
          <w:lang w:val="en-US" w:eastAsia="zh-CN"/>
        </w:rPr>
      </w:pPr>
      <w:r>
        <w:rPr>
          <w:rFonts w:hint="eastAsia" w:eastAsia="仿宋_GB2312"/>
          <w:sz w:val="32"/>
          <w:szCs w:val="32"/>
          <w:lang w:val="en-US" w:eastAsia="zh-CN"/>
        </w:rPr>
        <w:t>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000000"/>
                <w:kern w:val="0"/>
                <w:sz w:val="18"/>
                <w:szCs w:val="18"/>
                <w:lang w:eastAsia="zh-CN"/>
              </w:rPr>
            </w:pPr>
            <w:r>
              <w:rPr>
                <w:rFonts w:hint="eastAsia" w:ascii="仿宋_GB2312" w:hAnsi="宋体" w:eastAsia="仿宋_GB2312" w:cs="宋体"/>
                <w:b/>
                <w:bCs/>
                <w:color w:val="000000"/>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指标</w:t>
            </w:r>
          </w:p>
        </w:tc>
        <w:tc>
          <w:tcPr>
            <w:tcW w:w="540"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分值</w:t>
            </w:r>
          </w:p>
        </w:tc>
        <w:tc>
          <w:tcPr>
            <w:tcW w:w="703"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000000"/>
                <w:kern w:val="0"/>
                <w:sz w:val="18"/>
                <w:szCs w:val="18"/>
                <w:lang w:eastAsia="zh-CN"/>
              </w:rPr>
            </w:pPr>
            <w:r>
              <w:rPr>
                <w:rFonts w:hint="eastAsia" w:ascii="仿宋_GB2312" w:hAnsi="宋体" w:eastAsia="仿宋_GB2312" w:cs="宋体"/>
                <w:b/>
                <w:bCs/>
                <w:color w:val="000000"/>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指标</w:t>
            </w:r>
          </w:p>
        </w:tc>
        <w:tc>
          <w:tcPr>
            <w:tcW w:w="540"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分值</w:t>
            </w:r>
          </w:p>
        </w:tc>
        <w:tc>
          <w:tcPr>
            <w:tcW w:w="803"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000000"/>
                <w:kern w:val="0"/>
                <w:sz w:val="18"/>
                <w:szCs w:val="18"/>
                <w:lang w:eastAsia="zh-CN"/>
              </w:rPr>
            </w:pPr>
            <w:r>
              <w:rPr>
                <w:rFonts w:hint="eastAsia" w:ascii="仿宋_GB2312" w:hAnsi="宋体" w:eastAsia="仿宋_GB2312" w:cs="宋体"/>
                <w:b/>
                <w:bCs/>
                <w:color w:val="000000"/>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指标</w:t>
            </w:r>
          </w:p>
        </w:tc>
        <w:tc>
          <w:tcPr>
            <w:tcW w:w="550"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分值</w:t>
            </w:r>
          </w:p>
        </w:tc>
        <w:tc>
          <w:tcPr>
            <w:tcW w:w="2407"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具体指标</w:t>
            </w:r>
          </w:p>
        </w:tc>
        <w:tc>
          <w:tcPr>
            <w:tcW w:w="2772"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评价标准</w:t>
            </w:r>
          </w:p>
        </w:tc>
        <w:tc>
          <w:tcPr>
            <w:tcW w:w="803" w:type="dxa"/>
            <w:tcBorders>
              <w:top w:val="single" w:color="FEFEFE" w:sz="8" w:space="0"/>
              <w:left w:val="single" w:color="FEFEFE" w:sz="8" w:space="0"/>
              <w:bottom w:val="single" w:color="82181A" w:sz="24"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24"/>
              </w:rPr>
            </w:pPr>
            <w:r>
              <w:rPr>
                <w:rFonts w:hint="eastAsia" w:ascii="仿宋_GB2312" w:hAnsi="宋体" w:eastAsia="仿宋_GB2312" w:cs="宋体"/>
                <w:b/>
                <w:bCs/>
                <w:color w:val="000000"/>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single" w:color="82181A" w:sz="24" w:space="0"/>
              <w:left w:val="single" w:color="FEFEFE" w:sz="8" w:space="0"/>
              <w:bottom w:val="single" w:color="82181A" w:sz="8" w:space="0"/>
              <w:right w:val="single" w:color="FEFEFE" w:sz="8" w:space="0"/>
            </w:tcBorders>
            <w:shd w:val="clear" w:color="auto" w:fill="FEFEFE"/>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项目决策</w:t>
            </w:r>
          </w:p>
        </w:tc>
        <w:tc>
          <w:tcPr>
            <w:tcW w:w="540" w:type="dxa"/>
            <w:vMerge w:val="restart"/>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20</w:t>
            </w:r>
          </w:p>
        </w:tc>
        <w:tc>
          <w:tcPr>
            <w:tcW w:w="703" w:type="dxa"/>
            <w:tcBorders>
              <w:top w:val="single" w:color="82181A" w:sz="24"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项目目标</w:t>
            </w:r>
          </w:p>
        </w:tc>
        <w:tc>
          <w:tcPr>
            <w:tcW w:w="540" w:type="dxa"/>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803" w:type="dxa"/>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内容</w:t>
            </w:r>
          </w:p>
        </w:tc>
        <w:tc>
          <w:tcPr>
            <w:tcW w:w="550" w:type="dxa"/>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2407" w:type="dxa"/>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设立了项目绩效目标；目标明确；目标细化；目标量化</w:t>
            </w:r>
          </w:p>
        </w:tc>
        <w:tc>
          <w:tcPr>
            <w:tcW w:w="2772" w:type="dxa"/>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④目标量化（1分）</w:t>
            </w:r>
          </w:p>
        </w:tc>
        <w:tc>
          <w:tcPr>
            <w:tcW w:w="803" w:type="dxa"/>
            <w:tcBorders>
              <w:top w:val="single" w:color="82181A" w:sz="24"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277"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决策过程</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依据</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有关法律法规的明确规定；某一经济社会发展规划；某部门年度工作计划；某一实际问题和需求</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spacing w:val="-6"/>
                <w:kern w:val="0"/>
                <w:sz w:val="18"/>
                <w:szCs w:val="18"/>
                <w:lang w:eastAsia="zh-CN"/>
              </w:rPr>
            </w:pPr>
            <w:r>
              <w:rPr>
                <w:rFonts w:hint="eastAsia" w:ascii="仿宋_GB2312" w:hAnsi="宋体" w:eastAsia="仿宋_GB2312" w:cs="宋体"/>
                <w:color w:val="000000"/>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以上③需提供佐证资料。</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983"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程序</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项目符合申报条件；申报、批复程序符合相关管理办法；项目调整履行了相应手续</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spacing w:val="-6"/>
                <w:kern w:val="0"/>
                <w:sz w:val="18"/>
                <w:szCs w:val="18"/>
              </w:rPr>
              <w:t>③项目调整履行了相应手续（1分）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967"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资金分配</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办法</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根据需要制定的相关资金管理办法；管理办法中有明确资金分配办法；资金分配因素全面、合理</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以上①需提供佐证资料。</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758"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结果</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资金分配符合相关管理办法；分配结果公平合理</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spacing w:val="-6"/>
                <w:kern w:val="0"/>
                <w:sz w:val="18"/>
                <w:szCs w:val="18"/>
              </w:rPr>
              <w:t>此项需提供相应的资金分配方案。</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438" w:hRule="atLeast"/>
          <w:jc w:val="center"/>
        </w:trPr>
        <w:tc>
          <w:tcPr>
            <w:tcW w:w="702"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项目</w:t>
            </w:r>
            <w:r>
              <w:rPr>
                <w:rFonts w:hint="eastAsia" w:ascii="仿宋_GB2312" w:hAnsi="宋体" w:eastAsia="仿宋_GB2312" w:cs="宋体"/>
                <w:color w:val="000000"/>
                <w:kern w:val="0"/>
                <w:sz w:val="18"/>
                <w:szCs w:val="18"/>
                <w:lang w:eastAsia="zh-CN"/>
              </w:rPr>
              <w:t>管理</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25</w:t>
            </w:r>
          </w:p>
          <w:p>
            <w:pPr>
              <w:keepNext w:val="0"/>
              <w:keepLines w:val="0"/>
              <w:suppressLineNumbers w:val="0"/>
              <w:spacing w:before="0" w:beforeAutospacing="0" w:after="0" w:afterAutospacing="0"/>
              <w:ind w:left="0" w:right="0"/>
              <w:rPr>
                <w:rFonts w:hint="default"/>
                <w:color w:val="000000"/>
              </w:rPr>
            </w:pP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资金到位</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到位率</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实际到位/计划到位*100%</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根据项目资金的实际到位率计算得分（3分）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74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时效</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资金及时到位；若未及时到位，是否影响项目进度</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spacing w:val="-10"/>
                <w:kern w:val="0"/>
                <w:sz w:val="18"/>
                <w:szCs w:val="18"/>
                <w:lang w:eastAsia="zh-CN"/>
              </w:rPr>
            </w:pPr>
            <w:r>
              <w:rPr>
                <w:rFonts w:hint="eastAsia" w:ascii="仿宋_GB2312" w:hAnsi="宋体" w:eastAsia="仿宋_GB2312" w:cs="宋体"/>
                <w:color w:val="000000"/>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spacing w:val="-6"/>
                <w:kern w:val="0"/>
                <w:sz w:val="18"/>
                <w:szCs w:val="18"/>
              </w:rPr>
              <w:t>③不及时并影响项目进度（0.5分）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68"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资金管理</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10</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使用</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7</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支出依据合规，无虚列项目支出情况；无截留挤占挪用情况；无超标准开支情况；无超预算情况</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⑤超预算扣2-5分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871"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管理</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资金管理、费用支出等制度健全；制度执行严格；会计核算规范</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以上①需提供佐证资料。</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532"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suppressLineNumbers w:val="0"/>
              <w:spacing w:before="0" w:beforeAutospacing="0" w:after="0" w:afterAutospacing="0"/>
              <w:ind w:left="0" w:right="0"/>
              <w:rPr>
                <w:rFonts w:hint="default"/>
                <w:color w:val="000000"/>
              </w:rPr>
            </w:pP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组织实施</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10</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机构</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机构健全、分工明确</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①机构健全、分工明确  （1分）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条件</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项目实施单位是否提供或具备了必备的人员、场地和设备等条件</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具备人员、场地、设备条件（1分）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实施</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项目按计划开工；按计划进度开展；按计划完工</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③按计划完工（1分）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745"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制度</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项目管理制度健全；严格执行相关管理制度</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以上①需提供佐证资料。</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项目绩效</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55</w:t>
            </w: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项目产出</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15</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数量</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目标完成率=目标完成数/预定目标数×100%</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完成绩效目标100%得5分，未完成100%的同比例扣减。</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质量</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目标完成质量=实际达到的效果/预定目标×100%</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项目产出质量达到绩效目标100%得4分，未完成100%的同比例扣减。</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时效</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项目资金使用的预定目标是否如期完成，未完成的理由是否充分</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项目产出时效达到绩效目标得3分，未如期完成且无充分理由的扣3分。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成本</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项目产出成本是否按绩效目标控制</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项目产出成本按绩效目标控制得3分，未完成的，按超支比例扣减。</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restart"/>
            <w:tcBorders>
              <w:top w:val="single" w:color="82181A" w:sz="8" w:space="0"/>
              <w:left w:val="single" w:color="FEFEFE" w:sz="8" w:space="0"/>
              <w:bottom w:val="single" w:color="82181A" w:sz="8" w:space="0"/>
              <w:right w:val="single" w:color="FEFEFE" w:sz="8" w:space="0"/>
            </w:tcBorders>
            <w:shd w:val="clear" w:color="auto" w:fill="FEFEFE"/>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项目效果</w:t>
            </w:r>
          </w:p>
        </w:tc>
        <w:tc>
          <w:tcPr>
            <w:tcW w:w="540" w:type="dxa"/>
            <w:vMerge w:val="restart"/>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40</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效益</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项目实施对经济发展所带来的直接或间接影响情况。</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完成绩效目标设定的经济效益得8分，未完成的，按完成情况酌情扣分。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效益</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项目实施对社会发展所带来的直接或间接影响情况。</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完成绩效目标设定的社会效益得8分，未完成的，按完成情况酌情扣分。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效益</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项目实施对生态环境所带来的直接或间接影响情况。</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完成绩效目标设定的积极的环境效益得8分，未完成的，按完成情况酌情扣分。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lang w:eastAsia="zh-CN"/>
              </w:rPr>
            </w:pPr>
            <w:r>
              <w:rPr>
                <w:rFonts w:hint="eastAsia" w:ascii="仿宋_GB2312" w:hAnsi="宋体" w:eastAsia="仿宋_GB2312" w:cs="宋体"/>
                <w:color w:val="000000"/>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影响</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项目后续运行及成效发挥的可持续影响情况。</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完成绩效设定目标的得8分，未完成的，按完成情况酌情扣分。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703"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540" w:type="dxa"/>
            <w:vMerge w:val="continue"/>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满意度</w:t>
            </w:r>
          </w:p>
        </w:tc>
        <w:tc>
          <w:tcPr>
            <w:tcW w:w="550"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w:t>
            </w:r>
          </w:p>
        </w:tc>
        <w:tc>
          <w:tcPr>
            <w:tcW w:w="2407"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服务对象满意率=项目区被调查人数中表示满意的人数(户数)/ 被调查人数(户数)×100%</w:t>
            </w:r>
          </w:p>
        </w:tc>
        <w:tc>
          <w:tcPr>
            <w:tcW w:w="2772"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满意率达90%（含）以上的得8分，80%（含）-90%得6分，70%（含）-80%得4分，60%（含）-70%得2分，60%以下不得分。</w:t>
            </w:r>
          </w:p>
        </w:tc>
        <w:tc>
          <w:tcPr>
            <w:tcW w:w="803" w:type="dxa"/>
            <w:tcBorders>
              <w:top w:val="single" w:color="82181A" w:sz="8" w:space="0"/>
              <w:left w:val="single" w:color="FEFEFE" w:sz="8" w:space="0"/>
              <w:bottom w:val="single" w:color="82181A"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color w:val="000000"/>
                <w:kern w:val="0"/>
                <w:sz w:val="24"/>
              </w:rPr>
            </w:pPr>
          </w:p>
        </w:tc>
      </w:tr>
      <w:tr>
        <w:tblPrEx>
          <w:tblCellMar>
            <w:top w:w="0" w:type="dxa"/>
            <w:left w:w="108" w:type="dxa"/>
            <w:bottom w:w="0" w:type="dxa"/>
            <w:right w:w="108" w:type="dxa"/>
          </w:tblCellMar>
        </w:tblPrEx>
        <w:trPr>
          <w:trHeight w:val="860" w:hRule="atLeast"/>
          <w:jc w:val="center"/>
        </w:trPr>
        <w:tc>
          <w:tcPr>
            <w:tcW w:w="702"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总分</w:t>
            </w:r>
          </w:p>
        </w:tc>
        <w:tc>
          <w:tcPr>
            <w:tcW w:w="540"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100</w:t>
            </w:r>
          </w:p>
        </w:tc>
        <w:tc>
          <w:tcPr>
            <w:tcW w:w="703"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p>
        </w:tc>
        <w:tc>
          <w:tcPr>
            <w:tcW w:w="540"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100</w:t>
            </w:r>
          </w:p>
        </w:tc>
        <w:tc>
          <w:tcPr>
            <w:tcW w:w="803"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p>
        </w:tc>
        <w:tc>
          <w:tcPr>
            <w:tcW w:w="550"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100</w:t>
            </w:r>
          </w:p>
        </w:tc>
        <w:tc>
          <w:tcPr>
            <w:tcW w:w="2407"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p>
        </w:tc>
        <w:tc>
          <w:tcPr>
            <w:tcW w:w="2772"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000000"/>
                <w:kern w:val="0"/>
                <w:sz w:val="18"/>
                <w:szCs w:val="18"/>
              </w:rPr>
            </w:pPr>
          </w:p>
        </w:tc>
        <w:tc>
          <w:tcPr>
            <w:tcW w:w="803" w:type="dxa"/>
            <w:tcBorders>
              <w:top w:val="single" w:color="82181A" w:sz="8" w:space="0"/>
              <w:left w:val="single" w:color="FEFEFE" w:sz="8" w:space="0"/>
              <w:bottom w:val="single" w:color="FEFEFE" w:sz="8" w:space="0"/>
              <w:right w:val="single" w:color="FEFEFE" w:sz="8" w:space="0"/>
            </w:tcBorders>
            <w:shd w:val="clear" w:color="auto" w:fill="FEFEFE"/>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b/>
                <w:bCs/>
                <w:color w:val="000000"/>
                <w:kern w:val="0"/>
                <w:sz w:val="24"/>
              </w:rPr>
            </w:pP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(一)项目概况。包括项目背景、主要内容及实施情况、资金投入和使用情况等。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(二)项目绩效目标。包括总体目标和阶段性目标。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(二)绩效评价原则、评价指标体系(附表说明)、评价方法、 评价标准等。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(二)项目过程情况。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(四)项目效益情况。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1E95C8-E4EE-4F13-81AF-BDDFBB64A748}"/>
  </w:font>
  <w:font w:name="Arial">
    <w:panose1 w:val="020B0604020202020204"/>
    <w:charset w:val="01"/>
    <w:family w:val="swiss"/>
    <w:pitch w:val="default"/>
    <w:sig w:usb0="E0002AFF" w:usb1="C0007843" w:usb2="00000009" w:usb3="00000000" w:csb0="400001FF" w:csb1="FFFF0000"/>
    <w:embedRegular r:id="rId2" w:fontKey="{52D7C5D0-BABD-4AC1-B70B-52D4363A70E4}"/>
  </w:font>
  <w:font w:name="黑体">
    <w:panose1 w:val="02010609060101010101"/>
    <w:charset w:val="86"/>
    <w:family w:val="auto"/>
    <w:pitch w:val="default"/>
    <w:sig w:usb0="800002BF" w:usb1="38CF7CFA" w:usb2="00000016" w:usb3="00000000" w:csb0="00040001" w:csb1="00000000"/>
    <w:embedRegular r:id="rId3" w:fontKey="{1A8F07D0-B3E1-4FDA-B95A-8B728936AB8C}"/>
  </w:font>
  <w:font w:name="Courier New">
    <w:panose1 w:val="02070309020205020404"/>
    <w:charset w:val="01"/>
    <w:family w:val="modern"/>
    <w:pitch w:val="default"/>
    <w:sig w:usb0="E0002AFF" w:usb1="C0007843" w:usb2="00000009" w:usb3="00000000" w:csb0="400001FF" w:csb1="FFFF0000"/>
    <w:embedRegular r:id="rId4" w:fontKey="{72C2EE11-D576-4F63-A86E-B2F40596B00F}"/>
  </w:font>
  <w:font w:name="Symbol">
    <w:panose1 w:val="05050102010706020507"/>
    <w:charset w:val="02"/>
    <w:family w:val="roman"/>
    <w:pitch w:val="default"/>
    <w:sig w:usb0="00000000" w:usb1="00000000" w:usb2="00000000" w:usb3="00000000" w:csb0="80000000" w:csb1="00000000"/>
    <w:embedRegular r:id="rId5" w:fontKey="{B20E3FC8-7E84-4451-A23F-7757FFC710D1}"/>
  </w:font>
  <w:font w:name="Calibri">
    <w:panose1 w:val="020F0502020204030204"/>
    <w:charset w:val="00"/>
    <w:family w:val="swiss"/>
    <w:pitch w:val="default"/>
    <w:sig w:usb0="E00002FF" w:usb1="4000ACFF" w:usb2="00000001" w:usb3="00000000" w:csb0="2000019F" w:csb1="00000000"/>
    <w:embedRegular r:id="rId6" w:fontKey="{9969568D-BD94-4290-AF2B-91EDDEC357D0}"/>
  </w:font>
  <w:font w:name="方正小标宋简体">
    <w:altName w:val="仿宋_GB2312"/>
    <w:panose1 w:val="02010601030101010101"/>
    <w:charset w:val="86"/>
    <w:family w:val="auto"/>
    <w:pitch w:val="default"/>
    <w:sig w:usb0="00000000" w:usb1="00000000" w:usb2="00000000" w:usb3="00000000" w:csb0="00040000" w:csb1="00000000"/>
    <w:embedRegular r:id="rId7" w:fontKey="{1CFEC620-CB99-4F9B-87CD-3BB54B75E1E0}"/>
  </w:font>
  <w:font w:name="新宋体">
    <w:panose1 w:val="02010609030101010101"/>
    <w:charset w:val="86"/>
    <w:family w:val="auto"/>
    <w:pitch w:val="default"/>
    <w:sig w:usb0="00000003" w:usb1="288F0000" w:usb2="00000006" w:usb3="00000000" w:csb0="00040001" w:csb1="00000000"/>
    <w:embedRegular r:id="rId8" w:fontKey="{8020F474-E8E4-4934-ACCF-C7FFDB191C71}"/>
  </w:font>
  <w:font w:name="仿宋_GB2312">
    <w:panose1 w:val="02010609030101010101"/>
    <w:charset w:val="86"/>
    <w:family w:val="auto"/>
    <w:pitch w:val="default"/>
    <w:sig w:usb0="00000001" w:usb1="080E0000" w:usb2="00000000" w:usb3="00000000" w:csb0="00040000" w:csb1="00000000"/>
    <w:embedRegular r:id="rId9" w:fontKey="{6168F139-4C0E-40AF-8B0D-2E98B9A24451}"/>
  </w:font>
  <w:font w:name="方正小标宋_GBK">
    <w:panose1 w:val="03000509000000000000"/>
    <w:charset w:val="86"/>
    <w:family w:val="script"/>
    <w:pitch w:val="default"/>
    <w:sig w:usb0="00000001" w:usb1="080E0000" w:usb2="00000000" w:usb3="00000000" w:csb0="00040000" w:csb1="00000000"/>
    <w:embedRegular r:id="rId10" w:fontKey="{AFB42ADA-D357-4573-A755-CE655C39DA60}"/>
  </w:font>
  <w:font w:name="楷体_GB2312">
    <w:panose1 w:val="02010609030101010101"/>
    <w:charset w:val="86"/>
    <w:family w:val="auto"/>
    <w:pitch w:val="default"/>
    <w:sig w:usb0="00000001" w:usb1="080E0000" w:usb2="00000000" w:usb3="00000000" w:csb0="00040000" w:csb1="00000000"/>
    <w:embedRegular r:id="rId11" w:fontKey="{292B843E-11FD-448C-9A8F-4BD6917D802A}"/>
  </w:font>
  <w:font w:name="华文仿宋">
    <w:panose1 w:val="02010600040101010101"/>
    <w:charset w:val="86"/>
    <w:family w:val="auto"/>
    <w:pitch w:val="default"/>
    <w:sig w:usb0="00000287" w:usb1="080F0000" w:usb2="00000000" w:usb3="00000000" w:csb0="0004009F" w:csb1="DFD70000"/>
    <w:embedRegular r:id="rId12" w:fontKey="{53C3E175-8393-42FA-BF55-D0726115919E}"/>
  </w:font>
  <w:font w:name="楷体">
    <w:panose1 w:val="02010609060101010101"/>
    <w:charset w:val="86"/>
    <w:family w:val="auto"/>
    <w:pitch w:val="default"/>
    <w:sig w:usb0="800002BF" w:usb1="38CF7CFA" w:usb2="00000016" w:usb3="00000000" w:csb0="00040001" w:csb1="00000000"/>
    <w:embedRegular r:id="rId13" w:fontKey="{BCC3618A-B5AC-46DD-A7EE-C61A4F9BA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31A568"/>
    <w:multiLevelType w:val="singleLevel"/>
    <w:tmpl w:val="F131A56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74"/>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lNmIwMWI0OGJjY2IyZjNjYzQ5MWU1YjRmY2M0MzQ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8922F27"/>
    <w:rsid w:val="09E06A6E"/>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38E1EAB"/>
    <w:rsid w:val="15A620D3"/>
    <w:rsid w:val="16A3369E"/>
    <w:rsid w:val="178536BD"/>
    <w:rsid w:val="18552337"/>
    <w:rsid w:val="188B3F3A"/>
    <w:rsid w:val="19516372"/>
    <w:rsid w:val="19575CC2"/>
    <w:rsid w:val="19A80228"/>
    <w:rsid w:val="1A101464"/>
    <w:rsid w:val="1AA91564"/>
    <w:rsid w:val="1AB74849"/>
    <w:rsid w:val="1AC52FF2"/>
    <w:rsid w:val="1AE6175D"/>
    <w:rsid w:val="1B742AA7"/>
    <w:rsid w:val="1CA34935"/>
    <w:rsid w:val="1D5A640E"/>
    <w:rsid w:val="1DDE0ED1"/>
    <w:rsid w:val="1F7640EC"/>
    <w:rsid w:val="20D76C5F"/>
    <w:rsid w:val="21057490"/>
    <w:rsid w:val="214A230E"/>
    <w:rsid w:val="21B052C4"/>
    <w:rsid w:val="2271533D"/>
    <w:rsid w:val="22FF5445"/>
    <w:rsid w:val="238D0E57"/>
    <w:rsid w:val="24256710"/>
    <w:rsid w:val="251E7983"/>
    <w:rsid w:val="25847DEE"/>
    <w:rsid w:val="25D951D2"/>
    <w:rsid w:val="260D5D83"/>
    <w:rsid w:val="284A2254"/>
    <w:rsid w:val="292F1467"/>
    <w:rsid w:val="29736F84"/>
    <w:rsid w:val="29786927"/>
    <w:rsid w:val="297B51B4"/>
    <w:rsid w:val="29E40467"/>
    <w:rsid w:val="29F527E2"/>
    <w:rsid w:val="2BBD6F02"/>
    <w:rsid w:val="2BF35971"/>
    <w:rsid w:val="2C487650"/>
    <w:rsid w:val="2E4F43C0"/>
    <w:rsid w:val="2EC7368E"/>
    <w:rsid w:val="30FB4B41"/>
    <w:rsid w:val="31621165"/>
    <w:rsid w:val="323C5548"/>
    <w:rsid w:val="32C43EEA"/>
    <w:rsid w:val="37450F88"/>
    <w:rsid w:val="37D6106F"/>
    <w:rsid w:val="37DE77FC"/>
    <w:rsid w:val="38F862EB"/>
    <w:rsid w:val="39343807"/>
    <w:rsid w:val="39887BBC"/>
    <w:rsid w:val="3A53023B"/>
    <w:rsid w:val="3A7C3409"/>
    <w:rsid w:val="3AF42D2D"/>
    <w:rsid w:val="3B3A041F"/>
    <w:rsid w:val="3BAE6BF9"/>
    <w:rsid w:val="3C0149A1"/>
    <w:rsid w:val="3CCA47F2"/>
    <w:rsid w:val="3CDE0708"/>
    <w:rsid w:val="3D5877DF"/>
    <w:rsid w:val="3DC55CAA"/>
    <w:rsid w:val="3DD556CA"/>
    <w:rsid w:val="3E106FC2"/>
    <w:rsid w:val="3F450429"/>
    <w:rsid w:val="40226C80"/>
    <w:rsid w:val="40C451A5"/>
    <w:rsid w:val="4156470B"/>
    <w:rsid w:val="41943ACE"/>
    <w:rsid w:val="425D4066"/>
    <w:rsid w:val="43173FD4"/>
    <w:rsid w:val="44143822"/>
    <w:rsid w:val="44205041"/>
    <w:rsid w:val="44654A12"/>
    <w:rsid w:val="457C5F26"/>
    <w:rsid w:val="47A621BC"/>
    <w:rsid w:val="49CF255F"/>
    <w:rsid w:val="4B2C5DCD"/>
    <w:rsid w:val="4B7D1173"/>
    <w:rsid w:val="4C150E22"/>
    <w:rsid w:val="4C6A38FC"/>
    <w:rsid w:val="4CB9218D"/>
    <w:rsid w:val="4CE74BC3"/>
    <w:rsid w:val="4CF5000E"/>
    <w:rsid w:val="4DB17672"/>
    <w:rsid w:val="50AC44C4"/>
    <w:rsid w:val="50EA6DB9"/>
    <w:rsid w:val="51CA7471"/>
    <w:rsid w:val="51E613C5"/>
    <w:rsid w:val="521C2FA3"/>
    <w:rsid w:val="522529B2"/>
    <w:rsid w:val="53910AF4"/>
    <w:rsid w:val="555952B3"/>
    <w:rsid w:val="556B5A36"/>
    <w:rsid w:val="55AF40BB"/>
    <w:rsid w:val="56F72F7C"/>
    <w:rsid w:val="583D0117"/>
    <w:rsid w:val="583E51B4"/>
    <w:rsid w:val="586243BF"/>
    <w:rsid w:val="58FD3402"/>
    <w:rsid w:val="5AAF7799"/>
    <w:rsid w:val="5B5C1753"/>
    <w:rsid w:val="5C261A0E"/>
    <w:rsid w:val="5C9E54E5"/>
    <w:rsid w:val="5E134100"/>
    <w:rsid w:val="5EA958DC"/>
    <w:rsid w:val="5F7A1C50"/>
    <w:rsid w:val="601C4AB5"/>
    <w:rsid w:val="603D6ED9"/>
    <w:rsid w:val="60BE691E"/>
    <w:rsid w:val="61444403"/>
    <w:rsid w:val="62265BDF"/>
    <w:rsid w:val="62E1699A"/>
    <w:rsid w:val="63400ABB"/>
    <w:rsid w:val="64147F0D"/>
    <w:rsid w:val="64D66362"/>
    <w:rsid w:val="65860217"/>
    <w:rsid w:val="667E0AA1"/>
    <w:rsid w:val="67E825F8"/>
    <w:rsid w:val="68FB17C3"/>
    <w:rsid w:val="695F12F9"/>
    <w:rsid w:val="69636C3A"/>
    <w:rsid w:val="69CF7B2C"/>
    <w:rsid w:val="6A0B0004"/>
    <w:rsid w:val="6BA1010E"/>
    <w:rsid w:val="6CE47E41"/>
    <w:rsid w:val="6CED5810"/>
    <w:rsid w:val="6CF92413"/>
    <w:rsid w:val="6DFE5E04"/>
    <w:rsid w:val="6E87203D"/>
    <w:rsid w:val="6F9278BB"/>
    <w:rsid w:val="70603021"/>
    <w:rsid w:val="71572F19"/>
    <w:rsid w:val="719B7427"/>
    <w:rsid w:val="724A6793"/>
    <w:rsid w:val="741F26FA"/>
    <w:rsid w:val="74470DF8"/>
    <w:rsid w:val="75FD1676"/>
    <w:rsid w:val="799536BA"/>
    <w:rsid w:val="7A252A8D"/>
    <w:rsid w:val="7B170752"/>
    <w:rsid w:val="7B8F681B"/>
    <w:rsid w:val="7C765821"/>
    <w:rsid w:val="7D4C6582"/>
    <w:rsid w:val="7D621902"/>
    <w:rsid w:val="7DD96C0E"/>
    <w:rsid w:val="7E474F7B"/>
    <w:rsid w:val="7E8F7AC1"/>
    <w:rsid w:val="7FA039E2"/>
    <w:rsid w:val="7FFC429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Footer Char"/>
    <w:basedOn w:val="9"/>
    <w:link w:val="4"/>
    <w:semiHidden/>
    <w:qFormat/>
    <w:uiPriority w:val="99"/>
    <w:rPr>
      <w:sz w:val="18"/>
      <w:szCs w:val="18"/>
    </w:rPr>
  </w:style>
  <w:style w:type="character" w:customStyle="1" w:styleId="12">
    <w:name w:val="Header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16</Pages>
  <Words>6208</Words>
  <Characters>6651</Characters>
  <Lines>0</Lines>
  <Paragraphs>0</Paragraphs>
  <TotalTime>52</TotalTime>
  <ScaleCrop>false</ScaleCrop>
  <LinksUpToDate>false</LinksUpToDate>
  <CharactersWithSpaces>6938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巧笑言兮</cp:lastModifiedBy>
  <cp:lastPrinted>2023-06-29T01:04:00Z</cp:lastPrinted>
  <dcterms:modified xsi:type="dcterms:W3CDTF">2023-07-12T01:31:18Z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7F36BA0536DC40C1AF1435F432219A17_13</vt:lpwstr>
  </property>
</Properties>
</file>