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7"/>
        <w:tblW w:w="4997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22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22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37      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880" w:firstLineChars="40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435.6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435.6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89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 xml:space="preserve">        89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89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.卫生健康支出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89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 xml:space="preserve">        89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 xml:space="preserve">     89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val="en-US" w:eastAsia="zh-CN"/>
        </w:rPr>
        <w:t>竺志芳</w:t>
      </w:r>
      <w:r>
        <w:rPr>
          <w:rFonts w:hint="default" w:ascii="Times New Roman" w:hAnsi="Times New Roman" w:eastAsia="仿宋_GB2312" w:cs="Times New Roman"/>
          <w:sz w:val="22"/>
        </w:rPr>
        <w:t xml:space="preserve"> 填报日期：</w:t>
      </w:r>
      <w:r>
        <w:rPr>
          <w:rFonts w:hint="eastAsia" w:eastAsia="仿宋_GB2312" w:cs="Times New Roman"/>
          <w:sz w:val="22"/>
          <w:lang w:val="en-US" w:eastAsia="zh-CN"/>
        </w:rPr>
        <w:t>2023年7月7日</w:t>
      </w:r>
      <w:r>
        <w:rPr>
          <w:rFonts w:hint="default" w:ascii="Times New Roman" w:hAnsi="Times New Roman" w:eastAsia="仿宋_GB2312" w:cs="Times New Roman"/>
          <w:sz w:val="22"/>
        </w:rPr>
        <w:t xml:space="preserve"> 联系电话：</w:t>
      </w:r>
      <w:r>
        <w:rPr>
          <w:rFonts w:hint="eastAsia" w:eastAsia="仿宋_GB2312" w:cs="Times New Roman"/>
          <w:sz w:val="22"/>
          <w:lang w:val="en-US" w:eastAsia="zh-CN"/>
        </w:rPr>
        <w:t>15115038866</w:t>
      </w:r>
      <w:r>
        <w:rPr>
          <w:rFonts w:hint="default" w:ascii="Times New Roman" w:hAnsi="Times New Roman" w:eastAsia="仿宋_GB2312" w:cs="Times New Roman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7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6"/>
        <w:gridCol w:w="853"/>
        <w:gridCol w:w="866"/>
        <w:gridCol w:w="1045"/>
        <w:gridCol w:w="1111"/>
        <w:gridCol w:w="1134"/>
        <w:gridCol w:w="636"/>
        <w:gridCol w:w="1006"/>
        <w:gridCol w:w="156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21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华容县胜峰卫生院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78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33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33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292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524.6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524.6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524.6</w:t>
            </w:r>
          </w:p>
        </w:tc>
        <w:tc>
          <w:tcPr>
            <w:tcW w:w="231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524.6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360.3</w:t>
            </w:r>
          </w:p>
        </w:tc>
        <w:tc>
          <w:tcPr>
            <w:tcW w:w="231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435.6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89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231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164.3</w:t>
            </w:r>
          </w:p>
        </w:tc>
        <w:tc>
          <w:tcPr>
            <w:tcW w:w="231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1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目标1：</w:t>
            </w:r>
            <w:r>
              <w:rPr>
                <w:rFonts w:hint="eastAsia" w:eastAsia="仿宋_GB2312"/>
                <w:kern w:val="0"/>
                <w:szCs w:val="21"/>
              </w:rPr>
              <w:t>保障职工工资福利发放，“五险一金缴纳”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目标2：</w:t>
            </w:r>
            <w:r>
              <w:rPr>
                <w:rFonts w:hint="eastAsia" w:eastAsia="仿宋_GB2312"/>
                <w:kern w:val="0"/>
                <w:szCs w:val="21"/>
              </w:rPr>
              <w:t>公用经费确保工作正常运转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目标3：</w:t>
            </w:r>
            <w:r>
              <w:rPr>
                <w:rFonts w:hint="eastAsia" w:eastAsia="仿宋_GB2312"/>
                <w:kern w:val="0"/>
                <w:szCs w:val="21"/>
              </w:rPr>
              <w:t>医疗收入保障医院日常工作开展</w:t>
            </w:r>
          </w:p>
        </w:tc>
        <w:tc>
          <w:tcPr>
            <w:tcW w:w="231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职工工资福利发放，“五险一金缴纳”到位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医疗和公卫工作圆满完成预期目标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78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工资福利发放率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“五险一金”缴纳率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日常公用经费使用率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210" w:right="0" w:hanging="210" w:hangingChars="1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仿宋_GB2312"/>
                <w:kern w:val="0"/>
                <w:szCs w:val="21"/>
              </w:rPr>
              <w:t>患者治愈率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加强专业技术培训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公卫管理率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加强公卫及乡村医生管理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年初计划门诊收入完成率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年初计划住院收入完成率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工资福利到位率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“五险一金”缴纳到位率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78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医院正常开展各项业务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患者治愈率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加强专业知识培训，提升水平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环境污染处理率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医废污染处理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污水污染处理</w:t>
            </w:r>
          </w:p>
        </w:tc>
        <w:tc>
          <w:tcPr>
            <w:tcW w:w="60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69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患者满意度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居民满意度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92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96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填表人：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竺志芳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2023年7月7日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联系电话：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15115038866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华容县胜峰卫生院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年  月 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华容县胜峰卫生院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shd w:val="solid" w:color="FFFFFF" w:fill="auto"/>
        <w:autoSpaceDN w:val="0"/>
        <w:spacing w:line="600" w:lineRule="exact"/>
        <w:ind w:firstLine="640" w:firstLineChars="200"/>
        <w:jc w:val="left"/>
        <w:rPr>
          <w:rFonts w:hint="default" w:ascii="仿宋_GB2312" w:hAnsi="仿宋_GB2312" w:eastAsia="仿宋_GB2312" w:cs="仿宋_GB2312"/>
          <w:color w:val="auto"/>
          <w:sz w:val="32"/>
          <w:lang w:val="en-US"/>
        </w:rPr>
      </w:pPr>
      <w:r>
        <w:rPr>
          <w:rFonts w:hint="eastAsia" w:ascii="仿宋_GB2312" w:hAnsi="仿宋_GB2312" w:eastAsia="仿宋_GB2312" w:cs="仿宋_GB2312"/>
          <w:color w:val="auto"/>
          <w:sz w:val="32"/>
        </w:rPr>
        <w:t>华容县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胜峰</w:t>
      </w:r>
      <w:r>
        <w:rPr>
          <w:rFonts w:hint="eastAsia" w:ascii="仿宋_GB2312" w:hAnsi="仿宋_GB2312" w:eastAsia="仿宋_GB2312" w:cs="仿宋_GB2312"/>
          <w:color w:val="auto"/>
          <w:sz w:val="32"/>
        </w:rPr>
        <w:t>卫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生院</w:t>
      </w:r>
      <w:r>
        <w:rPr>
          <w:rFonts w:hint="eastAsia" w:ascii="仿宋_GB2312" w:hAnsi="仿宋_GB2312" w:eastAsia="仿宋_GB2312" w:cs="仿宋_GB2312"/>
          <w:color w:val="auto"/>
          <w:sz w:val="32"/>
        </w:rPr>
        <w:t>系财政全额预算拨款单位。202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z w:val="32"/>
        </w:rPr>
        <w:t>年编制部门核实华容县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胜峰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卫生院</w:t>
      </w:r>
      <w:r>
        <w:rPr>
          <w:rFonts w:hint="eastAsia" w:ascii="仿宋_GB2312" w:hAnsi="仿宋_GB2312" w:eastAsia="仿宋_GB2312" w:cs="仿宋_GB2312"/>
          <w:color w:val="auto"/>
          <w:sz w:val="32"/>
        </w:rPr>
        <w:t>卫生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院事业</w:t>
      </w:r>
      <w:r>
        <w:rPr>
          <w:rFonts w:hint="eastAsia" w:ascii="仿宋_GB2312" w:hAnsi="仿宋_GB2312" w:eastAsia="仿宋_GB2312" w:cs="仿宋_GB2312"/>
          <w:color w:val="auto"/>
          <w:sz w:val="32"/>
        </w:rPr>
        <w:t>编制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32</w:t>
      </w:r>
      <w:r>
        <w:rPr>
          <w:rFonts w:hint="eastAsia" w:ascii="仿宋_GB2312" w:hAnsi="仿宋_GB2312" w:eastAsia="仿宋_GB2312" w:cs="仿宋_GB2312"/>
          <w:color w:val="auto"/>
          <w:sz w:val="32"/>
        </w:rPr>
        <w:t>名，实有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事业编制</w:t>
      </w:r>
      <w:r>
        <w:rPr>
          <w:rFonts w:hint="eastAsia" w:ascii="仿宋_GB2312" w:hAnsi="仿宋_GB2312" w:eastAsia="仿宋_GB2312" w:cs="仿宋_GB2312"/>
          <w:color w:val="auto"/>
          <w:sz w:val="32"/>
        </w:rPr>
        <w:t>人员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color w:val="auto"/>
          <w:sz w:val="32"/>
        </w:rPr>
        <w:t>人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.华容县胜峰卫生院单位内设机构包括：3个职能科室。医疗组、防保组、行政后勤组。</w:t>
      </w:r>
    </w:p>
    <w:p>
      <w:pPr>
        <w:pStyle w:val="2"/>
        <w:numPr>
          <w:ilvl w:val="0"/>
          <w:numId w:val="0"/>
        </w:numPr>
        <w:rPr>
          <w:rFonts w:hint="default"/>
        </w:rPr>
      </w:pPr>
      <w:bookmarkStart w:id="0" w:name="_GoBack"/>
      <w:bookmarkEnd w:id="0"/>
    </w:p>
    <w:p>
      <w:pPr>
        <w:pStyle w:val="1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spacing w:line="560" w:lineRule="exact"/>
        <w:ind w:firstLine="640" w:firstLineChars="200"/>
        <w:rPr>
          <w:rFonts w:hint="eastAsia" w:ascii="华文仿宋" w:hAnsi="华文仿宋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2022年华容县胜峰卫生院基本支出合计435.6万元，主要是用于人员工资、社会保障缴费、临时工工资以及为保障医疗卫生机构正常运转、完成日常工作任务而发生的商品和服务支出。其中：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工资福利支出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248</w:t>
      </w:r>
      <w:r>
        <w:rPr>
          <w:rFonts w:hint="eastAsia" w:ascii="仿宋_GB2312" w:hAnsi="仿宋_GB2312" w:eastAsia="仿宋_GB2312" w:cs="仿宋_GB2312"/>
          <w:sz w:val="32"/>
          <w:szCs w:val="28"/>
        </w:rPr>
        <w:t>万元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spacing w:line="560" w:lineRule="exact"/>
        <w:ind w:firstLine="643" w:firstLineChars="200"/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1、项目资金安排落实、总投入等情况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我部门项目资金按照年初预算的安排，按照月度与进度等安排资金落实，2022年华容县胜峰卫生院整体年初项目资金合计申报89万元，主要是用于</w:t>
      </w:r>
      <w:r>
        <w:rPr>
          <w:rFonts w:hint="eastAsia" w:ascii="仿宋_GB2312" w:hAnsi="仿宋_GB2312" w:eastAsia="仿宋_GB2312" w:cs="仿宋_GB2312"/>
          <w:color w:val="auto"/>
          <w:sz w:val="32"/>
          <w:szCs w:val="28"/>
          <w:lang w:val="en-US" w:eastAsia="zh-CN"/>
        </w:rPr>
        <w:t>基本公共卫生服务支出。</w:t>
      </w:r>
    </w:p>
    <w:p>
      <w:pPr>
        <w:spacing w:line="560" w:lineRule="exact"/>
        <w:ind w:firstLine="643" w:firstLineChars="200"/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2</w:t>
      </w: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、专项资金管理情况分析</w:t>
      </w:r>
    </w:p>
    <w:p>
      <w:pPr>
        <w:spacing w:line="600" w:lineRule="exact"/>
        <w:ind w:firstLine="470" w:firstLineChars="147"/>
        <w:jc w:val="left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严格按项目资金进行管理，执行相关财务支出管理制度，资金管理制度。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加强项目资金专款专用管理，设立专账核算，各项目执行单位财务机构加强项目资金日常使用监督。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2022年规范化居民电子健康档案已完成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16923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份，建档率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达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9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7.8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 xml:space="preserve"> %；共完成接种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4441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针次，其中卡介苗、乙肝疫苗、脊灰疫苗、麻疹疫苗、百白破、流脑、乙脑、甲肝等免疫规划疫苗接种率均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达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99 %以上；0-6岁儿童健康管理人数9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29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人，新生儿家庭访视率100%，儿童健康管理率100%；共管理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91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例孕产妇，早孕建册率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100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%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产后访视率100%；老年人健康管理2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320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人，健康管理率86 % ;糖尿病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504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 xml:space="preserve">人，规范管理 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308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人，规范管理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率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6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%；高血压管理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1568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人,规范管理  1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021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人,规范管理率6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 xml:space="preserve">%；严重精神障碍患者健康管理 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91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人，规范管理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91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人，规范管理率100%；肺结核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人，已管理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人，管理率100%，规范服药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人，规范服药率100%；接受中医药健康管理服务老年人1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686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人，老年人中医药健康管理率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72.6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 xml:space="preserve"> %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卫生院均实行了传染病和突发公共卫生事件预警应急机制，传染病疫情报告率100%，及时报告率100%；卫生计生监督协管信息报告率100%。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全乡家庭医生团队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个累计签约人数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7556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覆盖率44%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实现了应签尽签，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按季度完成了履约服务。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tabs>
          <w:tab w:val="center" w:pos="4153"/>
        </w:tabs>
        <w:spacing w:line="600" w:lineRule="exact"/>
        <w:ind w:firstLine="640" w:firstLineChars="200"/>
        <w:jc w:val="left"/>
        <w:rPr>
          <w:rFonts w:hint="eastAsia" w:ascii="仿宋_GB2312" w:hAnsi="宋体" w:eastAsia="仿宋_GB2312" w:cs="宋体"/>
          <w:bCs/>
          <w:sz w:val="32"/>
          <w:szCs w:val="32"/>
        </w:rPr>
      </w:pPr>
      <w:r>
        <w:rPr>
          <w:rFonts w:hint="eastAsia" w:ascii="仿宋_GB2312" w:hAnsi="宋体" w:eastAsia="仿宋_GB2312" w:cs="宋体"/>
          <w:bCs/>
          <w:sz w:val="32"/>
          <w:szCs w:val="32"/>
          <w:lang w:val="en-US" w:eastAsia="zh-CN"/>
        </w:rPr>
        <w:t>1、</w:t>
      </w:r>
      <w:r>
        <w:rPr>
          <w:rFonts w:hint="eastAsia" w:ascii="仿宋_GB2312" w:hAnsi="宋体" w:eastAsia="仿宋_GB2312" w:cs="宋体"/>
          <w:bCs/>
          <w:sz w:val="32"/>
          <w:szCs w:val="32"/>
        </w:rPr>
        <w:t>预算编制有待更严格执行。预算编制与实际支出项目有的存在差异。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有些工作未能找到适当的量化方式，对绩效管理量化评价方面略显不足。通过县财政局组织的预算绩效管理培训，逐步找到适合的方法对本单位的工作进行合理的分类量化，以便适应将来的预算绩效管理工作。</w:t>
      </w:r>
    </w:p>
    <w:p>
      <w:pPr>
        <w:tabs>
          <w:tab w:val="center" w:pos="4153"/>
        </w:tabs>
        <w:spacing w:line="540" w:lineRule="exact"/>
        <w:ind w:firstLine="640" w:firstLineChars="200"/>
        <w:rPr>
          <w:rFonts w:hint="eastAsia" w:ascii="仿宋_GB2312" w:hAnsi="宋体" w:eastAsia="仿宋_GB2312" w:cs="宋体"/>
          <w:bCs/>
          <w:sz w:val="32"/>
          <w:szCs w:val="32"/>
        </w:rPr>
      </w:pPr>
      <w:r>
        <w:rPr>
          <w:rFonts w:hint="eastAsia" w:ascii="仿宋_GB2312" w:hAnsi="宋体" w:eastAsia="仿宋_GB2312" w:cs="宋体"/>
          <w:bCs/>
          <w:sz w:val="32"/>
          <w:szCs w:val="32"/>
          <w:lang w:val="en-US" w:eastAsia="zh-CN"/>
        </w:rPr>
        <w:t>2、</w:t>
      </w:r>
      <w:r>
        <w:rPr>
          <w:rFonts w:hint="eastAsia" w:eastAsia="仿宋_GB2312"/>
          <w:sz w:val="32"/>
          <w:szCs w:val="32"/>
          <w:lang w:eastAsia="zh-CN"/>
        </w:rPr>
        <w:t>加强对</w:t>
      </w:r>
      <w:r>
        <w:rPr>
          <w:rFonts w:eastAsia="仿宋_GB2312"/>
          <w:sz w:val="32"/>
          <w:szCs w:val="32"/>
        </w:rPr>
        <w:t>卫生院基础设施</w:t>
      </w:r>
      <w:r>
        <w:rPr>
          <w:rFonts w:hint="eastAsia" w:eastAsia="仿宋_GB2312"/>
          <w:sz w:val="32"/>
          <w:szCs w:val="32"/>
          <w:lang w:eastAsia="zh-CN"/>
        </w:rPr>
        <w:t>及</w:t>
      </w:r>
      <w:r>
        <w:rPr>
          <w:rFonts w:eastAsia="仿宋_GB2312"/>
          <w:sz w:val="32"/>
          <w:szCs w:val="32"/>
        </w:rPr>
        <w:t>能力建设</w:t>
      </w:r>
      <w:r>
        <w:rPr>
          <w:rFonts w:hint="eastAsia" w:eastAsia="仿宋_GB2312"/>
          <w:sz w:val="32"/>
          <w:szCs w:val="32"/>
          <w:lang w:eastAsia="zh-CN"/>
        </w:rPr>
        <w:t>，</w:t>
      </w:r>
      <w:r>
        <w:rPr>
          <w:rFonts w:eastAsia="仿宋_GB2312"/>
          <w:sz w:val="32"/>
          <w:szCs w:val="32"/>
        </w:rPr>
        <w:t>抓好医疗质量安全、医疗纠纷第三方调解机制、医疗机构布局、医疗废物集中处置等工作</w:t>
      </w:r>
      <w:r>
        <w:rPr>
          <w:rFonts w:hint="eastAsia" w:ascii="仿宋_GB2312" w:hAnsi="宋体" w:eastAsia="仿宋_GB2312" w:cs="宋体"/>
          <w:bCs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、下一步改进措施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Autospacing="0" w:line="600" w:lineRule="atLeast"/>
        <w:ind w:firstLine="643" w:firstLineChars="200"/>
        <w:textAlignment w:val="auto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1.强化宣传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。进一步加大宣传力度，让广大城乡居民更全面了解项目的益处，提高群众知晓率，鼓励群众积极参与，自愿配合医疗卫生服务工作的开展。</w:t>
      </w:r>
    </w:p>
    <w:p>
      <w:pPr>
        <w:tabs>
          <w:tab w:val="center" w:pos="4153"/>
        </w:tabs>
        <w:spacing w:line="540" w:lineRule="exact"/>
        <w:ind w:firstLine="630"/>
        <w:jc w:val="left"/>
        <w:rPr>
          <w:rFonts w:hint="eastAsia" w:ascii="仿宋_GB2312" w:hAnsi="宋体" w:eastAsia="仿宋_GB2312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2.严格审核。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按照预算规定的项目和用途严格财务审核，经费支出严格按预算规定项目的财务支出内容进行财务核算，在预算金额内严格控制费用的支出。</w:t>
      </w:r>
    </w:p>
    <w:p>
      <w:pPr>
        <w:tabs>
          <w:tab w:val="center" w:pos="4153"/>
        </w:tabs>
        <w:spacing w:line="540" w:lineRule="exact"/>
        <w:ind w:firstLine="645"/>
        <w:jc w:val="left"/>
        <w:rPr>
          <w:rFonts w:hint="eastAsia" w:ascii="仿宋_GB2312" w:hAnsi="宋体" w:eastAsia="仿宋_GB2312" w:cs="宋体"/>
          <w:sz w:val="32"/>
          <w:szCs w:val="32"/>
          <w:shd w:val="clear" w:color="auto" w:fill="FFFFFF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3.分析常态化。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  <w:lang w:eastAsia="zh-CN"/>
        </w:rPr>
        <w:t>将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</w:rPr>
        <w:t>预算财务分析常态化，定期做好预算支出财务分析，做好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  <w:lang w:eastAsia="zh-CN"/>
        </w:rPr>
        <w:t>医院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</w:rPr>
        <w:t>整体支出预算评价工作。</w:t>
      </w:r>
    </w:p>
    <w:p>
      <w:pPr>
        <w:tabs>
          <w:tab w:val="center" w:pos="4153"/>
        </w:tabs>
        <w:spacing w:line="540" w:lineRule="exact"/>
        <w:ind w:firstLine="645"/>
        <w:jc w:val="left"/>
        <w:rPr>
          <w:rFonts w:hint="eastAsia" w:ascii="宋体" w:hAnsi="宋体" w:eastAsia="宋体" w:cs="宋体"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4.强化信息公开。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积极宣传和引导居民群众对医疗卫生服务的认知度和信任度，激发公众的参与度，从而积极献计献策、监督政府职能部门的各项工作。</w:t>
      </w:r>
      <w:r>
        <w:rPr>
          <w:rFonts w:hint="eastAsia" w:ascii="宋体" w:hAnsi="宋体" w:eastAsia="宋体" w:cs="宋体"/>
          <w:bCs/>
          <w:spacing w:val="-6"/>
          <w:sz w:val="32"/>
          <w:szCs w:val="32"/>
        </w:rPr>
        <w:t xml:space="preserve"> </w:t>
      </w:r>
    </w:p>
    <w:p>
      <w:pPr>
        <w:tabs>
          <w:tab w:val="center" w:pos="4153"/>
        </w:tabs>
        <w:spacing w:line="600" w:lineRule="exact"/>
        <w:ind w:firstLine="643" w:firstLineChars="200"/>
        <w:jc w:val="left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32"/>
          <w:szCs w:val="32"/>
          <w:lang w:val="en-US" w:eastAsia="zh-CN" w:bidi="ar"/>
        </w:rPr>
        <w:t>5.加大人才培养。</w:t>
      </w:r>
      <w:r>
        <w:rPr>
          <w:rFonts w:hint="eastAsia" w:eastAsia="仿宋_GB2312"/>
          <w:sz w:val="32"/>
          <w:szCs w:val="32"/>
          <w:lang w:eastAsia="zh-CN"/>
        </w:rPr>
        <w:t>由于基层医疗卫生机构医护人员总量不足且青黄不接的问题，希望财政能加大对医疗卫生本土化人才培养的投入，</w:t>
      </w:r>
    </w:p>
    <w:p>
      <w:pPr>
        <w:pStyle w:val="2"/>
        <w:ind w:firstLine="643" w:firstLineChars="200"/>
        <w:rPr>
          <w:rFonts w:hint="default"/>
          <w:lang w:val="en-US"/>
        </w:rPr>
      </w:pPr>
      <w:r>
        <w:rPr>
          <w:rFonts w:hint="eastAsia" w:ascii="宋体" w:hAnsi="宋体" w:eastAsia="宋体" w:cs="宋体"/>
          <w:b/>
          <w:bCs w:val="0"/>
          <w:kern w:val="0"/>
          <w:sz w:val="32"/>
          <w:szCs w:val="32"/>
          <w:lang w:val="en-US" w:eastAsia="zh-CN" w:bidi="ar"/>
        </w:rPr>
        <w:t>6.增强投入</w:t>
      </w:r>
      <w:r>
        <w:rPr>
          <w:rFonts w:hint="eastAsia" w:ascii="宋体" w:hAnsi="宋体" w:cs="宋体"/>
          <w:b/>
          <w:bCs w:val="0"/>
          <w:kern w:val="0"/>
          <w:sz w:val="32"/>
          <w:szCs w:val="32"/>
          <w:lang w:val="en-US" w:eastAsia="zh-CN" w:bidi="ar"/>
        </w:rPr>
        <w:t>。增强对中医药理疗的投入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pStyle w:val="2"/>
        <w:rPr>
          <w:rFonts w:hint="eastAsia" w:eastAsia="黑体"/>
          <w:lang w:val="en-US" w:eastAsia="zh-CN"/>
        </w:rPr>
      </w:pPr>
      <w:r>
        <w:rPr>
          <w:rFonts w:hint="eastAsia" w:eastAsia="仿宋_GB2312"/>
          <w:sz w:val="32"/>
          <w:szCs w:val="32"/>
          <w:lang w:val="en-US" w:eastAsia="zh-CN"/>
        </w:rPr>
        <w:t>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outlineLvl w:val="0"/>
        <w:rPr>
          <w:rFonts w:hint="eastAsia" w:ascii="仿宋_GB2312" w:eastAsia="仿宋_GB2312"/>
          <w:sz w:val="32"/>
          <w:szCs w:val="32"/>
          <w:lang w:val="en-US" w:eastAsia="zh-CN"/>
        </w:rPr>
        <w:sectPr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项目支出绩效评价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评分表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（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共性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）</w:t>
      </w:r>
    </w:p>
    <w:tbl>
      <w:tblPr>
        <w:tblStyle w:val="7"/>
        <w:tblW w:w="982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540"/>
        <w:gridCol w:w="703"/>
        <w:gridCol w:w="540"/>
        <w:gridCol w:w="803"/>
        <w:gridCol w:w="550"/>
        <w:gridCol w:w="2407"/>
        <w:gridCol w:w="2772"/>
        <w:gridCol w:w="8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tblHeader/>
          <w:jc w:val="center"/>
        </w:trPr>
        <w:tc>
          <w:tcPr>
            <w:tcW w:w="702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一级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分值</w:t>
            </w:r>
          </w:p>
        </w:tc>
        <w:tc>
          <w:tcPr>
            <w:tcW w:w="703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二级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分值</w:t>
            </w:r>
          </w:p>
        </w:tc>
        <w:tc>
          <w:tcPr>
            <w:tcW w:w="803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三级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指标</w:t>
            </w:r>
          </w:p>
        </w:tc>
        <w:tc>
          <w:tcPr>
            <w:tcW w:w="550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分值</w:t>
            </w:r>
          </w:p>
        </w:tc>
        <w:tc>
          <w:tcPr>
            <w:tcW w:w="2407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具体指标</w:t>
            </w:r>
          </w:p>
        </w:tc>
        <w:tc>
          <w:tcPr>
            <w:tcW w:w="2772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评价标准</w:t>
            </w:r>
          </w:p>
        </w:tc>
        <w:tc>
          <w:tcPr>
            <w:tcW w:w="803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自评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restart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项目决策</w:t>
            </w:r>
          </w:p>
        </w:tc>
        <w:tc>
          <w:tcPr>
            <w:tcW w:w="540" w:type="dxa"/>
            <w:vMerge w:val="restart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703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项目目标</w:t>
            </w:r>
          </w:p>
        </w:tc>
        <w:tc>
          <w:tcPr>
            <w:tcW w:w="540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03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目标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内容</w:t>
            </w:r>
          </w:p>
        </w:tc>
        <w:tc>
          <w:tcPr>
            <w:tcW w:w="550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设立了项目绩效目标；目标明确；目标细化；目标量化</w:t>
            </w:r>
          </w:p>
        </w:tc>
        <w:tc>
          <w:tcPr>
            <w:tcW w:w="2772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①设有目标（1分）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②目标明确（1分）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③目标细化（1分）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④目标量化（1分）</w:t>
            </w:r>
          </w:p>
        </w:tc>
        <w:tc>
          <w:tcPr>
            <w:tcW w:w="803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决策过程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依据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有关法律法规的明确规定；某一经济社会发展规划；某部门年度工作计划；某一实际问题和需求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①符合法律法规（1分）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②符合经济社会发展规划（1分）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③部门年度工作计划（1分）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spacing w:val="-6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6"/>
                <w:kern w:val="0"/>
                <w:sz w:val="18"/>
                <w:szCs w:val="18"/>
              </w:rPr>
              <w:t>④针对某一实际问题和需求（1分）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以上③需提供佐证资料。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程序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项目符合申报条件；申报、批复程序符合相关管理办法；项目调整履行了相应手续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①符合申报条件（2分）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②项目申报、批复程序符合管理办法（1分）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6"/>
                <w:kern w:val="0"/>
                <w:sz w:val="18"/>
                <w:szCs w:val="18"/>
              </w:rPr>
              <w:t>③项目调整履行了相应手续（1分）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资金分配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办法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根据需要制定的相关资金管理办法；管理办法中有明确资金分配办法；资金分配因素全面、合理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①有相应的资金管理办法（1分）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②办法健全、规范（1分）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③因素全面合理（1分）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结果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资金分配符合相关管理办法；分配结果公平合理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①符合分配办法（2分）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②分配公平合理（3分）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6"/>
                <w:kern w:val="0"/>
                <w:sz w:val="18"/>
                <w:szCs w:val="18"/>
              </w:rPr>
              <w:t>此项需提供相应的资金分配方案。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702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 w:firstLine="2520" w:firstLineChars="1400"/>
              <w:jc w:val="both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  <w:t>管理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25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  <w:color w:val="000000"/>
              </w:rPr>
            </w:pP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资金到位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到位率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实际到位/计划到位*100%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根据项目资金的实际到位率计算得分（3分）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到位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资金及时到位；若未及时到位，是否影响项目进度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①到位及时（2分）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spacing w:val="-1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10"/>
                <w:kern w:val="0"/>
                <w:sz w:val="18"/>
                <w:szCs w:val="18"/>
              </w:rPr>
              <w:t>②不及时但未影响项目进度 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6"/>
                <w:kern w:val="0"/>
                <w:sz w:val="18"/>
                <w:szCs w:val="18"/>
              </w:rPr>
              <w:t>③不及时并影响项目进度（0.5分）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资金管理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使用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支出依据合规，无虚列项目支出情况；无截留挤占挪用情况；无超标准开支情况；无超预算情况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 xml:space="preserve">①虚列套取扣4-7分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②依据不合规扣2分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③截留、挤占、挪用扣3-6分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④超标准开支扣2-5分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⑤超预算扣2-5分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财务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管理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资金管理、费用支出等制度健全；制度执行严格；会计核算规范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①财务制度健全（1分）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②严格执行制度（1分）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③会计核算规范（1分）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  <w:color w:val="000000"/>
              </w:rPr>
            </w:pP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组织实施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组织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机构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机构健全、分工明确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①机构健全、分工明确  （1分）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支撑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条件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项目实施单位是否提供或具备了必备的人员、场地和设备等条件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具备人员、场地、设备条件（1分）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实施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项目按计划开工；按计划进度开展；按计划完工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①按计划开工（1分）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②按计划开展（1分）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③按计划完工（1分）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管理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制度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项目管理制度健全；严格执行相关管理制度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①管理制度健全（2分）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②制度执行严格（3分）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项目绩效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项目产出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数量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目标完成率=目标完成数/预定目标数×100%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完成绩效目标100%得5分，未完成100%的同比例扣减。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质量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目标完成质量=实际达到的效果/预定目标×100%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项目产出质量达到绩效目标100%得4分，未完成100%的同比例扣减。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项目资金使用的预定目标是否如期完成，未完成的理由是否充分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项目产出时效达到绩效目标得3分，未如期完成且无充分理由的扣3分。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成本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项目产出成本是否按绩效目标控制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项目产出成本按绩效目标控制得3分，未完成的，按超支比例扣减。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项目效果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经济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项目实施对经济发展所带来的直接或间接影响情况。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完成绩效目标设定的经济效益得8分，未完成的，按完成情况酌情扣分。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社会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项目实施对社会发展所带来的直接或间接影响情况。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完成绩效目标设定的社会效益得8分，未完成的，按完成情况酌情扣分。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  <w:t>生态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项目实施对生态环境所带来的直接或间接影响情况。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完成绩效目标设定的积极的环境效益得8分，未完成的，按完成情况酌情扣分。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可持续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影响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项目后续运行及成效发挥的可持续影响情况。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完成绩效设定目标的得8分，未完成的，按完成情况酌情扣分。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服务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对象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满意度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服务对象满意率=项目区被调查人数中表示满意的人数(户数)/ 被调查人数(户数)×100%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满意率达90%（含）以上的得8分，80%（含）-90%得6分，70%（含）-80%得4分，60%（含）-70%得2分，60%以下不得分。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702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总分</w:t>
            </w:r>
          </w:p>
        </w:tc>
        <w:tc>
          <w:tcPr>
            <w:tcW w:w="540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703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</w:tr>
    </w:tbl>
    <w:p>
      <w:pPr>
        <w:adjustRightInd w:val="0"/>
        <w:snapToGrid w:val="0"/>
        <w:spacing w:before="156" w:beforeLines="50"/>
        <w:ind w:left="840" w:hanging="840" w:hangingChars="400"/>
        <w:contextualSpacing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备注：</w:t>
      </w:r>
      <w:r>
        <w:rPr>
          <w:rFonts w:hint="eastAsia" w:ascii="仿宋_GB2312" w:eastAsia="仿宋_GB2312"/>
          <w:lang w:val="en-US" w:eastAsia="zh-CN"/>
        </w:rPr>
        <w:t>1、</w:t>
      </w:r>
      <w:r>
        <w:rPr>
          <w:rFonts w:hint="eastAsia" w:ascii="仿宋_GB2312" w:eastAsia="仿宋_GB2312"/>
        </w:rPr>
        <w:t>部门（单位）根据项目实际，在《项目支出绩效评价指标</w:t>
      </w:r>
      <w:r>
        <w:rPr>
          <w:rFonts w:hint="eastAsia" w:ascii="仿宋_GB2312" w:eastAsia="仿宋_GB2312"/>
          <w:lang w:eastAsia="zh-CN"/>
        </w:rPr>
        <w:t>评分表</w:t>
      </w:r>
      <w:r>
        <w:rPr>
          <w:rFonts w:hint="eastAsia" w:ascii="仿宋_GB2312" w:eastAsia="仿宋_GB2312"/>
        </w:rPr>
        <w:t>（</w:t>
      </w:r>
      <w:r>
        <w:rPr>
          <w:rFonts w:hint="eastAsia" w:ascii="仿宋_GB2312" w:eastAsia="仿宋_GB2312"/>
          <w:lang w:eastAsia="zh-CN"/>
        </w:rPr>
        <w:t>共性</w:t>
      </w:r>
      <w:r>
        <w:rPr>
          <w:rFonts w:hint="eastAsia" w:ascii="仿宋_GB2312" w:eastAsia="仿宋_GB2312"/>
        </w:rPr>
        <w:t>）》上进一步完善、量化、细化个性指标，形成本项目的指标体系。</w:t>
      </w:r>
    </w:p>
    <w:p>
      <w:pPr>
        <w:adjustRightInd w:val="0"/>
        <w:snapToGrid w:val="0"/>
        <w:spacing w:before="156" w:beforeLines="50"/>
        <w:ind w:firstLine="630" w:firstLineChars="300"/>
        <w:contextualSpacing/>
        <w:rPr>
          <w:rFonts w:hint="eastAsia" w:eastAsia="仿宋_GB2312"/>
          <w:sz w:val="32"/>
          <w:lang w:eastAsia="zh-CN"/>
        </w:rPr>
      </w:pPr>
      <w:r>
        <w:rPr>
          <w:rFonts w:hint="eastAsia" w:ascii="仿宋_GB2312" w:eastAsia="仿宋_GB2312"/>
          <w:lang w:val="en-US" w:eastAsia="zh-CN"/>
        </w:rPr>
        <w:t>2、</w:t>
      </w:r>
      <w:r>
        <w:rPr>
          <w:rFonts w:hint="eastAsia" w:ascii="仿宋_GB2312" w:eastAsia="仿宋_GB2312"/>
          <w:lang w:eastAsia="zh-CN"/>
        </w:rPr>
        <w:t>一个一级项目一张表。</w:t>
      </w:r>
    </w:p>
    <w:p/>
    <w:p>
      <w:pPr>
        <w:pStyle w:val="2"/>
        <w:rPr>
          <w:rFonts w:hint="eastAsia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spacing w:line="240" w:lineRule="auto"/>
        <w:ind w:firstLine="0" w:firstLineChars="0"/>
        <w:jc w:val="left"/>
        <w:outlineLvl w:val="0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</w:t>
      </w:r>
    </w:p>
    <w:p>
      <w:pPr>
        <w:widowControl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年度项目支出绩效自评表</w:t>
      </w:r>
    </w:p>
    <w:tbl>
      <w:tblPr>
        <w:tblStyle w:val="7"/>
        <w:tblW w:w="9851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080"/>
        <w:gridCol w:w="1080"/>
        <w:gridCol w:w="1224"/>
        <w:gridCol w:w="1134"/>
        <w:gridCol w:w="1134"/>
        <w:gridCol w:w="828"/>
        <w:gridCol w:w="873"/>
        <w:gridCol w:w="14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项目支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出名称</w:t>
            </w:r>
          </w:p>
        </w:tc>
        <w:tc>
          <w:tcPr>
            <w:tcW w:w="8771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主管部门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实施单位</w:t>
            </w:r>
          </w:p>
        </w:tc>
        <w:tc>
          <w:tcPr>
            <w:tcW w:w="311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项目资金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（万元）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年初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执行数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执行率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年度资金总额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 xml:space="preserve">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其中：当年财政拨款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上年结转资金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其他资金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年度总体目标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预期目标</w:t>
            </w: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一级指标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二级指标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三级指标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指标值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完成值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产出指标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(50分)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数量指标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质量指标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时效指标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成本指标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效益指标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（30分）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可持续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影响指标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（10分）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服务对象满意度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</w:tbl>
    <w:p>
      <w:pPr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备注：一个一级项目支出一张表。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如，</w:t>
      </w:r>
      <w:r>
        <w:rPr>
          <w:rFonts w:hint="eastAsia" w:ascii="新宋体" w:hAnsi="新宋体" w:eastAsia="新宋体" w:cs="新宋体"/>
          <w:sz w:val="21"/>
          <w:szCs w:val="21"/>
        </w:rPr>
        <w:t>业务工作经费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</w:rPr>
        <w:t>运行维护经费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XX项目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资金…各一张表。</w:t>
      </w: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jc w:val="left"/>
        <w:rPr>
          <w:rFonts w:hint="eastAsia" w:ascii="新宋体" w:hAnsi="新宋体" w:eastAsia="新宋体" w:cs="新宋体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</w:rPr>
        <w:t xml:space="preserve">填表人：    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填报日期： 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    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联系电话：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     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 单位负责人签字：</w:t>
      </w:r>
    </w:p>
    <w:p>
      <w:pPr>
        <w:spacing w:line="240" w:lineRule="auto"/>
        <w:ind w:firstLine="0" w:firstLineChars="0"/>
        <w:jc w:val="left"/>
        <w:outlineLvl w:val="0"/>
        <w:rPr>
          <w:rFonts w:hint="eastAsia" w:ascii="新宋体" w:hAnsi="新宋体" w:eastAsia="新宋体" w:cs="新宋体"/>
          <w:sz w:val="21"/>
          <w:szCs w:val="21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年度××部门（单位）××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年  月 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年度××部门（单位）××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一、基本情况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(一)项目概况。包括项目背景、主要内容及实施情况、资金投入和使用情况等。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(二)项目绩效目标。包括总体目标和阶段性目标。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二、绩效评价工作开展情况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(一)绩效评价目的、对象和范围。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(二)绩效评价原则、评价指标体系(附表说明)、评价方法、 评价标准等。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(三)绩效评价工作过程。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 xml:space="preserve">三、综合评价情况及评价结论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四、绩效评价指标分析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(一)项目决策情况。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(二)项目过程情况。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(三)项目产出情况。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(四)项目效益情况。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五、主要经验及做法、存在的问题及原因分析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eastAsia="zh-CN"/>
        </w:rPr>
        <w:t>六</w:t>
      </w:r>
      <w:r>
        <w:rPr>
          <w:rFonts w:hint="eastAsia" w:ascii="黑体" w:hAnsi="黑体" w:eastAsia="黑体" w:cs="黑体"/>
          <w:sz w:val="30"/>
          <w:szCs w:val="30"/>
        </w:rPr>
        <w:t>、其他需要说明的问题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851CA17-901B-4987-9264-34F29DE9C40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8AFA042-BD35-4621-8E26-757D73FA1E8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563D8E3-4027-49C6-A536-780C6635997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F5BA07B-2524-4293-9735-FB0AA0C2D00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DDD2C3B-4D8E-415E-A458-9FFD281A7B7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CB82B35-7496-48E9-B3A4-A94C416C726F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6ABC2E1B-502B-44E5-A688-C9E88923EDA4}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  <w:embedRegular r:id="rId8" w:fontKey="{2E7093FD-1198-4D2D-BC24-095598E3559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B3373041-2F7F-41B6-A25A-14C5B2488218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0A286DCB-CD32-4ECE-94EC-7495620D1764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08CEB459-AFE6-40D7-B177-EAC1006FF5C7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2" w:fontKey="{63FF1884-7AA1-4EF5-90A1-F4C83665AD1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3" w:fontKey="{EE48AB30-DC14-422A-8353-DF8808DFB6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31A568"/>
    <w:multiLevelType w:val="singleLevel"/>
    <w:tmpl w:val="F131A56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VmZmQ1NDdiMmNiNGFlZmU3ZGZjYTRjOWNmODZiOTI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6A347B"/>
    <w:rsid w:val="02B50488"/>
    <w:rsid w:val="0338470A"/>
    <w:rsid w:val="034822A9"/>
    <w:rsid w:val="03D86621"/>
    <w:rsid w:val="04EE6171"/>
    <w:rsid w:val="05395EA9"/>
    <w:rsid w:val="07B82171"/>
    <w:rsid w:val="085F25EB"/>
    <w:rsid w:val="088C0A8A"/>
    <w:rsid w:val="08922F27"/>
    <w:rsid w:val="099C0F96"/>
    <w:rsid w:val="09E06A6E"/>
    <w:rsid w:val="0ABD557B"/>
    <w:rsid w:val="0BBB5A8D"/>
    <w:rsid w:val="0C104906"/>
    <w:rsid w:val="0CC279A1"/>
    <w:rsid w:val="0CCB7736"/>
    <w:rsid w:val="0D9E0E8D"/>
    <w:rsid w:val="0EAB7397"/>
    <w:rsid w:val="0EF755B3"/>
    <w:rsid w:val="0F17035E"/>
    <w:rsid w:val="0F4E168D"/>
    <w:rsid w:val="11404466"/>
    <w:rsid w:val="11963ADD"/>
    <w:rsid w:val="11EB0F5C"/>
    <w:rsid w:val="11F20483"/>
    <w:rsid w:val="136F31F8"/>
    <w:rsid w:val="138750E0"/>
    <w:rsid w:val="138E1EAB"/>
    <w:rsid w:val="14186D67"/>
    <w:rsid w:val="15A620D3"/>
    <w:rsid w:val="16A3369E"/>
    <w:rsid w:val="173D7210"/>
    <w:rsid w:val="178536BD"/>
    <w:rsid w:val="188B3F3A"/>
    <w:rsid w:val="19516372"/>
    <w:rsid w:val="19575CC2"/>
    <w:rsid w:val="19A80228"/>
    <w:rsid w:val="1A101464"/>
    <w:rsid w:val="1A6775C1"/>
    <w:rsid w:val="1AA91564"/>
    <w:rsid w:val="1AB74849"/>
    <w:rsid w:val="1AC52FF2"/>
    <w:rsid w:val="1AE6175D"/>
    <w:rsid w:val="1B742AA7"/>
    <w:rsid w:val="1BA43F84"/>
    <w:rsid w:val="1CA34935"/>
    <w:rsid w:val="1D5A640E"/>
    <w:rsid w:val="1DDE0ED1"/>
    <w:rsid w:val="1F7640EC"/>
    <w:rsid w:val="20D76C5F"/>
    <w:rsid w:val="20E31A55"/>
    <w:rsid w:val="21057490"/>
    <w:rsid w:val="214A230E"/>
    <w:rsid w:val="21B052C4"/>
    <w:rsid w:val="2271533D"/>
    <w:rsid w:val="22FF5445"/>
    <w:rsid w:val="238D0E57"/>
    <w:rsid w:val="24256710"/>
    <w:rsid w:val="251E7983"/>
    <w:rsid w:val="25847DEE"/>
    <w:rsid w:val="25C603D0"/>
    <w:rsid w:val="25D951D2"/>
    <w:rsid w:val="260D5D83"/>
    <w:rsid w:val="284A2254"/>
    <w:rsid w:val="292F1467"/>
    <w:rsid w:val="29736F84"/>
    <w:rsid w:val="29786927"/>
    <w:rsid w:val="297B51B4"/>
    <w:rsid w:val="29E40467"/>
    <w:rsid w:val="29F527E2"/>
    <w:rsid w:val="2B80545C"/>
    <w:rsid w:val="2BF35971"/>
    <w:rsid w:val="2C487650"/>
    <w:rsid w:val="2D133472"/>
    <w:rsid w:val="2D2E665D"/>
    <w:rsid w:val="2E4F43C0"/>
    <w:rsid w:val="2EC7368E"/>
    <w:rsid w:val="30FB4B41"/>
    <w:rsid w:val="31621165"/>
    <w:rsid w:val="323C5548"/>
    <w:rsid w:val="32C43EEA"/>
    <w:rsid w:val="338213DC"/>
    <w:rsid w:val="37450F88"/>
    <w:rsid w:val="37802D32"/>
    <w:rsid w:val="37D6106F"/>
    <w:rsid w:val="38F862EB"/>
    <w:rsid w:val="39343807"/>
    <w:rsid w:val="39887BBC"/>
    <w:rsid w:val="3A53023B"/>
    <w:rsid w:val="3A7C3409"/>
    <w:rsid w:val="3AD93B00"/>
    <w:rsid w:val="3AF42D2D"/>
    <w:rsid w:val="3B3A041F"/>
    <w:rsid w:val="3BAE6BF9"/>
    <w:rsid w:val="3CCA47F2"/>
    <w:rsid w:val="3CDE0708"/>
    <w:rsid w:val="3D5877DF"/>
    <w:rsid w:val="3DC55CAA"/>
    <w:rsid w:val="3DD556CA"/>
    <w:rsid w:val="3F450429"/>
    <w:rsid w:val="40226C80"/>
    <w:rsid w:val="40C451A5"/>
    <w:rsid w:val="4156470B"/>
    <w:rsid w:val="41943ACE"/>
    <w:rsid w:val="41D16B6B"/>
    <w:rsid w:val="425D4066"/>
    <w:rsid w:val="43173FD4"/>
    <w:rsid w:val="44143822"/>
    <w:rsid w:val="44205041"/>
    <w:rsid w:val="44654A12"/>
    <w:rsid w:val="457C5F26"/>
    <w:rsid w:val="47A621BC"/>
    <w:rsid w:val="47B37D01"/>
    <w:rsid w:val="480070B7"/>
    <w:rsid w:val="49CF255F"/>
    <w:rsid w:val="4B2C5DCD"/>
    <w:rsid w:val="4B7D1173"/>
    <w:rsid w:val="4C150E22"/>
    <w:rsid w:val="4C6A38FC"/>
    <w:rsid w:val="4CE74BC3"/>
    <w:rsid w:val="4CF5000E"/>
    <w:rsid w:val="4DB17672"/>
    <w:rsid w:val="4E6F51FA"/>
    <w:rsid w:val="50AC44C4"/>
    <w:rsid w:val="50D31C3D"/>
    <w:rsid w:val="50EA6DB9"/>
    <w:rsid w:val="518C7D66"/>
    <w:rsid w:val="51CA7471"/>
    <w:rsid w:val="51E613C5"/>
    <w:rsid w:val="521C2FA3"/>
    <w:rsid w:val="522529B2"/>
    <w:rsid w:val="53910AF4"/>
    <w:rsid w:val="555952B3"/>
    <w:rsid w:val="556B5A36"/>
    <w:rsid w:val="55AF40BB"/>
    <w:rsid w:val="56954141"/>
    <w:rsid w:val="56F72F7C"/>
    <w:rsid w:val="586243BF"/>
    <w:rsid w:val="58FD3402"/>
    <w:rsid w:val="59C44F90"/>
    <w:rsid w:val="5A726290"/>
    <w:rsid w:val="5AAF7799"/>
    <w:rsid w:val="5B5C1753"/>
    <w:rsid w:val="5C261A0E"/>
    <w:rsid w:val="5C9E54E5"/>
    <w:rsid w:val="5E134100"/>
    <w:rsid w:val="5EA958DC"/>
    <w:rsid w:val="5F7A1C50"/>
    <w:rsid w:val="5F9525E6"/>
    <w:rsid w:val="601C4AB5"/>
    <w:rsid w:val="60BE691E"/>
    <w:rsid w:val="61444403"/>
    <w:rsid w:val="62265BDF"/>
    <w:rsid w:val="62E1699A"/>
    <w:rsid w:val="63B61DED"/>
    <w:rsid w:val="64147F0D"/>
    <w:rsid w:val="64D66362"/>
    <w:rsid w:val="65860217"/>
    <w:rsid w:val="667E0AA1"/>
    <w:rsid w:val="67E825F8"/>
    <w:rsid w:val="68FB17C3"/>
    <w:rsid w:val="695F12F9"/>
    <w:rsid w:val="69636C3A"/>
    <w:rsid w:val="69690D5A"/>
    <w:rsid w:val="69CF7B2C"/>
    <w:rsid w:val="6A0B0004"/>
    <w:rsid w:val="6BA1010E"/>
    <w:rsid w:val="6CE47E41"/>
    <w:rsid w:val="6CED5810"/>
    <w:rsid w:val="6CF92413"/>
    <w:rsid w:val="6DFE5E04"/>
    <w:rsid w:val="6E87203D"/>
    <w:rsid w:val="6F09429D"/>
    <w:rsid w:val="6F9278BB"/>
    <w:rsid w:val="70603021"/>
    <w:rsid w:val="71572F19"/>
    <w:rsid w:val="719B7427"/>
    <w:rsid w:val="724A6793"/>
    <w:rsid w:val="739F178C"/>
    <w:rsid w:val="741F26FA"/>
    <w:rsid w:val="74470DF8"/>
    <w:rsid w:val="75B9389A"/>
    <w:rsid w:val="75FD1676"/>
    <w:rsid w:val="799536BA"/>
    <w:rsid w:val="7A252A8D"/>
    <w:rsid w:val="7B170752"/>
    <w:rsid w:val="7B8F681B"/>
    <w:rsid w:val="7D4C6582"/>
    <w:rsid w:val="7DD96C0E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9">
    <w:name w:val="Default Paragraph Font"/>
    <w:semiHidden/>
    <w:qFormat/>
    <w:uiPriority w:val="99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99"/>
    <w:rPr>
      <w:rFonts w:cs="Times New Roman"/>
    </w:rPr>
  </w:style>
  <w:style w:type="character" w:customStyle="1" w:styleId="11">
    <w:name w:val="Footer Char"/>
    <w:basedOn w:val="9"/>
    <w:link w:val="4"/>
    <w:semiHidden/>
    <w:qFormat/>
    <w:uiPriority w:val="99"/>
    <w:rPr>
      <w:sz w:val="18"/>
      <w:szCs w:val="18"/>
    </w:rPr>
  </w:style>
  <w:style w:type="character" w:customStyle="1" w:styleId="12">
    <w:name w:val="Header Char"/>
    <w:basedOn w:val="9"/>
    <w:link w:val="5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13</Pages>
  <Words>4610</Words>
  <Characters>5034</Characters>
  <Lines>0</Lines>
  <Paragraphs>0</Paragraphs>
  <TotalTime>78</TotalTime>
  <ScaleCrop>false</ScaleCrop>
  <LinksUpToDate>false</LinksUpToDate>
  <CharactersWithSpaces>5342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waeel</cp:lastModifiedBy>
  <cp:lastPrinted>2023-07-13T00:47:00Z</cp:lastPrinted>
  <dcterms:modified xsi:type="dcterms:W3CDTF">2023-07-14T01:04:42Z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0A4D5A10482546768B69F527792F2839_13</vt:lpwstr>
  </property>
</Properties>
</file>