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7"/>
        <w:tblW w:w="4998" w:type="pct"/>
        <w:jc w:val="center"/>
        <w:tblLayout w:type="autofit"/>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w:t>
            </w:r>
          </w:p>
        </w:tc>
        <w:tc>
          <w:tcPr>
            <w:tcW w:w="90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751</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893.03</w:t>
            </w: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893.03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基本公共卫生项目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lang w:val="en-US" w:eastAsia="zh-CN"/>
              </w:rPr>
            </w:pPr>
            <w:r>
              <w:rPr>
                <w:rFonts w:hint="eastAsia"/>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.基建项目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lang w:val="en-US" w:eastAsia="zh-CN"/>
              </w:rPr>
            </w:pPr>
            <w:r>
              <w:rPr>
                <w:rFonts w:hint="eastAsia"/>
                <w:lang w:val="en-US" w:eastAsia="zh-CN"/>
              </w:rPr>
              <w:t>352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900"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李哲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2023.7.10</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13974060266</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7"/>
        <w:tblW w:w="4996" w:type="pct"/>
        <w:jc w:val="center"/>
        <w:tblLayout w:type="autofit"/>
        <w:tblCellMar>
          <w:top w:w="0" w:type="dxa"/>
          <w:left w:w="108" w:type="dxa"/>
          <w:bottom w:w="0" w:type="dxa"/>
          <w:right w:w="108" w:type="dxa"/>
        </w:tblCellMar>
      </w:tblPr>
      <w:tblGrid>
        <w:gridCol w:w="1072"/>
        <w:gridCol w:w="857"/>
        <w:gridCol w:w="873"/>
        <w:gridCol w:w="1051"/>
        <w:gridCol w:w="1116"/>
        <w:gridCol w:w="1146"/>
        <w:gridCol w:w="587"/>
        <w:gridCol w:w="1012"/>
        <w:gridCol w:w="1567"/>
      </w:tblGrid>
      <w:tr>
        <w:tblPrEx>
          <w:tblCellMar>
            <w:top w:w="0" w:type="dxa"/>
            <w:left w:w="108" w:type="dxa"/>
            <w:bottom w:w="0" w:type="dxa"/>
            <w:right w:w="108" w:type="dxa"/>
          </w:tblCellMar>
        </w:tblPrEx>
        <w:trPr>
          <w:trHeight w:val="1003" w:hRule="atLeast"/>
          <w:jc w:val="center"/>
        </w:trPr>
        <w:tc>
          <w:tcPr>
            <w:tcW w:w="57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21"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华容县鲇鱼须镇中心卫生院</w:t>
            </w:r>
          </w:p>
        </w:tc>
      </w:tr>
      <w:tr>
        <w:tblPrEx>
          <w:tblCellMar>
            <w:top w:w="0" w:type="dxa"/>
            <w:left w:w="108" w:type="dxa"/>
            <w:bottom w:w="0" w:type="dxa"/>
            <w:right w:w="108" w:type="dxa"/>
          </w:tblCellMar>
        </w:tblPrEx>
        <w:trPr>
          <w:trHeight w:val="863" w:hRule="atLeast"/>
          <w:jc w:val="center"/>
        </w:trPr>
        <w:tc>
          <w:tcPr>
            <w:tcW w:w="578"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78"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2"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562</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1345.03</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1345.03</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997.37</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val="en-US" w:eastAsia="zh-CN"/>
              </w:rPr>
              <w:t>893.03</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0</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项目支出：</w:t>
            </w:r>
            <w:r>
              <w:rPr>
                <w:rFonts w:hint="eastAsia" w:ascii="新宋体" w:hAnsi="新宋体" w:eastAsia="新宋体" w:cs="新宋体"/>
                <w:color w:val="000000"/>
                <w:sz w:val="21"/>
                <w:szCs w:val="21"/>
                <w:lang w:val="en-US" w:eastAsia="zh-CN"/>
              </w:rPr>
              <w:t>452</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099"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347.66</w:t>
            </w:r>
          </w:p>
        </w:tc>
        <w:tc>
          <w:tcPr>
            <w:tcW w:w="232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78"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099"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21"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78"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099"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目标1：保障职工工资福利发放，“五险一金缴纳”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目标2：公用经费确保工作正常运转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目标3：医疗收入保障医院日常工作开展</w:t>
            </w:r>
          </w:p>
        </w:tc>
        <w:tc>
          <w:tcPr>
            <w:tcW w:w="2321"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职工工资福利发放，“五险一金缴纳”到位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医疗和公卫工作圆满完成预期目标</w:t>
            </w:r>
          </w:p>
        </w:tc>
      </w:tr>
      <w:tr>
        <w:tblPrEx>
          <w:tblCellMar>
            <w:top w:w="0" w:type="dxa"/>
            <w:left w:w="108" w:type="dxa"/>
            <w:bottom w:w="0" w:type="dxa"/>
            <w:right w:w="108" w:type="dxa"/>
          </w:tblCellMar>
        </w:tblPrEx>
        <w:trPr>
          <w:trHeight w:val="850" w:hRule="atLeast"/>
          <w:jc w:val="center"/>
        </w:trPr>
        <w:tc>
          <w:tcPr>
            <w:tcW w:w="57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工资福利发放率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lang w:val="en-US" w:eastAsia="zh-CN"/>
              </w:rPr>
            </w:pPr>
            <w:r>
              <w:rPr>
                <w:rFonts w:hint="eastAsia"/>
              </w:rPr>
              <w:t>　</w:t>
            </w:r>
            <w:r>
              <w:rPr>
                <w:rFonts w:hint="eastAsia"/>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“五险一金”缴纳率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日常公用经费使用率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lang w:val="en-US" w:eastAsia="zh-CN"/>
              </w:rPr>
              <w:t>100%</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default"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545"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患者治愈率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95%</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加强专业技术培训</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公卫管理率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rPr>
              <w:t>95%</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4</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加强公卫及乡村医生管理</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eastAsia" w:ascii="仿宋_GB2312" w:hAnsi="仿宋_GB2312" w:eastAsia="仿宋_GB2312" w:cs="仿宋_GB2312"/>
                <w:color w:val="000000"/>
                <w:kern w:val="2"/>
                <w:sz w:val="21"/>
                <w:szCs w:val="21"/>
                <w:lang w:val="en-US" w:eastAsia="zh-CN" w:bidi="ar-SA"/>
              </w:rPr>
            </w:pPr>
            <w:r>
              <w:rPr>
                <w:rFonts w:hint="eastAsia" w:ascii="新宋体" w:hAnsi="新宋体" w:eastAsia="新宋体" w:cs="新宋体"/>
                <w:color w:val="000000"/>
                <w:sz w:val="21"/>
                <w:szCs w:val="21"/>
              </w:rPr>
              <w:t>年初计划门诊收入完成率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年初计划住院收入完成率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工资福利到位率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7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“五险一金”缴纳到位率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100%</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7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医院正常开展各项业务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185"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患者治愈率</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rightChars="0" w:firstLine="210" w:firstLineChars="10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95%</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3</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加强专业知识培训，提升水平</w:t>
            </w:r>
          </w:p>
        </w:tc>
      </w:tr>
      <w:tr>
        <w:tblPrEx>
          <w:tblCellMar>
            <w:top w:w="0" w:type="dxa"/>
            <w:left w:w="108" w:type="dxa"/>
            <w:bottom w:w="0" w:type="dxa"/>
            <w:right w:w="108" w:type="dxa"/>
          </w:tblCellMar>
        </w:tblPrEx>
        <w:trPr>
          <w:trHeight w:val="1116"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环境污染处理率</w:t>
            </w: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20"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医废污染处理</w:t>
            </w:r>
          </w:p>
        </w:tc>
        <w:tc>
          <w:tcPr>
            <w:tcW w:w="6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95"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污水污染处理</w:t>
            </w:r>
          </w:p>
        </w:tc>
        <w:tc>
          <w:tcPr>
            <w:tcW w:w="60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54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6</w:t>
            </w:r>
          </w:p>
        </w:tc>
        <w:tc>
          <w:tcPr>
            <w:tcW w:w="844"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00"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患者满意度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r>
              <w:rPr>
                <w:rFonts w:hint="eastAsia" w:ascii="新宋体" w:hAnsi="新宋体" w:eastAsia="新宋体" w:cs="新宋体"/>
                <w:color w:val="000000"/>
                <w:sz w:val="21"/>
                <w:szCs w:val="21"/>
              </w:rPr>
              <w:t>　</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5</w:t>
            </w:r>
            <w:r>
              <w:rPr>
                <w:rFonts w:hint="eastAsia" w:ascii="新宋体" w:hAnsi="新宋体" w:eastAsia="新宋体" w:cs="新宋体"/>
                <w:color w:val="000000"/>
                <w:sz w:val="21"/>
                <w:szCs w:val="21"/>
              </w:rPr>
              <w:t>　</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1035" w:hRule="atLeast"/>
          <w:jc w:val="center"/>
        </w:trPr>
        <w:tc>
          <w:tcPr>
            <w:tcW w:w="578"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2"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46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居民满意度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60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61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仿宋_GB2312" w:hAnsi="仿宋_GB2312" w:eastAsia="仿宋_GB2312" w:cs="仿宋_GB2312"/>
                <w:color w:val="000000"/>
                <w:sz w:val="24"/>
                <w:lang w:val="en-US" w:eastAsia="zh-CN"/>
              </w:rPr>
              <w:t>100</w:t>
            </w:r>
            <w:r>
              <w:rPr>
                <w:rFonts w:hint="eastAsia" w:ascii="仿宋_GB2312" w:hAnsi="仿宋_GB2312" w:eastAsia="仿宋_GB2312" w:cs="仿宋_GB2312"/>
                <w:color w:val="000000"/>
                <w:sz w:val="24"/>
              </w:rPr>
              <w:t>%</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left"/>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93"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95</w:t>
            </w:r>
          </w:p>
        </w:tc>
        <w:tc>
          <w:tcPr>
            <w:tcW w:w="8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default" w:ascii="Times New Roman" w:hAnsi="Times New Roman" w:eastAsia="仿宋_GB2312" w:cs="Times New Roman"/>
          <w:sz w:val="22"/>
        </w:rPr>
      </w:pPr>
      <w:r>
        <w:rPr>
          <w:rFonts w:hint="default" w:ascii="Times New Roman" w:hAnsi="Times New Roman" w:eastAsia="仿宋_GB2312" w:cs="Times New Roman"/>
          <w:sz w:val="22"/>
        </w:rPr>
        <w:t>填表人：</w:t>
      </w:r>
      <w:r>
        <w:rPr>
          <w:rFonts w:hint="eastAsia" w:eastAsia="仿宋_GB2312" w:cs="Times New Roman"/>
          <w:sz w:val="22"/>
          <w:lang w:eastAsia="zh-CN"/>
        </w:rPr>
        <w:t>李哲</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2023.7.10</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13974060266</w:t>
      </w:r>
      <w:r>
        <w:rPr>
          <w:rFonts w:hint="default" w:ascii="Times New Roman" w:hAnsi="Times New Roman" w:eastAsia="仿宋_GB2312" w:cs="Times New Roman"/>
          <w:sz w:val="22"/>
        </w:rPr>
        <w:t xml:space="preserve">    单位负责人签字：</w:t>
      </w:r>
    </w:p>
    <w:p>
      <w:pPr>
        <w:rPr>
          <w:rFonts w:hint="default" w:ascii="Times New Roman" w:hAnsi="Times New Roman" w:eastAsia="仿宋_GB2312" w:cs="Times New Roman"/>
          <w:sz w:val="22"/>
        </w:rPr>
      </w:pPr>
    </w:p>
    <w:p>
      <w:pPr>
        <w:rPr>
          <w:rFonts w:hint="default" w:ascii="Times New Roman" w:hAnsi="Times New Roman" w:eastAsia="仿宋_GB2312" w:cs="Times New Roman"/>
          <w:sz w:val="22"/>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年度华容县鲇鱼须镇中心卫生院</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年度华容县鲇鱼须镇中心卫生院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整体支出绩效自评报告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pacing w:line="600" w:lineRule="exact"/>
        <w:ind w:firstLine="472" w:firstLineChars="147"/>
        <w:jc w:val="left"/>
        <w:rPr>
          <w:rFonts w:hint="eastAsia" w:ascii="楷体_GB2312" w:hAnsi="楷体_GB2312" w:eastAsia="楷体_GB2312" w:cs="楷体_GB2312"/>
          <w:b/>
          <w:bCs/>
          <w:color w:val="auto"/>
          <w:sz w:val="32"/>
          <w:szCs w:val="28"/>
        </w:rPr>
      </w:pPr>
      <w:r>
        <w:rPr>
          <w:rFonts w:hint="eastAsia" w:ascii="楷体_GB2312" w:hAnsi="楷体_GB2312" w:eastAsia="楷体_GB2312" w:cs="楷体_GB2312"/>
          <w:b/>
          <w:bCs/>
          <w:color w:val="auto"/>
          <w:sz w:val="32"/>
          <w:szCs w:val="28"/>
          <w:lang w:eastAsia="zh-CN"/>
        </w:rPr>
        <w:t>（</w:t>
      </w:r>
      <w:r>
        <w:rPr>
          <w:rFonts w:hint="eastAsia" w:ascii="楷体_GB2312" w:hAnsi="楷体_GB2312" w:eastAsia="楷体_GB2312" w:cs="楷体_GB2312"/>
          <w:b/>
          <w:bCs/>
          <w:color w:val="auto"/>
          <w:sz w:val="32"/>
          <w:szCs w:val="28"/>
        </w:rPr>
        <w:t>一）</w:t>
      </w:r>
      <w:r>
        <w:rPr>
          <w:rFonts w:hint="eastAsia" w:ascii="楷体_GB2312" w:hAnsi="楷体_GB2312" w:eastAsia="楷体_GB2312" w:cs="楷体_GB2312"/>
          <w:b/>
          <w:bCs/>
          <w:color w:val="auto"/>
          <w:sz w:val="32"/>
          <w:szCs w:val="28"/>
          <w:lang w:eastAsia="zh-CN"/>
        </w:rPr>
        <w:t>部门</w:t>
      </w:r>
      <w:r>
        <w:rPr>
          <w:rFonts w:hint="eastAsia" w:ascii="楷体_GB2312" w:hAnsi="楷体_GB2312" w:eastAsia="楷体_GB2312" w:cs="楷体_GB2312"/>
          <w:b/>
          <w:bCs/>
          <w:color w:val="auto"/>
          <w:sz w:val="32"/>
          <w:szCs w:val="28"/>
        </w:rPr>
        <w:t>基本概况</w:t>
      </w:r>
    </w:p>
    <w:p>
      <w:pPr>
        <w:shd w:val="solid" w:color="FFFFFF" w:fill="auto"/>
        <w:autoSpaceDN w:val="0"/>
        <w:spacing w:line="600" w:lineRule="exact"/>
        <w:ind w:firstLine="640" w:firstLineChars="200"/>
        <w:jc w:val="left"/>
        <w:rPr>
          <w:rFonts w:hint="default" w:ascii="仿宋_GB2312" w:hAnsi="仿宋_GB2312" w:eastAsia="仿宋_GB2312" w:cs="仿宋_GB2312"/>
          <w:color w:val="auto"/>
          <w:sz w:val="32"/>
          <w:lang w:val="en-US"/>
        </w:rPr>
      </w:pPr>
      <w:r>
        <w:rPr>
          <w:rFonts w:hint="eastAsia" w:ascii="仿宋_GB2312" w:hAnsi="仿宋_GB2312" w:eastAsia="仿宋_GB2312" w:cs="仿宋_GB2312"/>
          <w:color w:val="auto"/>
          <w:sz w:val="32"/>
        </w:rPr>
        <w:t>华容县</w:t>
      </w:r>
      <w:r>
        <w:rPr>
          <w:rFonts w:hint="eastAsia" w:ascii="仿宋_GB2312" w:hAnsi="仿宋_GB2312" w:eastAsia="仿宋_GB2312" w:cs="仿宋_GB2312"/>
          <w:color w:val="auto"/>
          <w:sz w:val="32"/>
          <w:lang w:eastAsia="zh-CN"/>
        </w:rPr>
        <w:t>鲇鱼须镇中心</w:t>
      </w:r>
      <w:r>
        <w:rPr>
          <w:rFonts w:hint="eastAsia" w:ascii="仿宋_GB2312" w:hAnsi="仿宋_GB2312" w:eastAsia="仿宋_GB2312" w:cs="仿宋_GB2312"/>
          <w:color w:val="auto"/>
          <w:sz w:val="32"/>
        </w:rPr>
        <w:t>卫</w:t>
      </w:r>
      <w:r>
        <w:rPr>
          <w:rFonts w:hint="eastAsia" w:ascii="仿宋_GB2312" w:hAnsi="仿宋_GB2312" w:eastAsia="仿宋_GB2312" w:cs="仿宋_GB2312"/>
          <w:color w:val="auto"/>
          <w:sz w:val="32"/>
          <w:lang w:eastAsia="zh-CN"/>
        </w:rPr>
        <w:t>生院</w:t>
      </w:r>
      <w:r>
        <w:rPr>
          <w:rFonts w:hint="eastAsia" w:ascii="仿宋_GB2312" w:hAnsi="仿宋_GB2312" w:eastAsia="仿宋_GB2312" w:cs="仿宋_GB2312"/>
          <w:color w:val="auto"/>
          <w:sz w:val="32"/>
        </w:rPr>
        <w:t>系财政全额预算拨款单位。202</w:t>
      </w:r>
      <w:r>
        <w:rPr>
          <w:rFonts w:hint="eastAsia" w:ascii="仿宋_GB2312" w:hAnsi="仿宋_GB2312" w:eastAsia="仿宋_GB2312" w:cs="仿宋_GB2312"/>
          <w:color w:val="auto"/>
          <w:sz w:val="32"/>
          <w:lang w:val="en-US" w:eastAsia="zh-CN"/>
        </w:rPr>
        <w:t>2</w:t>
      </w:r>
      <w:r>
        <w:rPr>
          <w:rFonts w:hint="eastAsia" w:ascii="仿宋_GB2312" w:hAnsi="仿宋_GB2312" w:eastAsia="仿宋_GB2312" w:cs="仿宋_GB2312"/>
          <w:color w:val="auto"/>
          <w:sz w:val="32"/>
        </w:rPr>
        <w:t>年编制部门核实华容县</w:t>
      </w:r>
      <w:r>
        <w:rPr>
          <w:rFonts w:hint="eastAsia" w:ascii="仿宋_GB2312" w:hAnsi="仿宋_GB2312" w:eastAsia="仿宋_GB2312" w:cs="仿宋_GB2312"/>
          <w:color w:val="auto"/>
          <w:sz w:val="32"/>
          <w:lang w:eastAsia="zh-CN"/>
        </w:rPr>
        <w:t>鲇鱼须镇中心卫生院</w:t>
      </w:r>
      <w:r>
        <w:rPr>
          <w:rFonts w:hint="eastAsia" w:ascii="仿宋_GB2312" w:hAnsi="仿宋_GB2312" w:eastAsia="仿宋_GB2312" w:cs="仿宋_GB2312"/>
          <w:color w:val="auto"/>
          <w:sz w:val="32"/>
        </w:rPr>
        <w:t>卫生</w:t>
      </w:r>
      <w:r>
        <w:rPr>
          <w:rFonts w:hint="eastAsia" w:ascii="仿宋_GB2312" w:hAnsi="仿宋_GB2312" w:eastAsia="仿宋_GB2312" w:cs="仿宋_GB2312"/>
          <w:color w:val="auto"/>
          <w:sz w:val="32"/>
          <w:lang w:eastAsia="zh-CN"/>
        </w:rPr>
        <w:t>院事业</w:t>
      </w:r>
      <w:r>
        <w:rPr>
          <w:rFonts w:hint="eastAsia" w:ascii="仿宋_GB2312" w:hAnsi="仿宋_GB2312" w:eastAsia="仿宋_GB2312" w:cs="仿宋_GB2312"/>
          <w:color w:val="auto"/>
          <w:sz w:val="32"/>
        </w:rPr>
        <w:t>编制</w:t>
      </w:r>
      <w:r>
        <w:rPr>
          <w:rFonts w:hint="eastAsia" w:ascii="仿宋_GB2312" w:hAnsi="仿宋_GB2312" w:eastAsia="仿宋_GB2312" w:cs="仿宋_GB2312"/>
          <w:color w:val="auto"/>
          <w:sz w:val="32"/>
          <w:lang w:val="en-US" w:eastAsia="zh-CN"/>
        </w:rPr>
        <w:t>43</w:t>
      </w:r>
      <w:r>
        <w:rPr>
          <w:rFonts w:hint="eastAsia" w:ascii="仿宋_GB2312" w:hAnsi="仿宋_GB2312" w:eastAsia="仿宋_GB2312" w:cs="仿宋_GB2312"/>
          <w:color w:val="auto"/>
          <w:sz w:val="32"/>
        </w:rPr>
        <w:t>名，实有</w:t>
      </w:r>
      <w:r>
        <w:rPr>
          <w:rFonts w:hint="eastAsia" w:ascii="仿宋_GB2312" w:hAnsi="仿宋_GB2312" w:eastAsia="仿宋_GB2312" w:cs="仿宋_GB2312"/>
          <w:color w:val="auto"/>
          <w:sz w:val="32"/>
          <w:lang w:eastAsia="zh-CN"/>
        </w:rPr>
        <w:t>事业编制</w:t>
      </w:r>
      <w:r>
        <w:rPr>
          <w:rFonts w:hint="eastAsia" w:ascii="仿宋_GB2312" w:hAnsi="仿宋_GB2312" w:eastAsia="仿宋_GB2312" w:cs="仿宋_GB2312"/>
          <w:color w:val="auto"/>
          <w:sz w:val="32"/>
        </w:rPr>
        <w:t>人员</w:t>
      </w:r>
      <w:r>
        <w:rPr>
          <w:rFonts w:hint="eastAsia" w:ascii="仿宋_GB2312" w:hAnsi="仿宋_GB2312" w:eastAsia="仿宋_GB2312" w:cs="仿宋_GB2312"/>
          <w:color w:val="auto"/>
          <w:sz w:val="32"/>
          <w:lang w:val="en-US" w:eastAsia="zh-CN"/>
        </w:rPr>
        <w:t>34</w:t>
      </w:r>
      <w:r>
        <w:rPr>
          <w:rFonts w:hint="eastAsia" w:ascii="仿宋_GB2312" w:hAnsi="仿宋_GB2312" w:eastAsia="仿宋_GB2312" w:cs="仿宋_GB2312"/>
          <w:color w:val="auto"/>
          <w:sz w:val="32"/>
        </w:rPr>
        <w:t>人</w:t>
      </w:r>
      <w:r>
        <w:rPr>
          <w:rFonts w:hint="eastAsia" w:ascii="仿宋_GB2312" w:hAnsi="仿宋_GB2312" w:eastAsia="仿宋_GB2312" w:cs="仿宋_GB2312"/>
          <w:color w:val="auto"/>
          <w:sz w:val="32"/>
          <w:lang w:val="en-US" w:eastAsia="zh-CN"/>
        </w:rPr>
        <w:t>.华容县鲇鱼须镇中心卫生院单位内设机构包括：3个职能科室。医疗组、防保组、行政后勤组。</w:t>
      </w:r>
    </w:p>
    <w:p>
      <w:pPr>
        <w:shd w:val="solid" w:color="FFFFFF" w:fill="auto"/>
        <w:autoSpaceDN w:val="0"/>
        <w:spacing w:line="600" w:lineRule="exact"/>
        <w:ind w:firstLine="469" w:firstLineChars="146"/>
        <w:jc w:val="left"/>
        <w:rPr>
          <w:rFonts w:hint="eastAsia" w:ascii="楷体_GB2312" w:hAnsi="楷体_GB2312" w:eastAsia="楷体_GB2312" w:cs="楷体_GB2312"/>
          <w:b/>
          <w:bCs/>
          <w:sz w:val="32"/>
          <w:lang w:eastAsia="zh-CN"/>
        </w:rPr>
      </w:pPr>
      <w:r>
        <w:rPr>
          <w:rFonts w:hint="eastAsia" w:ascii="楷体_GB2312" w:hAnsi="楷体_GB2312" w:eastAsia="楷体_GB2312" w:cs="楷体_GB2312"/>
          <w:b/>
          <w:bCs/>
          <w:sz w:val="32"/>
        </w:rPr>
        <w:t>（二）部门主要职能</w:t>
      </w:r>
      <w:r>
        <w:rPr>
          <w:rFonts w:hint="eastAsia" w:ascii="楷体_GB2312" w:hAnsi="楷体_GB2312" w:eastAsia="楷体_GB2312" w:cs="楷体_GB2312"/>
          <w:b/>
          <w:bCs/>
          <w:sz w:val="32"/>
          <w:lang w:eastAsia="zh-CN"/>
        </w:rPr>
        <w:t>及支出使用方向和内容</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eastAsia="zh-CN"/>
        </w:rPr>
      </w:pPr>
      <w:r>
        <w:rPr>
          <w:rFonts w:hint="eastAsia" w:ascii="仿宋" w:hAnsi="仿宋" w:eastAsia="仿宋" w:cs="仿宋"/>
          <w:sz w:val="32"/>
          <w:szCs w:val="24"/>
          <w:lang w:eastAsia="zh-CN"/>
        </w:rPr>
        <w:t>我院应承担本镇的各项医疗卫生服务和一定的卫生行政管理工作，具体工作职能如下：</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1.承农村居民健康档案规范建档指导、管理及服务。</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2.普及卫生保健常识，在重点人群和重点场所开展健康教育，帮助居民形成有利于维护和增进健康的行为方式</w:t>
      </w:r>
      <w:r>
        <w:rPr>
          <w:rFonts w:hint="eastAsia" w:ascii="仿宋" w:hAnsi="仿宋" w:eastAsia="仿宋" w:cs="仿宋"/>
          <w:sz w:val="32"/>
          <w:szCs w:val="24"/>
          <w:lang w:eastAsia="zh-CN"/>
        </w:rPr>
        <w:t>，</w:t>
      </w:r>
      <w:r>
        <w:rPr>
          <w:rFonts w:hint="eastAsia" w:ascii="仿宋" w:hAnsi="仿宋" w:eastAsia="仿宋" w:cs="仿宋"/>
          <w:sz w:val="32"/>
          <w:szCs w:val="24"/>
        </w:rPr>
        <w:t>指导开展爱国卫生工作。</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3.提供并组织实施辖区预防接种服务，落实国家免疫规划。</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4.及时发现、登记并报告辖区内发现的传染病病例和疑似病例，参与现场疫情处理。</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5</w:t>
      </w:r>
      <w:r>
        <w:rPr>
          <w:rFonts w:hint="eastAsia" w:ascii="仿宋" w:hAnsi="仿宋" w:eastAsia="仿宋" w:cs="仿宋"/>
          <w:sz w:val="32"/>
          <w:szCs w:val="24"/>
          <w:lang w:eastAsia="zh-CN"/>
        </w:rPr>
        <w:t>.</w:t>
      </w:r>
      <w:r>
        <w:rPr>
          <w:rFonts w:hint="eastAsia" w:ascii="仿宋" w:hAnsi="仿宋" w:eastAsia="仿宋" w:cs="仿宋"/>
          <w:sz w:val="32"/>
          <w:szCs w:val="24"/>
        </w:rPr>
        <w:t>开展访及儿童保系统管理，进行体格检查和生长发育监测及评价，开展健康指导。</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6.开展孕产妇保健系统管理和产后访视，进行一般体格检查及孕期营养、心理等健康指导。</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7.对辖区65岁及以上老年人进行登记管理，进行健康危险因素调查和一般体格检查，开展健康指导。</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8.对高血压、糖尿病等慢性病高危人群进行指导，对确诊高血压、糖尿病等慢性病病例进行登记管理、定期随访和健康指导。</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rPr>
      </w:pPr>
      <w:r>
        <w:rPr>
          <w:rFonts w:hint="eastAsia" w:ascii="仿宋" w:hAnsi="仿宋" w:eastAsia="仿宋" w:cs="仿宋"/>
          <w:sz w:val="32"/>
          <w:szCs w:val="24"/>
        </w:rPr>
        <w:t>9.对辖区重性精神疾病患者进行登记管理、治疗随访和康复指导。</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10.负责辖区内突发公共卫生事件的报告并协助处理。</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11.做好卫生行政部门规定的其他公共卫生服务。</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12.使用农村适宜医疗技术和中医药技术，正确处理常</w:t>
      </w:r>
    </w:p>
    <w:p>
      <w:pPr>
        <w:keepNext w:val="0"/>
        <w:keepLines w:val="0"/>
        <w:pageBreakBefore w:val="0"/>
        <w:widowControl w:val="0"/>
        <w:kinsoku/>
        <w:wordWrap/>
        <w:overflowPunct/>
        <w:topLinePunct w:val="0"/>
        <w:bidi w:val="0"/>
        <w:adjustRightInd w:val="0"/>
        <w:snapToGrid w:val="0"/>
        <w:spacing w:line="600" w:lineRule="atLeast"/>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见病、多发病，对疑难重症进行恰当的处理并转诊。承担乡村现场应急救护、转诊服务和康复服务。</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13.一般卫生院具备能完成外科的止血、缝合、包扎、骨折固定等处置。</w:t>
      </w:r>
    </w:p>
    <w:p>
      <w:pPr>
        <w:keepNext w:val="0"/>
        <w:keepLines w:val="0"/>
        <w:pageBreakBefore w:val="0"/>
        <w:widowControl w:val="0"/>
        <w:kinsoku/>
        <w:wordWrap/>
        <w:overflowPunct/>
        <w:topLinePunct w:val="0"/>
        <w:bidi w:val="0"/>
        <w:adjustRightInd w:val="0"/>
        <w:snapToGrid w:val="0"/>
        <w:spacing w:line="600" w:lineRule="atLeast"/>
        <w:ind w:firstLine="630"/>
        <w:jc w:val="both"/>
        <w:textAlignment w:val="auto"/>
        <w:rPr>
          <w:rFonts w:hint="eastAsia" w:ascii="仿宋" w:hAnsi="仿宋" w:eastAsia="仿宋" w:cs="仿宋"/>
          <w:sz w:val="32"/>
          <w:szCs w:val="24"/>
          <w:lang w:val="en-US" w:eastAsia="zh-CN"/>
        </w:rPr>
      </w:pPr>
      <w:r>
        <w:rPr>
          <w:rFonts w:hint="eastAsia" w:ascii="仿宋" w:hAnsi="仿宋" w:eastAsia="仿宋" w:cs="仿宋"/>
          <w:sz w:val="32"/>
          <w:szCs w:val="24"/>
          <w:lang w:val="en-US" w:eastAsia="zh-CN"/>
        </w:rPr>
        <w:t>14.健全消毒、隔离制度，遵守无菌操作规程，加强医疗质量管理。做好医疗废物处理和污水、污物无害化处理。</w:t>
      </w:r>
    </w:p>
    <w:p>
      <w:pPr>
        <w:pStyle w:val="2"/>
        <w:numPr>
          <w:ilvl w:val="0"/>
          <w:numId w:val="0"/>
        </w:numPr>
        <w:rPr>
          <w:rFonts w:hint="default"/>
        </w:rPr>
      </w:pPr>
      <w:r>
        <w:rPr>
          <w:rFonts w:hint="eastAsia" w:ascii="仿宋" w:hAnsi="仿宋" w:eastAsia="仿宋" w:cs="仿宋"/>
          <w:sz w:val="32"/>
          <w:szCs w:val="24"/>
          <w:lang w:val="en-US" w:eastAsia="zh-CN"/>
        </w:rPr>
        <w:t>15.执行国家基本药物制度药品集中采购、零差率销售等政策，为实施一体化管理的村卫生室统一代购药品</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二、基本支出情况</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eastAsia" w:ascii="仿宋_GB2312" w:hAnsi="仿宋_GB2312" w:eastAsia="仿宋_GB2312" w:cs="仿宋_GB2312"/>
          <w:sz w:val="32"/>
          <w:szCs w:val="28"/>
          <w:lang w:val="en-US" w:eastAsia="zh-CN"/>
        </w:rPr>
        <w:t>2022年华容县鲇鱼须镇中心卫生院整体基本支出合计893.03万元，主要是用于人员工资、社会保障缴费、临时工工资以及为保障医疗卫生机构正常运转、完成日常工作任务而发生的 商品和服务支出。其中：</w:t>
      </w:r>
      <w:r>
        <w:rPr>
          <w:rFonts w:hint="eastAsia" w:ascii="仿宋_GB2312" w:hAnsi="仿宋_GB2312" w:eastAsia="仿宋_GB2312" w:cs="仿宋_GB2312"/>
          <w:sz w:val="32"/>
          <w:szCs w:val="28"/>
          <w:lang w:eastAsia="zh-CN"/>
        </w:rPr>
        <w:t>工资福利支出</w:t>
      </w:r>
      <w:r>
        <w:rPr>
          <w:rFonts w:hint="eastAsia" w:ascii="仿宋_GB2312" w:hAnsi="仿宋_GB2312" w:eastAsia="仿宋_GB2312" w:cs="仿宋_GB2312"/>
          <w:sz w:val="32"/>
          <w:szCs w:val="28"/>
          <w:lang w:val="en-US" w:eastAsia="zh-CN"/>
        </w:rPr>
        <w:t>428.81</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；商品和服务支出</w:t>
      </w:r>
      <w:r>
        <w:rPr>
          <w:rFonts w:hint="eastAsia" w:ascii="仿宋_GB2312" w:hAnsi="仿宋_GB2312" w:eastAsia="仿宋_GB2312" w:cs="仿宋_GB2312"/>
          <w:sz w:val="32"/>
          <w:szCs w:val="28"/>
          <w:lang w:val="en-US" w:eastAsia="zh-CN"/>
        </w:rPr>
        <w:t>464.22万元</w:t>
      </w:r>
      <w:r>
        <w:rPr>
          <w:rFonts w:hint="eastAsia" w:ascii="仿宋_GB2312" w:hAnsi="宋体" w:eastAsia="仿宋_GB2312" w:cs="宋体"/>
          <w:sz w:val="32"/>
          <w:szCs w:val="28"/>
          <w:lang w:val="en-US" w:eastAsia="zh-CN"/>
        </w:rPr>
        <w:t>。</w:t>
      </w:r>
    </w:p>
    <w:p>
      <w:pPr>
        <w:pStyle w:val="13"/>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spacing w:line="560" w:lineRule="exact"/>
        <w:ind w:firstLine="643" w:firstLineChars="200"/>
        <w:rPr>
          <w:rFonts w:hint="eastAsia" w:ascii="Times New Roman" w:hAnsi="Times New Roman" w:eastAsia="仿宋_GB2312" w:cs="Times New Roman"/>
          <w:b/>
          <w:bCs/>
          <w:color w:val="auto"/>
          <w:kern w:val="2"/>
          <w:sz w:val="32"/>
          <w:szCs w:val="32"/>
          <w:shd w:val="clear" w:color="auto" w:fill="FFFFFF"/>
          <w:lang w:val="en-US" w:eastAsia="zh-CN" w:bidi="ar-SA"/>
        </w:rPr>
      </w:pPr>
      <w:r>
        <w:rPr>
          <w:rFonts w:hint="eastAsia" w:ascii="Times New Roman" w:hAnsi="Times New Roman" w:eastAsia="仿宋_GB2312" w:cs="Times New Roman"/>
          <w:b/>
          <w:bCs/>
          <w:color w:val="auto"/>
          <w:kern w:val="2"/>
          <w:sz w:val="32"/>
          <w:szCs w:val="32"/>
          <w:shd w:val="clear" w:color="auto" w:fill="FFFFFF"/>
          <w:lang w:val="en-US" w:eastAsia="zh-CN" w:bidi="ar-SA"/>
        </w:rPr>
        <w:t>1、项目资金安排落实、总投入等情况</w:t>
      </w:r>
    </w:p>
    <w:p>
      <w:pPr>
        <w:spacing w:line="560" w:lineRule="exact"/>
        <w:ind w:firstLine="640" w:firstLineChars="200"/>
        <w:rPr>
          <w:rFonts w:hint="eastAsia" w:ascii="仿宋_GB2312" w:hAnsi="仿宋_GB2312" w:eastAsia="仿宋_GB2312" w:cs="仿宋_GB2312"/>
          <w:color w:val="auto"/>
          <w:sz w:val="32"/>
          <w:szCs w:val="28"/>
          <w:lang w:val="en-US" w:eastAsia="zh-CN"/>
        </w:rPr>
      </w:pPr>
      <w:r>
        <w:rPr>
          <w:rFonts w:hint="eastAsia" w:ascii="仿宋_GB2312" w:hAnsi="仿宋_GB2312" w:eastAsia="仿宋_GB2312" w:cs="仿宋_GB2312"/>
          <w:sz w:val="32"/>
          <w:szCs w:val="28"/>
          <w:lang w:val="en-US" w:eastAsia="zh-CN"/>
        </w:rPr>
        <w:t>我部门项目资金按照年初预算的安排，按照月度与进度等安排资金落实，2022年华容县鲇鱼须镇中心卫生院整体年初项目资金合计申报452万元，主要是用于</w:t>
      </w:r>
      <w:r>
        <w:rPr>
          <w:rFonts w:hint="eastAsia" w:ascii="仿宋_GB2312" w:hAnsi="仿宋_GB2312" w:eastAsia="仿宋_GB2312" w:cs="仿宋_GB2312"/>
          <w:color w:val="auto"/>
          <w:sz w:val="32"/>
          <w:szCs w:val="28"/>
          <w:lang w:val="en-US" w:eastAsia="zh-CN"/>
        </w:rPr>
        <w:t>基本公共卫生服务、应急物质储备的支出和基础建设。</w:t>
      </w:r>
    </w:p>
    <w:p>
      <w:pPr>
        <w:spacing w:line="560" w:lineRule="exact"/>
        <w:ind w:firstLine="643" w:firstLineChars="200"/>
        <w:rPr>
          <w:rFonts w:hint="eastAsia" w:ascii="Times New Roman" w:hAnsi="Times New Roman" w:eastAsia="仿宋_GB2312" w:cs="Times New Roman"/>
          <w:b/>
          <w:bCs/>
          <w:color w:val="auto"/>
          <w:kern w:val="2"/>
          <w:sz w:val="32"/>
          <w:szCs w:val="32"/>
          <w:shd w:val="clear" w:color="auto" w:fill="FFFFFF"/>
          <w:lang w:val="en-US" w:eastAsia="zh-CN" w:bidi="ar-SA"/>
        </w:rPr>
      </w:pPr>
      <w:r>
        <w:rPr>
          <w:rFonts w:hint="eastAsia" w:eastAsia="仿宋_GB2312" w:cs="Times New Roman"/>
          <w:b/>
          <w:bCs/>
          <w:color w:val="auto"/>
          <w:kern w:val="2"/>
          <w:sz w:val="32"/>
          <w:szCs w:val="32"/>
          <w:shd w:val="clear" w:color="auto" w:fill="FFFFFF"/>
          <w:lang w:val="en-US" w:eastAsia="zh-CN" w:bidi="ar-SA"/>
        </w:rPr>
        <w:t>2</w:t>
      </w:r>
      <w:r>
        <w:rPr>
          <w:rFonts w:hint="eastAsia" w:ascii="Times New Roman" w:hAnsi="Times New Roman" w:eastAsia="仿宋_GB2312" w:cs="Times New Roman"/>
          <w:b/>
          <w:bCs/>
          <w:color w:val="auto"/>
          <w:kern w:val="2"/>
          <w:sz w:val="32"/>
          <w:szCs w:val="32"/>
          <w:shd w:val="clear" w:color="auto" w:fill="FFFFFF"/>
          <w:lang w:val="en-US" w:eastAsia="zh-CN" w:bidi="ar-SA"/>
        </w:rPr>
        <w:t>、专项资金管理情况分析</w:t>
      </w:r>
    </w:p>
    <w:p>
      <w:pPr>
        <w:spacing w:line="600" w:lineRule="exact"/>
        <w:ind w:firstLine="470" w:firstLineChars="147"/>
        <w:jc w:val="left"/>
        <w:rPr>
          <w:rFonts w:hint="default" w:ascii="Times New Roman" w:hAnsi="Times New Roman" w:eastAsia="黑体" w:cs="Times New Roman"/>
          <w:kern w:val="2"/>
          <w:sz w:val="32"/>
          <w:szCs w:val="32"/>
          <w:lang w:val="en-US" w:eastAsia="zh-CN" w:bidi="ar-SA"/>
        </w:rPr>
      </w:pPr>
      <w:r>
        <w:rPr>
          <w:rFonts w:hint="default" w:ascii="Times New Roman" w:hAnsi="Times New Roman" w:eastAsia="仿宋_GB2312" w:cs="Times New Roman"/>
          <w:color w:val="auto"/>
          <w:kern w:val="2"/>
          <w:sz w:val="32"/>
          <w:szCs w:val="32"/>
          <w:shd w:val="clear" w:color="auto" w:fill="FFFFFF"/>
          <w:lang w:val="en-US" w:eastAsia="zh-CN" w:bidi="ar-SA"/>
        </w:rPr>
        <w:t>严格按项目资金进行管理，执行相关财务支出管理制度，资金管理制度。</w:t>
      </w:r>
      <w:r>
        <w:rPr>
          <w:rFonts w:hint="eastAsia" w:ascii="Times New Roman" w:hAnsi="Times New Roman" w:eastAsia="仿宋_GB2312" w:cs="Times New Roman"/>
          <w:color w:val="auto"/>
          <w:kern w:val="2"/>
          <w:sz w:val="32"/>
          <w:szCs w:val="32"/>
          <w:shd w:val="clear" w:color="auto" w:fill="FFFFFF"/>
          <w:lang w:val="en-US" w:eastAsia="zh-CN" w:bidi="ar-SA"/>
        </w:rPr>
        <w:t>加强项目资金专款专用管理，设立专账核算，各项目执行单位财务机构加强项目资金日常使用监督。</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adjustRightInd w:val="0"/>
        <w:snapToGrid w:val="0"/>
        <w:spacing w:line="600" w:lineRule="exact"/>
        <w:ind w:left="17" w:leftChars="8" w:firstLine="716" w:firstLineChars="223"/>
        <w:jc w:val="left"/>
        <w:rPr>
          <w:rFonts w:hint="eastAsia" w:ascii="仿宋_GB2312" w:hAnsi="仿宋_GB2312" w:eastAsia="仿宋_GB2312" w:cs="仿宋_GB2312"/>
          <w:b/>
          <w:bCs/>
          <w:sz w:val="30"/>
          <w:szCs w:val="30"/>
        </w:rPr>
      </w:pPr>
      <w:r>
        <w:rPr>
          <w:rFonts w:hint="eastAsia" w:ascii="仿宋_GB2312" w:hAnsi="仿宋_GB2312" w:eastAsia="仿宋_GB2312" w:cs="仿宋_GB2312"/>
          <w:b/>
          <w:bCs/>
          <w:sz w:val="32"/>
          <w:szCs w:val="28"/>
        </w:rPr>
        <w:t>1.部门整体收支情况：</w:t>
      </w:r>
    </w:p>
    <w:p>
      <w:pPr>
        <w:adjustRightInd w:val="0"/>
        <w:snapToGrid w:val="0"/>
        <w:spacing w:line="600" w:lineRule="atLeast"/>
        <w:ind w:firstLine="640" w:firstLineChars="200"/>
        <w:rPr>
          <w:rFonts w:hint="eastAsia" w:ascii="仿宋_GB2312" w:hAnsi="宋体" w:eastAsia="仿宋_GB2312" w:cs="宋体"/>
          <w:sz w:val="32"/>
          <w:szCs w:val="28"/>
        </w:rPr>
      </w:pPr>
      <w:r>
        <w:rPr>
          <w:rFonts w:hint="eastAsia" w:ascii="仿宋_GB2312" w:hAnsi="仿宋_GB2312" w:eastAsia="仿宋_GB2312" w:cs="仿宋_GB2312"/>
          <w:sz w:val="32"/>
          <w:szCs w:val="28"/>
        </w:rPr>
        <w:t>（1）收入情况：全年</w:t>
      </w:r>
      <w:r>
        <w:rPr>
          <w:rFonts w:hint="eastAsia" w:ascii="仿宋_GB2312" w:hAnsi="仿宋_GB2312" w:eastAsia="仿宋_GB2312" w:cs="仿宋_GB2312"/>
          <w:sz w:val="32"/>
          <w:szCs w:val="28"/>
          <w:lang w:eastAsia="zh-CN"/>
        </w:rPr>
        <w:t>收入合计</w:t>
      </w:r>
      <w:r>
        <w:rPr>
          <w:rFonts w:hint="eastAsia" w:ascii="仿宋_GB2312" w:hAnsi="仿宋_GB2312" w:eastAsia="仿宋_GB2312" w:cs="仿宋_GB2312"/>
          <w:color w:val="auto"/>
          <w:sz w:val="32"/>
          <w:szCs w:val="28"/>
          <w:lang w:val="en-US" w:eastAsia="zh-CN"/>
        </w:rPr>
        <w:t>1345.03万</w:t>
      </w:r>
      <w:r>
        <w:rPr>
          <w:rFonts w:hint="eastAsia" w:ascii="仿宋_GB2312" w:hAnsi="仿宋_GB2312" w:eastAsia="仿宋_GB2312" w:cs="仿宋_GB2312"/>
          <w:sz w:val="32"/>
          <w:szCs w:val="28"/>
          <w:lang w:val="en-US" w:eastAsia="zh-CN"/>
        </w:rPr>
        <w:t>元，其中：一般公共预算</w:t>
      </w:r>
      <w:r>
        <w:rPr>
          <w:rFonts w:hint="eastAsia" w:ascii="仿宋_GB2312" w:hAnsi="仿宋_GB2312" w:eastAsia="仿宋_GB2312" w:cs="仿宋_GB2312"/>
          <w:sz w:val="32"/>
          <w:szCs w:val="28"/>
        </w:rPr>
        <w:t>财政拨款收入</w:t>
      </w:r>
      <w:r>
        <w:rPr>
          <w:rFonts w:hint="eastAsia" w:ascii="仿宋_GB2312" w:hAnsi="仿宋_GB2312" w:eastAsia="仿宋_GB2312" w:cs="仿宋_GB2312"/>
          <w:sz w:val="32"/>
          <w:szCs w:val="28"/>
          <w:lang w:val="en-US" w:eastAsia="zh-CN"/>
        </w:rPr>
        <w:t>997.38</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w:t>
      </w:r>
      <w:r>
        <w:rPr>
          <w:rFonts w:hint="eastAsia" w:ascii="仿宋_GB2312" w:hAnsi="仿宋_GB2312" w:eastAsia="仿宋_GB2312" w:cs="仿宋_GB2312"/>
          <w:sz w:val="32"/>
          <w:szCs w:val="28"/>
          <w:lang w:val="en-US" w:eastAsia="zh-CN"/>
        </w:rPr>
        <w:t>事业收入322.03万元，其他收入25.62万元</w:t>
      </w:r>
      <w:r>
        <w:rPr>
          <w:rFonts w:hint="eastAsia" w:ascii="仿宋_GB2312" w:hAnsi="宋体" w:eastAsia="仿宋_GB2312" w:cs="宋体"/>
          <w:sz w:val="32"/>
          <w:szCs w:val="28"/>
        </w:rPr>
        <w:t>。</w:t>
      </w:r>
    </w:p>
    <w:p>
      <w:pPr>
        <w:adjustRightInd w:val="0"/>
        <w:snapToGrid w:val="0"/>
        <w:spacing w:line="600" w:lineRule="atLeast"/>
        <w:ind w:firstLine="640" w:firstLineChars="200"/>
        <w:rPr>
          <w:rFonts w:hint="eastAsia" w:ascii="仿宋_GB2312" w:hAnsi="宋体" w:eastAsia="仿宋_GB2312" w:cs="宋体"/>
          <w:sz w:val="32"/>
          <w:szCs w:val="28"/>
          <w:lang w:val="en-US" w:eastAsia="zh-CN"/>
        </w:rPr>
      </w:pPr>
      <w:r>
        <w:rPr>
          <w:rFonts w:hint="eastAsia" w:ascii="仿宋_GB2312" w:hAnsi="宋体" w:eastAsia="仿宋_GB2312" w:cs="宋体"/>
          <w:sz w:val="32"/>
          <w:szCs w:val="28"/>
        </w:rPr>
        <w:t>（2）支出情况:全年</w:t>
      </w:r>
      <w:r>
        <w:rPr>
          <w:rFonts w:hint="eastAsia" w:ascii="仿宋_GB2312" w:hAnsi="宋体" w:eastAsia="仿宋_GB2312" w:cs="宋体"/>
          <w:sz w:val="32"/>
          <w:szCs w:val="28"/>
          <w:lang w:eastAsia="zh-CN"/>
        </w:rPr>
        <w:t>支出合计</w:t>
      </w:r>
      <w:r>
        <w:rPr>
          <w:rFonts w:hint="eastAsia" w:ascii="仿宋_GB2312" w:hAnsi="宋体" w:eastAsia="仿宋_GB2312" w:cs="宋体"/>
          <w:sz w:val="32"/>
          <w:szCs w:val="28"/>
          <w:lang w:val="en-US" w:eastAsia="zh-CN"/>
        </w:rPr>
        <w:t>1345.03万元，其中：</w:t>
      </w:r>
      <w:r>
        <w:rPr>
          <w:rFonts w:hint="eastAsia" w:ascii="仿宋_GB2312" w:hAnsi="宋体" w:eastAsia="仿宋_GB2312" w:cs="宋体"/>
          <w:sz w:val="32"/>
          <w:szCs w:val="28"/>
        </w:rPr>
        <w:t>基本支出</w:t>
      </w:r>
      <w:r>
        <w:rPr>
          <w:rFonts w:hint="eastAsia" w:ascii="仿宋_GB2312" w:hAnsi="宋体" w:eastAsia="仿宋_GB2312" w:cs="宋体"/>
          <w:sz w:val="32"/>
          <w:szCs w:val="28"/>
          <w:lang w:val="en-US" w:eastAsia="zh-CN"/>
        </w:rPr>
        <w:t>893.03</w:t>
      </w:r>
      <w:r>
        <w:rPr>
          <w:rFonts w:hint="eastAsia" w:ascii="仿宋_GB2312" w:hAnsi="宋体" w:eastAsia="仿宋_GB2312" w:cs="宋体"/>
          <w:sz w:val="32"/>
          <w:szCs w:val="28"/>
        </w:rPr>
        <w:t>万元（</w:t>
      </w:r>
      <w:r>
        <w:rPr>
          <w:rFonts w:hint="eastAsia" w:ascii="仿宋_GB2312" w:hAnsi="宋体" w:eastAsia="仿宋_GB2312" w:cs="宋体"/>
          <w:sz w:val="32"/>
          <w:szCs w:val="28"/>
          <w:lang w:eastAsia="zh-CN"/>
        </w:rPr>
        <w:t>工</w:t>
      </w:r>
      <w:r>
        <w:rPr>
          <w:rFonts w:hint="eastAsia" w:ascii="仿宋_GB2312" w:hAnsi="仿宋_GB2312" w:eastAsia="仿宋_GB2312" w:cs="仿宋_GB2312"/>
          <w:sz w:val="32"/>
          <w:szCs w:val="28"/>
          <w:lang w:eastAsia="zh-CN"/>
        </w:rPr>
        <w:t>资福利支出</w:t>
      </w:r>
      <w:r>
        <w:rPr>
          <w:rFonts w:hint="eastAsia" w:ascii="仿宋_GB2312" w:hAnsi="仿宋_GB2312" w:eastAsia="仿宋_GB2312" w:cs="仿宋_GB2312"/>
          <w:sz w:val="32"/>
          <w:szCs w:val="28"/>
          <w:lang w:val="en-US" w:eastAsia="zh-CN"/>
        </w:rPr>
        <w:t>428.81</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；商品和服务支出</w:t>
      </w:r>
      <w:r>
        <w:rPr>
          <w:rFonts w:hint="eastAsia" w:ascii="仿宋_GB2312" w:hAnsi="仿宋_GB2312" w:eastAsia="仿宋_GB2312" w:cs="仿宋_GB2312"/>
          <w:sz w:val="32"/>
          <w:szCs w:val="28"/>
          <w:lang w:val="en-US" w:eastAsia="zh-CN"/>
        </w:rPr>
        <w:t>464.22万元</w:t>
      </w:r>
      <w:r>
        <w:rPr>
          <w:rFonts w:hint="eastAsia" w:ascii="仿宋_GB2312" w:hAnsi="宋体" w:eastAsia="仿宋_GB2312" w:cs="宋体"/>
          <w:sz w:val="32"/>
          <w:szCs w:val="28"/>
        </w:rPr>
        <w:t>）</w:t>
      </w:r>
      <w:r>
        <w:rPr>
          <w:rFonts w:hint="eastAsia" w:ascii="仿宋_GB2312" w:hAnsi="宋体" w:eastAsia="仿宋_GB2312" w:cs="宋体"/>
          <w:sz w:val="32"/>
          <w:szCs w:val="28"/>
          <w:lang w:val="en-US" w:eastAsia="zh-CN"/>
        </w:rPr>
        <w:t>。</w:t>
      </w:r>
    </w:p>
    <w:p>
      <w:pPr>
        <w:adjustRightInd w:val="0"/>
        <w:snapToGrid w:val="0"/>
        <w:spacing w:line="600" w:lineRule="atLeast"/>
        <w:ind w:firstLine="640" w:firstLineChars="200"/>
        <w:rPr>
          <w:rFonts w:hint="eastAsia" w:ascii="仿宋_GB2312" w:hAnsi="宋体" w:eastAsia="仿宋_GB2312" w:cs="宋体"/>
          <w:sz w:val="32"/>
          <w:szCs w:val="28"/>
        </w:rPr>
      </w:pPr>
      <w:r>
        <w:rPr>
          <w:rFonts w:hint="eastAsia" w:ascii="仿宋_GB2312" w:hAnsi="宋体" w:eastAsia="仿宋_GB2312" w:cs="宋体"/>
          <w:sz w:val="32"/>
          <w:szCs w:val="28"/>
        </w:rPr>
        <w:t>项目支出</w:t>
      </w:r>
      <w:r>
        <w:rPr>
          <w:rFonts w:hint="eastAsia" w:ascii="仿宋_GB2312" w:hAnsi="仿宋_GB2312" w:eastAsia="仿宋_GB2312" w:cs="仿宋_GB2312"/>
          <w:sz w:val="32"/>
          <w:szCs w:val="28"/>
          <w:lang w:val="en-US" w:eastAsia="zh-CN"/>
        </w:rPr>
        <w:t>452万元，主要是</w:t>
      </w:r>
      <w:r>
        <w:rPr>
          <w:rFonts w:hint="eastAsia" w:ascii="仿宋_GB2312" w:hAnsi="仿宋_GB2312" w:eastAsia="仿宋_GB2312" w:cs="仿宋_GB2312"/>
          <w:sz w:val="32"/>
          <w:szCs w:val="28"/>
          <w:lang w:eastAsia="zh-CN"/>
        </w:rPr>
        <w:t>商品和服务支出</w:t>
      </w:r>
      <w:r>
        <w:rPr>
          <w:rFonts w:hint="eastAsia" w:ascii="仿宋_GB2312" w:hAnsi="仿宋_GB2312" w:eastAsia="仿宋_GB2312" w:cs="仿宋_GB2312"/>
          <w:sz w:val="32"/>
          <w:szCs w:val="28"/>
          <w:lang w:val="en-US" w:eastAsia="zh-CN"/>
        </w:rPr>
        <w:t>100</w:t>
      </w:r>
      <w:r>
        <w:rPr>
          <w:rFonts w:hint="eastAsia" w:ascii="仿宋_GB2312" w:hAnsi="仿宋_GB2312" w:eastAsia="仿宋_GB2312" w:cs="仿宋_GB2312"/>
          <w:sz w:val="32"/>
          <w:szCs w:val="28"/>
        </w:rPr>
        <w:t>万元</w:t>
      </w:r>
      <w:r>
        <w:rPr>
          <w:rFonts w:hint="eastAsia" w:ascii="仿宋_GB2312" w:hAnsi="仿宋_GB2312" w:eastAsia="仿宋_GB2312" w:cs="仿宋_GB2312"/>
          <w:sz w:val="32"/>
          <w:szCs w:val="28"/>
          <w:lang w:eastAsia="zh-CN"/>
        </w:rPr>
        <w:t>和基础建设项目</w:t>
      </w:r>
      <w:r>
        <w:rPr>
          <w:rFonts w:hint="eastAsia" w:ascii="仿宋_GB2312" w:hAnsi="仿宋_GB2312" w:eastAsia="仿宋_GB2312" w:cs="仿宋_GB2312"/>
          <w:sz w:val="32"/>
          <w:szCs w:val="28"/>
          <w:lang w:val="en-US" w:eastAsia="zh-CN"/>
        </w:rPr>
        <w:t>352万元</w:t>
      </w:r>
      <w:r>
        <w:rPr>
          <w:rFonts w:hint="eastAsia" w:ascii="仿宋_GB2312" w:hAnsi="宋体" w:eastAsia="仿宋_GB2312" w:cs="宋体"/>
          <w:sz w:val="32"/>
          <w:szCs w:val="28"/>
        </w:rPr>
        <w:t>。</w:t>
      </w:r>
    </w:p>
    <w:p>
      <w:pPr>
        <w:adjustRightInd w:val="0"/>
        <w:snapToGrid w:val="0"/>
        <w:spacing w:line="600" w:lineRule="exact"/>
        <w:ind w:firstLine="421" w:firstLineChars="131"/>
        <w:jc w:val="left"/>
        <w:rPr>
          <w:rFonts w:hint="eastAsia" w:ascii="仿宋_GB2312" w:hAnsi="宋体" w:eastAsia="仿宋_GB2312" w:cs="宋体"/>
          <w:color w:val="000000"/>
          <w:sz w:val="32"/>
          <w:szCs w:val="28"/>
        </w:rPr>
      </w:pPr>
      <w:r>
        <w:rPr>
          <w:rFonts w:hint="eastAsia" w:ascii="仿宋_GB2312" w:hAnsi="宋体" w:eastAsia="仿宋_GB2312" w:cs="宋体"/>
          <w:b/>
          <w:bCs/>
          <w:sz w:val="32"/>
          <w:szCs w:val="28"/>
        </w:rPr>
        <w:t>2</w:t>
      </w:r>
      <w:r>
        <w:rPr>
          <w:rFonts w:hint="eastAsia" w:ascii="仿宋_GB2312" w:hAnsi="宋体" w:eastAsia="仿宋_GB2312" w:cs="宋体"/>
          <w:sz w:val="32"/>
          <w:szCs w:val="28"/>
        </w:rPr>
        <w:t>.</w:t>
      </w:r>
      <w:r>
        <w:rPr>
          <w:rFonts w:hint="eastAsia" w:ascii="仿宋_GB2312" w:hAnsi="宋体" w:eastAsia="仿宋_GB2312" w:cs="宋体"/>
          <w:b/>
          <w:bCs/>
          <w:sz w:val="32"/>
          <w:szCs w:val="28"/>
        </w:rPr>
        <w:t>三公经费支出情况：</w:t>
      </w:r>
      <w:r>
        <w:rPr>
          <w:rFonts w:hint="eastAsia" w:ascii="仿宋_GB2312" w:eastAsia="仿宋_GB2312" w:cs="宋体"/>
          <w:sz w:val="32"/>
          <w:szCs w:val="28"/>
          <w:lang w:eastAsia="zh-CN"/>
        </w:rPr>
        <w:t>20</w:t>
      </w:r>
      <w:r>
        <w:rPr>
          <w:rFonts w:hint="eastAsia" w:ascii="仿宋_GB2312" w:eastAsia="仿宋_GB2312" w:cs="宋体"/>
          <w:sz w:val="32"/>
          <w:szCs w:val="28"/>
          <w:lang w:val="en-US" w:eastAsia="zh-CN"/>
        </w:rPr>
        <w:t>22</w:t>
      </w:r>
      <w:r>
        <w:rPr>
          <w:rFonts w:hint="eastAsia" w:ascii="仿宋_GB2312" w:eastAsia="仿宋_GB2312" w:cs="宋体"/>
          <w:sz w:val="32"/>
          <w:szCs w:val="28"/>
        </w:rPr>
        <w:t>年部门预算安排“三公”经费”</w:t>
      </w:r>
      <w:r>
        <w:rPr>
          <w:rFonts w:hint="eastAsia" w:ascii="仿宋_GB2312" w:hAnsi="楷体" w:eastAsia="仿宋_GB2312"/>
          <w:sz w:val="24"/>
          <w:szCs w:val="24"/>
        </w:rPr>
        <w:t xml:space="preserve"> </w:t>
      </w:r>
      <w:r>
        <w:rPr>
          <w:rFonts w:hint="eastAsia" w:ascii="仿宋_GB2312" w:hAnsi="楷体" w:eastAsia="仿宋_GB2312"/>
          <w:sz w:val="24"/>
          <w:szCs w:val="24"/>
          <w:lang w:val="en-US" w:eastAsia="zh-CN"/>
        </w:rPr>
        <w:t>0</w:t>
      </w:r>
      <w:r>
        <w:rPr>
          <w:rFonts w:hint="eastAsia" w:ascii="仿宋_GB2312" w:eastAsia="仿宋_GB2312" w:cs="宋体"/>
          <w:sz w:val="32"/>
          <w:szCs w:val="28"/>
        </w:rPr>
        <w:t>万元，实际支出</w:t>
      </w:r>
      <w:r>
        <w:rPr>
          <w:rFonts w:hint="eastAsia" w:ascii="仿宋_GB2312" w:eastAsia="仿宋_GB2312" w:cs="宋体"/>
          <w:sz w:val="32"/>
          <w:szCs w:val="28"/>
          <w:lang w:val="en-US" w:eastAsia="zh-CN"/>
        </w:rPr>
        <w:t>0</w:t>
      </w:r>
      <w:r>
        <w:rPr>
          <w:rFonts w:hint="eastAsia" w:ascii="仿宋_GB2312" w:eastAsia="仿宋_GB2312" w:cs="宋体"/>
          <w:sz w:val="32"/>
          <w:szCs w:val="28"/>
        </w:rPr>
        <w:t>万元。其中</w:t>
      </w:r>
      <w:r>
        <w:rPr>
          <w:rFonts w:hint="eastAsia" w:ascii="仿宋_GB2312" w:eastAsia="仿宋_GB2312" w:cs="宋体"/>
          <w:sz w:val="32"/>
          <w:szCs w:val="28"/>
          <w:lang w:eastAsia="zh-CN"/>
        </w:rPr>
        <w:t>公务用车运行维护</w:t>
      </w:r>
      <w:r>
        <w:rPr>
          <w:rFonts w:hint="eastAsia" w:ascii="仿宋_GB2312" w:eastAsia="仿宋_GB2312" w:cs="宋体"/>
          <w:sz w:val="32"/>
          <w:szCs w:val="28"/>
          <w:lang w:val="en-US" w:eastAsia="zh-CN"/>
        </w:rPr>
        <w:t>0万元，</w:t>
      </w:r>
      <w:r>
        <w:rPr>
          <w:rFonts w:hint="eastAsia" w:ascii="仿宋_GB2312" w:eastAsia="仿宋_GB2312" w:cs="宋体"/>
          <w:sz w:val="32"/>
          <w:szCs w:val="28"/>
        </w:rPr>
        <w:t>公务接待费</w:t>
      </w:r>
      <w:r>
        <w:rPr>
          <w:rFonts w:hint="eastAsia" w:ascii="仿宋_GB2312" w:eastAsia="仿宋_GB2312" w:cs="宋体"/>
          <w:sz w:val="32"/>
          <w:szCs w:val="28"/>
          <w:lang w:val="en-US" w:eastAsia="zh-CN"/>
        </w:rPr>
        <w:t>0</w:t>
      </w:r>
      <w:r>
        <w:rPr>
          <w:rFonts w:hint="eastAsia" w:ascii="仿宋_GB2312" w:eastAsia="仿宋_GB2312" w:cs="宋体"/>
          <w:sz w:val="32"/>
          <w:szCs w:val="28"/>
        </w:rPr>
        <w:t>万元。</w:t>
      </w:r>
    </w:p>
    <w:p>
      <w:pPr>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eastAsia" w:ascii="仿宋_GB2312" w:hAnsi="仿宋_GB2312" w:eastAsia="仿宋_GB2312" w:cs="仿宋_GB2312"/>
          <w:sz w:val="32"/>
          <w:szCs w:val="28"/>
          <w:lang w:val="en-US" w:eastAsia="zh-CN"/>
        </w:rPr>
      </w:pPr>
      <w:r>
        <w:rPr>
          <w:rFonts w:hint="eastAsia" w:ascii="仿宋_GB2312" w:eastAsia="仿宋_GB2312"/>
          <w:b/>
          <w:bCs/>
          <w:sz w:val="32"/>
          <w:szCs w:val="32"/>
        </w:rPr>
        <w:t xml:space="preserve"> </w:t>
      </w:r>
      <w:r>
        <w:rPr>
          <w:rFonts w:hint="eastAsia" w:ascii="仿宋_GB2312" w:eastAsia="仿宋_GB2312"/>
          <w:b/>
          <w:bCs/>
          <w:sz w:val="32"/>
          <w:szCs w:val="32"/>
          <w:lang w:val="en-US" w:eastAsia="zh-CN"/>
        </w:rPr>
        <w:t xml:space="preserve"> </w:t>
      </w:r>
      <w:r>
        <w:rPr>
          <w:rFonts w:hint="eastAsia" w:ascii="仿宋_GB2312" w:hAnsi="宋体" w:eastAsia="仿宋_GB2312" w:cs="宋体"/>
          <w:b/>
          <w:bCs/>
          <w:sz w:val="32"/>
          <w:szCs w:val="28"/>
        </w:rPr>
        <w:t>3.</w:t>
      </w:r>
      <w:r>
        <w:rPr>
          <w:rFonts w:hint="eastAsia" w:ascii="仿宋_GB2312" w:hAnsi="宋体" w:eastAsia="仿宋_GB2312" w:cs="宋体"/>
          <w:b/>
          <w:bCs/>
          <w:sz w:val="32"/>
          <w:szCs w:val="28"/>
          <w:lang w:val="en-US" w:eastAsia="zh-CN"/>
        </w:rPr>
        <w:t>政府性基金预算</w:t>
      </w:r>
      <w:r>
        <w:rPr>
          <w:rFonts w:hint="eastAsia" w:ascii="仿宋_GB2312" w:hAnsi="宋体" w:eastAsia="仿宋_GB2312" w:cs="宋体"/>
          <w:b/>
          <w:bCs/>
          <w:sz w:val="32"/>
          <w:szCs w:val="28"/>
        </w:rPr>
        <w:t>财政拨款</w:t>
      </w:r>
      <w:r>
        <w:rPr>
          <w:rFonts w:hint="eastAsia" w:ascii="仿宋_GB2312" w:hAnsi="宋体" w:eastAsia="仿宋_GB2312" w:cs="宋体"/>
          <w:b/>
          <w:bCs/>
          <w:sz w:val="32"/>
          <w:szCs w:val="28"/>
          <w:lang w:eastAsia="zh-CN"/>
        </w:rPr>
        <w:t>项目支出</w:t>
      </w:r>
      <w:r>
        <w:rPr>
          <w:rFonts w:hint="eastAsia" w:ascii="仿宋_GB2312" w:hAnsi="宋体" w:eastAsia="仿宋_GB2312" w:cs="宋体"/>
          <w:b/>
          <w:bCs/>
          <w:sz w:val="32"/>
          <w:szCs w:val="28"/>
        </w:rPr>
        <w:t>情况：</w:t>
      </w:r>
      <w:r>
        <w:rPr>
          <w:rFonts w:hint="eastAsia" w:ascii="仿宋_GB2312" w:hAnsi="宋体" w:eastAsia="仿宋_GB2312" w:cs="宋体"/>
          <w:b/>
          <w:bCs/>
          <w:sz w:val="32"/>
          <w:szCs w:val="28"/>
          <w:lang w:eastAsia="zh-CN"/>
        </w:rPr>
        <w:t>2</w:t>
      </w:r>
      <w:r>
        <w:rPr>
          <w:rFonts w:hint="eastAsia" w:ascii="仿宋_GB2312" w:hAnsi="宋体" w:eastAsia="仿宋_GB2312" w:cs="宋体"/>
          <w:sz w:val="32"/>
          <w:szCs w:val="32"/>
          <w:lang w:eastAsia="zh-CN"/>
        </w:rPr>
        <w:t>0</w:t>
      </w:r>
      <w:r>
        <w:rPr>
          <w:rFonts w:hint="eastAsia" w:ascii="仿宋_GB2312" w:hAnsi="宋体" w:eastAsia="仿宋_GB2312" w:cs="宋体"/>
          <w:sz w:val="32"/>
          <w:szCs w:val="32"/>
          <w:lang w:val="en-US" w:eastAsia="zh-CN"/>
        </w:rPr>
        <w:t>22</w:t>
      </w:r>
      <w:r>
        <w:rPr>
          <w:rFonts w:hint="eastAsia" w:ascii="仿宋_GB2312" w:hAnsi="宋体" w:eastAsia="仿宋_GB2312" w:cs="宋体"/>
          <w:sz w:val="32"/>
          <w:szCs w:val="32"/>
        </w:rPr>
        <w:t>年</w:t>
      </w:r>
      <w:r>
        <w:rPr>
          <w:rFonts w:hint="eastAsia" w:ascii="仿宋_GB2312" w:hAnsi="宋体" w:eastAsia="仿宋_GB2312" w:cs="宋体"/>
          <w:sz w:val="32"/>
          <w:szCs w:val="32"/>
          <w:lang w:eastAsia="zh-CN"/>
        </w:rPr>
        <w:t>华容县鲇鱼须镇中心卫院没有</w:t>
      </w:r>
      <w:r>
        <w:rPr>
          <w:rFonts w:hint="eastAsia" w:ascii="仿宋_GB2312" w:hAnsi="仿宋_GB2312" w:eastAsia="仿宋_GB2312" w:cs="仿宋_GB2312"/>
          <w:sz w:val="32"/>
          <w:szCs w:val="28"/>
          <w:lang w:val="en-US" w:eastAsia="zh-CN"/>
        </w:rPr>
        <w:t>政府性基金预算</w:t>
      </w:r>
      <w:r>
        <w:rPr>
          <w:rFonts w:hint="eastAsia" w:ascii="仿宋_GB2312" w:hAnsi="仿宋_GB2312" w:eastAsia="仿宋_GB2312" w:cs="仿宋_GB2312"/>
          <w:sz w:val="32"/>
          <w:szCs w:val="28"/>
        </w:rPr>
        <w:t>财政拨款</w:t>
      </w:r>
      <w:r>
        <w:rPr>
          <w:rFonts w:hint="eastAsia" w:ascii="仿宋_GB2312" w:hAnsi="仿宋_GB2312" w:eastAsia="仿宋_GB2312" w:cs="仿宋_GB2312"/>
          <w:sz w:val="32"/>
          <w:szCs w:val="28"/>
          <w:lang w:eastAsia="zh-CN"/>
        </w:rPr>
        <w:t>项目收入和支出</w:t>
      </w:r>
      <w:r>
        <w:rPr>
          <w:rFonts w:hint="eastAsia" w:ascii="仿宋_GB2312" w:hAnsi="仿宋_GB2312" w:eastAsia="仿宋_GB2312" w:cs="仿宋_GB2312"/>
          <w:sz w:val="32"/>
          <w:szCs w:val="28"/>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eastAsia" w:ascii="华文仿宋" w:hAnsi="华文仿宋" w:eastAsia="华文仿宋" w:cs="Times New Roman"/>
          <w:sz w:val="32"/>
          <w:szCs w:val="32"/>
        </w:rPr>
      </w:pPr>
      <w:r>
        <w:rPr>
          <w:rFonts w:hint="eastAsia" w:ascii="仿宋_GB2312" w:eastAsia="仿宋_GB2312"/>
          <w:b/>
          <w:bCs/>
          <w:sz w:val="32"/>
          <w:szCs w:val="32"/>
          <w:lang w:val="en-US" w:eastAsia="zh-CN"/>
        </w:rPr>
        <w:t xml:space="preserve">  4</w:t>
      </w:r>
      <w:r>
        <w:rPr>
          <w:rFonts w:hint="eastAsia" w:ascii="仿宋_GB2312" w:hAnsi="宋体" w:eastAsia="仿宋_GB2312" w:cs="宋体"/>
          <w:b/>
          <w:bCs/>
          <w:sz w:val="32"/>
          <w:szCs w:val="28"/>
        </w:rPr>
        <w:t>.</w:t>
      </w:r>
      <w:r>
        <w:rPr>
          <w:rFonts w:hint="eastAsia" w:ascii="仿宋_GB2312" w:hAnsi="宋体" w:eastAsia="仿宋_GB2312" w:cs="宋体"/>
          <w:b/>
          <w:bCs/>
          <w:sz w:val="32"/>
          <w:szCs w:val="28"/>
          <w:lang w:eastAsia="zh-CN"/>
        </w:rPr>
        <w:t>部门整体</w:t>
      </w:r>
      <w:r>
        <w:rPr>
          <w:rFonts w:hint="eastAsia" w:ascii="仿宋_GB2312" w:hAnsi="宋体" w:eastAsia="仿宋_GB2312" w:cs="宋体"/>
          <w:b/>
          <w:bCs/>
          <w:sz w:val="32"/>
          <w:szCs w:val="28"/>
          <w:lang w:val="en-US" w:eastAsia="zh-CN"/>
        </w:rPr>
        <w:t>绩效目标完成情况：</w:t>
      </w:r>
      <w:r>
        <w:rPr>
          <w:rFonts w:hint="eastAsia" w:ascii="华文仿宋" w:hAnsi="华文仿宋" w:eastAsia="华文仿宋" w:cs="Times New Roman"/>
          <w:sz w:val="32"/>
          <w:szCs w:val="32"/>
          <w:lang w:val="en-US" w:eastAsia="zh-CN"/>
        </w:rPr>
        <w:t>2022年</w:t>
      </w:r>
      <w:r>
        <w:rPr>
          <w:rFonts w:hint="eastAsia" w:ascii="华文仿宋" w:hAnsi="华文仿宋" w:eastAsia="华文仿宋" w:cs="Times New Roman"/>
          <w:sz w:val="32"/>
          <w:szCs w:val="32"/>
        </w:rPr>
        <w:t>规范化居民电子</w:t>
      </w:r>
      <w:r>
        <w:rPr>
          <w:rFonts w:hint="eastAsia" w:ascii="华文仿宋" w:hAnsi="华文仿宋" w:eastAsia="华文仿宋" w:cs="Times New Roman"/>
          <w:sz w:val="32"/>
          <w:szCs w:val="32"/>
          <w:lang w:eastAsia="zh-CN"/>
        </w:rPr>
        <w:t>健康</w:t>
      </w:r>
      <w:r>
        <w:rPr>
          <w:rFonts w:hint="eastAsia" w:ascii="华文仿宋" w:hAnsi="华文仿宋" w:eastAsia="华文仿宋" w:cs="Times New Roman"/>
          <w:sz w:val="32"/>
          <w:szCs w:val="32"/>
        </w:rPr>
        <w:t>档案</w:t>
      </w:r>
      <w:r>
        <w:rPr>
          <w:rFonts w:hint="eastAsia" w:ascii="华文仿宋" w:hAnsi="华文仿宋" w:eastAsia="华文仿宋" w:cs="Times New Roman"/>
          <w:sz w:val="32"/>
          <w:szCs w:val="32"/>
          <w:lang w:val="en-US" w:eastAsia="zh-CN"/>
        </w:rPr>
        <w:t>已完成30198</w:t>
      </w:r>
      <w:r>
        <w:rPr>
          <w:rFonts w:hint="eastAsia" w:ascii="华文仿宋" w:hAnsi="华文仿宋" w:eastAsia="华文仿宋" w:cs="Times New Roman"/>
          <w:sz w:val="32"/>
          <w:szCs w:val="32"/>
        </w:rPr>
        <w:t>份，建档率达</w:t>
      </w:r>
      <w:r>
        <w:rPr>
          <w:rFonts w:hint="eastAsia" w:ascii="华文仿宋" w:hAnsi="华文仿宋" w:eastAsia="华文仿宋" w:cs="Times New Roman"/>
          <w:sz w:val="32"/>
          <w:szCs w:val="32"/>
          <w:lang w:val="en-US" w:eastAsia="zh-CN"/>
        </w:rPr>
        <w:t>121</w:t>
      </w:r>
      <w:r>
        <w:rPr>
          <w:rFonts w:hint="eastAsia" w:ascii="华文仿宋" w:hAnsi="华文仿宋" w:eastAsia="华文仿宋" w:cs="Times New Roman"/>
          <w:sz w:val="32"/>
          <w:szCs w:val="32"/>
        </w:rPr>
        <w:t>%；共完成接种</w:t>
      </w:r>
      <w:r>
        <w:rPr>
          <w:rFonts w:hint="eastAsia" w:ascii="华文仿宋" w:hAnsi="华文仿宋" w:eastAsia="华文仿宋" w:cs="Times New Roman"/>
          <w:sz w:val="32"/>
          <w:szCs w:val="32"/>
          <w:lang w:val="en-US" w:eastAsia="zh-CN"/>
        </w:rPr>
        <w:t>9452</w:t>
      </w:r>
      <w:r>
        <w:rPr>
          <w:rFonts w:hint="eastAsia" w:ascii="华文仿宋" w:hAnsi="华文仿宋" w:eastAsia="华文仿宋" w:cs="Times New Roman"/>
          <w:sz w:val="32"/>
          <w:szCs w:val="32"/>
        </w:rPr>
        <w:t>针次，其中卡介苗、乙肝疫苗、脊灰疫苗、麻疹疫苗、百白破、流脑、乙脑、甲肝</w:t>
      </w:r>
      <w:r>
        <w:rPr>
          <w:rFonts w:hint="eastAsia" w:ascii="华文仿宋" w:hAnsi="华文仿宋" w:eastAsia="华文仿宋" w:cs="Times New Roman"/>
          <w:sz w:val="32"/>
          <w:szCs w:val="32"/>
          <w:lang w:eastAsia="zh-CN"/>
        </w:rPr>
        <w:t>、新冠疫苗</w:t>
      </w:r>
      <w:r>
        <w:rPr>
          <w:rFonts w:hint="eastAsia" w:ascii="华文仿宋" w:hAnsi="华文仿宋" w:eastAsia="华文仿宋" w:cs="Times New Roman"/>
          <w:sz w:val="32"/>
          <w:szCs w:val="32"/>
        </w:rPr>
        <w:t>等免疫规划疫苗接种率均达9</w:t>
      </w:r>
      <w:r>
        <w:rPr>
          <w:rFonts w:hint="eastAsia" w:ascii="华文仿宋" w:hAnsi="华文仿宋" w:eastAsia="华文仿宋" w:cs="Times New Roman"/>
          <w:sz w:val="32"/>
          <w:szCs w:val="32"/>
          <w:lang w:val="en-US" w:eastAsia="zh-CN"/>
        </w:rPr>
        <w:t>7</w:t>
      </w:r>
      <w:r>
        <w:rPr>
          <w:rFonts w:hint="eastAsia" w:ascii="华文仿宋" w:hAnsi="华文仿宋" w:eastAsia="华文仿宋" w:cs="Times New Roman"/>
          <w:sz w:val="32"/>
          <w:szCs w:val="32"/>
        </w:rPr>
        <w:t>%以上；0-6岁儿童健康管理人数</w:t>
      </w:r>
      <w:r>
        <w:rPr>
          <w:rFonts w:hint="eastAsia" w:ascii="华文仿宋" w:hAnsi="华文仿宋" w:eastAsia="华文仿宋" w:cs="Times New Roman"/>
          <w:sz w:val="32"/>
          <w:szCs w:val="32"/>
          <w:lang w:val="en-US" w:eastAsia="zh-CN"/>
        </w:rPr>
        <w:t>1537</w:t>
      </w:r>
      <w:r>
        <w:rPr>
          <w:rFonts w:hint="eastAsia" w:ascii="华文仿宋" w:hAnsi="华文仿宋" w:eastAsia="华文仿宋" w:cs="Times New Roman"/>
          <w:sz w:val="32"/>
          <w:szCs w:val="32"/>
        </w:rPr>
        <w:t>人，新生儿家庭访视率9</w:t>
      </w:r>
      <w:r>
        <w:rPr>
          <w:rFonts w:hint="eastAsia" w:ascii="华文仿宋" w:hAnsi="华文仿宋" w:eastAsia="华文仿宋" w:cs="Times New Roman"/>
          <w:sz w:val="32"/>
          <w:szCs w:val="32"/>
          <w:lang w:val="en-US" w:eastAsia="zh-CN"/>
        </w:rPr>
        <w:t>8.27</w:t>
      </w:r>
      <w:r>
        <w:rPr>
          <w:rFonts w:hint="eastAsia" w:ascii="华文仿宋" w:hAnsi="华文仿宋" w:eastAsia="华文仿宋" w:cs="Times New Roman"/>
          <w:sz w:val="32"/>
          <w:szCs w:val="32"/>
        </w:rPr>
        <w:t>%，儿童健康管理率9</w:t>
      </w:r>
      <w:r>
        <w:rPr>
          <w:rFonts w:hint="eastAsia" w:ascii="华文仿宋" w:hAnsi="华文仿宋" w:eastAsia="华文仿宋" w:cs="Times New Roman"/>
          <w:sz w:val="32"/>
          <w:szCs w:val="32"/>
          <w:lang w:val="en-US" w:eastAsia="zh-CN"/>
        </w:rPr>
        <w:t>4.43</w:t>
      </w:r>
      <w:r>
        <w:rPr>
          <w:rFonts w:hint="eastAsia" w:ascii="华文仿宋" w:hAnsi="华文仿宋" w:eastAsia="华文仿宋" w:cs="Times New Roman"/>
          <w:sz w:val="32"/>
          <w:szCs w:val="32"/>
        </w:rPr>
        <w:t>%；共管理</w:t>
      </w:r>
      <w:r>
        <w:rPr>
          <w:rFonts w:hint="eastAsia" w:ascii="华文仿宋" w:hAnsi="华文仿宋" w:eastAsia="华文仿宋" w:cs="Times New Roman"/>
          <w:sz w:val="32"/>
          <w:szCs w:val="32"/>
          <w:lang w:val="en-US" w:eastAsia="zh-CN"/>
        </w:rPr>
        <w:t>104</w:t>
      </w:r>
      <w:r>
        <w:rPr>
          <w:rFonts w:hint="eastAsia" w:ascii="华文仿宋" w:hAnsi="华文仿宋" w:eastAsia="华文仿宋" w:cs="Times New Roman"/>
          <w:sz w:val="32"/>
          <w:szCs w:val="32"/>
        </w:rPr>
        <w:t>例孕产妇，早孕建册率9</w:t>
      </w:r>
      <w:r>
        <w:rPr>
          <w:rFonts w:hint="eastAsia" w:ascii="华文仿宋" w:hAnsi="华文仿宋" w:eastAsia="华文仿宋" w:cs="Times New Roman"/>
          <w:sz w:val="32"/>
          <w:szCs w:val="32"/>
          <w:lang w:val="en-US" w:eastAsia="zh-CN"/>
        </w:rPr>
        <w:t>8.4</w:t>
      </w:r>
      <w:r>
        <w:rPr>
          <w:rFonts w:hint="eastAsia" w:ascii="华文仿宋" w:hAnsi="华文仿宋" w:eastAsia="华文仿宋" w:cs="Times New Roman"/>
          <w:sz w:val="32"/>
          <w:szCs w:val="32"/>
        </w:rPr>
        <w:t>%，产后访视率</w:t>
      </w:r>
      <w:r>
        <w:rPr>
          <w:rFonts w:hint="eastAsia" w:ascii="华文仿宋" w:hAnsi="华文仿宋" w:eastAsia="华文仿宋" w:cs="Times New Roman"/>
          <w:sz w:val="32"/>
          <w:szCs w:val="32"/>
          <w:lang w:val="en-US" w:eastAsia="zh-CN"/>
        </w:rPr>
        <w:t>98.5</w:t>
      </w:r>
      <w:r>
        <w:rPr>
          <w:rFonts w:hint="eastAsia" w:ascii="华文仿宋" w:hAnsi="华文仿宋" w:eastAsia="华文仿宋" w:cs="Times New Roman"/>
          <w:sz w:val="32"/>
          <w:szCs w:val="32"/>
        </w:rPr>
        <w:t>%；老年人健康管理</w:t>
      </w:r>
      <w:r>
        <w:rPr>
          <w:rFonts w:hint="eastAsia" w:ascii="华文仿宋" w:hAnsi="华文仿宋" w:eastAsia="华文仿宋" w:cs="Times New Roman"/>
          <w:sz w:val="32"/>
          <w:szCs w:val="32"/>
          <w:lang w:val="en-US" w:eastAsia="zh-CN"/>
        </w:rPr>
        <w:t>4893</w:t>
      </w:r>
      <w:r>
        <w:rPr>
          <w:rFonts w:hint="eastAsia" w:ascii="华文仿宋" w:hAnsi="华文仿宋" w:eastAsia="华文仿宋" w:cs="Times New Roman"/>
          <w:sz w:val="32"/>
          <w:szCs w:val="32"/>
        </w:rPr>
        <w:t>人，健康管理率</w:t>
      </w:r>
      <w:r>
        <w:rPr>
          <w:rFonts w:hint="eastAsia" w:ascii="华文仿宋" w:hAnsi="华文仿宋" w:eastAsia="华文仿宋" w:cs="Times New Roman"/>
          <w:sz w:val="32"/>
          <w:szCs w:val="32"/>
          <w:lang w:val="en-US" w:eastAsia="zh-CN"/>
        </w:rPr>
        <w:t>70</w:t>
      </w:r>
      <w:r>
        <w:rPr>
          <w:rFonts w:hint="eastAsia" w:ascii="华文仿宋" w:hAnsi="华文仿宋" w:eastAsia="华文仿宋" w:cs="Times New Roman"/>
          <w:sz w:val="32"/>
          <w:szCs w:val="32"/>
        </w:rPr>
        <w:t>% ;糖尿病</w:t>
      </w:r>
      <w:r>
        <w:rPr>
          <w:rFonts w:hint="eastAsia" w:ascii="华文仿宋" w:hAnsi="华文仿宋" w:eastAsia="华文仿宋" w:cs="Times New Roman"/>
          <w:sz w:val="32"/>
          <w:szCs w:val="32"/>
          <w:lang w:val="en-US" w:eastAsia="zh-CN"/>
        </w:rPr>
        <w:t>836</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649</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77.63</w:t>
      </w:r>
      <w:r>
        <w:rPr>
          <w:rFonts w:hint="eastAsia" w:ascii="华文仿宋" w:hAnsi="华文仿宋" w:eastAsia="华文仿宋" w:cs="Times New Roman"/>
          <w:sz w:val="32"/>
          <w:szCs w:val="32"/>
        </w:rPr>
        <w:t>%；高血压管</w:t>
      </w:r>
      <w:r>
        <w:rPr>
          <w:rFonts w:hint="eastAsia" w:ascii="华文仿宋" w:hAnsi="华文仿宋" w:eastAsia="华文仿宋" w:cs="Times New Roman"/>
          <w:sz w:val="32"/>
          <w:szCs w:val="32"/>
          <w:lang w:eastAsia="zh-CN"/>
        </w:rPr>
        <w:t>理</w:t>
      </w:r>
      <w:r>
        <w:rPr>
          <w:rFonts w:hint="eastAsia" w:ascii="华文仿宋" w:hAnsi="华文仿宋" w:eastAsia="华文仿宋" w:cs="Times New Roman"/>
          <w:sz w:val="32"/>
          <w:szCs w:val="32"/>
          <w:lang w:val="en-US" w:eastAsia="zh-CN"/>
        </w:rPr>
        <w:t>2595</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1964</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75.68</w:t>
      </w:r>
      <w:r>
        <w:rPr>
          <w:rFonts w:hint="eastAsia" w:ascii="华文仿宋" w:hAnsi="华文仿宋" w:eastAsia="华文仿宋" w:cs="Times New Roman"/>
          <w:sz w:val="32"/>
          <w:szCs w:val="32"/>
        </w:rPr>
        <w:t>%</w:t>
      </w:r>
      <w:r>
        <w:rPr>
          <w:rFonts w:hint="eastAsia" w:ascii="华文仿宋" w:hAnsi="华文仿宋" w:eastAsia="华文仿宋" w:cs="Times New Roman"/>
          <w:sz w:val="32"/>
          <w:szCs w:val="32"/>
          <w:lang w:eastAsia="zh-CN"/>
        </w:rPr>
        <w:t>；</w:t>
      </w:r>
      <w:r>
        <w:rPr>
          <w:rFonts w:hint="eastAsia" w:ascii="华文仿宋" w:hAnsi="华文仿宋" w:eastAsia="华文仿宋" w:cs="Times New Roman"/>
          <w:sz w:val="32"/>
          <w:szCs w:val="32"/>
        </w:rPr>
        <w:t>严重精神障碍患者健康管理</w:t>
      </w:r>
      <w:r>
        <w:rPr>
          <w:rFonts w:hint="eastAsia" w:ascii="华文仿宋" w:hAnsi="华文仿宋" w:eastAsia="华文仿宋" w:cs="Times New Roman"/>
          <w:sz w:val="32"/>
          <w:szCs w:val="32"/>
          <w:lang w:val="en-US" w:eastAsia="zh-CN"/>
        </w:rPr>
        <w:t>148</w:t>
      </w:r>
      <w:r>
        <w:rPr>
          <w:rFonts w:hint="eastAsia" w:ascii="华文仿宋" w:hAnsi="华文仿宋" w:eastAsia="华文仿宋" w:cs="Times New Roman"/>
          <w:sz w:val="32"/>
          <w:szCs w:val="32"/>
        </w:rPr>
        <w:t>人，规范管理</w:t>
      </w:r>
      <w:r>
        <w:rPr>
          <w:rFonts w:hint="eastAsia" w:ascii="华文仿宋" w:hAnsi="华文仿宋" w:eastAsia="华文仿宋" w:cs="Times New Roman"/>
          <w:sz w:val="32"/>
          <w:szCs w:val="32"/>
          <w:lang w:val="en-US" w:eastAsia="zh-CN"/>
        </w:rPr>
        <w:t>145</w:t>
      </w:r>
      <w:r>
        <w:rPr>
          <w:rFonts w:hint="eastAsia" w:ascii="华文仿宋" w:hAnsi="华文仿宋" w:eastAsia="华文仿宋" w:cs="Times New Roman"/>
          <w:sz w:val="32"/>
          <w:szCs w:val="32"/>
        </w:rPr>
        <w:t>人，规范管理率</w:t>
      </w:r>
      <w:r>
        <w:rPr>
          <w:rFonts w:hint="eastAsia" w:ascii="华文仿宋" w:hAnsi="华文仿宋" w:eastAsia="华文仿宋" w:cs="Times New Roman"/>
          <w:sz w:val="32"/>
          <w:szCs w:val="32"/>
          <w:lang w:val="en-US" w:eastAsia="zh-CN"/>
        </w:rPr>
        <w:t>97.97</w:t>
      </w:r>
      <w:r>
        <w:rPr>
          <w:rFonts w:hint="eastAsia" w:ascii="华文仿宋" w:hAnsi="华文仿宋" w:eastAsia="华文仿宋" w:cs="Times New Roman"/>
          <w:sz w:val="32"/>
          <w:szCs w:val="32"/>
        </w:rPr>
        <w:t>%；肺结核</w:t>
      </w:r>
      <w:r>
        <w:rPr>
          <w:rFonts w:hint="eastAsia" w:ascii="华文仿宋" w:hAnsi="华文仿宋" w:eastAsia="华文仿宋" w:cs="Times New Roman"/>
          <w:sz w:val="32"/>
          <w:szCs w:val="32"/>
          <w:lang w:val="en-US" w:eastAsia="zh-CN"/>
        </w:rPr>
        <w:t>8</w:t>
      </w:r>
      <w:r>
        <w:rPr>
          <w:rFonts w:hint="eastAsia" w:ascii="华文仿宋" w:hAnsi="华文仿宋" w:eastAsia="华文仿宋" w:cs="Times New Roman"/>
          <w:sz w:val="32"/>
          <w:szCs w:val="32"/>
        </w:rPr>
        <w:t>人，已管理</w:t>
      </w:r>
      <w:r>
        <w:rPr>
          <w:rFonts w:hint="eastAsia" w:ascii="华文仿宋" w:hAnsi="华文仿宋" w:eastAsia="华文仿宋" w:cs="Times New Roman"/>
          <w:sz w:val="32"/>
          <w:szCs w:val="32"/>
          <w:lang w:val="en-US" w:eastAsia="zh-CN"/>
        </w:rPr>
        <w:t>8</w:t>
      </w:r>
      <w:r>
        <w:rPr>
          <w:rFonts w:hint="eastAsia" w:ascii="华文仿宋" w:hAnsi="华文仿宋" w:eastAsia="华文仿宋" w:cs="Times New Roman"/>
          <w:sz w:val="32"/>
          <w:szCs w:val="32"/>
        </w:rPr>
        <w:t>人，管理率100%，规范服药</w:t>
      </w:r>
      <w:r>
        <w:rPr>
          <w:rFonts w:hint="eastAsia" w:ascii="华文仿宋" w:hAnsi="华文仿宋" w:eastAsia="华文仿宋" w:cs="Times New Roman"/>
          <w:sz w:val="32"/>
          <w:szCs w:val="32"/>
          <w:lang w:val="en-US" w:eastAsia="zh-CN"/>
        </w:rPr>
        <w:t>8</w:t>
      </w:r>
      <w:r>
        <w:rPr>
          <w:rFonts w:hint="eastAsia" w:ascii="华文仿宋" w:hAnsi="华文仿宋" w:eastAsia="华文仿宋" w:cs="Times New Roman"/>
          <w:sz w:val="32"/>
          <w:szCs w:val="32"/>
        </w:rPr>
        <w:t>人，规范服药率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%；接受中医药健康管理服务老年人</w:t>
      </w:r>
      <w:r>
        <w:rPr>
          <w:rFonts w:hint="eastAsia" w:ascii="华文仿宋" w:hAnsi="华文仿宋" w:eastAsia="华文仿宋" w:cs="Times New Roman"/>
          <w:sz w:val="32"/>
          <w:szCs w:val="32"/>
          <w:lang w:val="en-US" w:eastAsia="zh-CN"/>
        </w:rPr>
        <w:t>3495</w:t>
      </w:r>
      <w:r>
        <w:rPr>
          <w:rFonts w:hint="eastAsia" w:ascii="华文仿宋" w:hAnsi="华文仿宋" w:eastAsia="华文仿宋" w:cs="Times New Roman"/>
          <w:sz w:val="32"/>
          <w:szCs w:val="32"/>
        </w:rPr>
        <w:t>人，老年人中医药健康管理率</w:t>
      </w:r>
      <w:r>
        <w:rPr>
          <w:rFonts w:hint="eastAsia" w:ascii="华文仿宋" w:hAnsi="华文仿宋" w:eastAsia="华文仿宋" w:cs="Times New Roman"/>
          <w:sz w:val="32"/>
          <w:szCs w:val="32"/>
          <w:lang w:val="en-US" w:eastAsia="zh-CN"/>
        </w:rPr>
        <w:t>71.4</w:t>
      </w:r>
      <w:r>
        <w:rPr>
          <w:rFonts w:hint="eastAsia" w:ascii="华文仿宋" w:hAnsi="华文仿宋" w:eastAsia="华文仿宋" w:cs="Times New Roman"/>
          <w:sz w:val="32"/>
          <w:szCs w:val="32"/>
        </w:rPr>
        <w:t>%，0-3岁儿童接受中医药健康管理服务</w:t>
      </w:r>
      <w:r>
        <w:rPr>
          <w:rFonts w:hint="eastAsia" w:ascii="华文仿宋" w:hAnsi="华文仿宋" w:eastAsia="华文仿宋" w:cs="Times New Roman"/>
          <w:sz w:val="32"/>
          <w:szCs w:val="32"/>
          <w:lang w:val="en-US" w:eastAsia="zh-CN"/>
        </w:rPr>
        <w:t>523</w:t>
      </w:r>
      <w:r>
        <w:rPr>
          <w:rFonts w:hint="eastAsia" w:ascii="华文仿宋" w:hAnsi="华文仿宋" w:eastAsia="华文仿宋" w:cs="Times New Roman"/>
          <w:sz w:val="32"/>
          <w:szCs w:val="32"/>
        </w:rPr>
        <w:t>人，儿童中医药健康管理服务率</w:t>
      </w:r>
      <w:r>
        <w:rPr>
          <w:rFonts w:hint="eastAsia" w:ascii="华文仿宋" w:hAnsi="华文仿宋" w:eastAsia="华文仿宋" w:cs="Times New Roman"/>
          <w:sz w:val="32"/>
          <w:szCs w:val="32"/>
          <w:lang w:val="en-US" w:eastAsia="zh-CN"/>
        </w:rPr>
        <w:t>92.2</w:t>
      </w:r>
      <w:r>
        <w:rPr>
          <w:rFonts w:hint="eastAsia" w:ascii="华文仿宋" w:hAnsi="华文仿宋" w:eastAsia="华文仿宋" w:cs="Times New Roman"/>
          <w:sz w:val="32"/>
          <w:szCs w:val="32"/>
        </w:rPr>
        <w:t>%；卫生院均实行了传染病和突发公共卫生事件预警应急机制，传染病疫情报告率100%，及时报告率</w:t>
      </w:r>
      <w:r>
        <w:rPr>
          <w:rFonts w:hint="eastAsia" w:ascii="华文仿宋" w:hAnsi="华文仿宋" w:eastAsia="华文仿宋" w:cs="Times New Roman"/>
          <w:sz w:val="32"/>
          <w:szCs w:val="32"/>
          <w:lang w:val="en-US" w:eastAsia="zh-CN"/>
        </w:rPr>
        <w:t>100</w:t>
      </w:r>
      <w:r>
        <w:rPr>
          <w:rFonts w:hint="eastAsia" w:ascii="华文仿宋" w:hAnsi="华文仿宋" w:eastAsia="华文仿宋" w:cs="Times New Roman"/>
          <w:sz w:val="32"/>
          <w:szCs w:val="32"/>
        </w:rPr>
        <w:t>%；卫生计生监督协管信息报告率100%。</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华文仿宋" w:hAnsi="华文仿宋" w:eastAsia="华文仿宋" w:cs="Times New Roman"/>
          <w:sz w:val="32"/>
          <w:szCs w:val="32"/>
        </w:rPr>
      </w:pPr>
      <w:r>
        <w:rPr>
          <w:rFonts w:hint="eastAsia" w:ascii="华文仿宋" w:hAnsi="华文仿宋" w:eastAsia="华文仿宋" w:cs="Times New Roman"/>
          <w:sz w:val="32"/>
          <w:szCs w:val="32"/>
          <w:lang w:val="en-US" w:eastAsia="zh-CN"/>
        </w:rPr>
        <w:t>全乡家庭医生团队6个累计签约人数1447人，通过“卫宁家医平台”实现了应签尽签，</w:t>
      </w:r>
      <w:r>
        <w:rPr>
          <w:rFonts w:hint="eastAsia" w:ascii="华文仿宋" w:hAnsi="华文仿宋" w:eastAsia="华文仿宋" w:cs="Times New Roman"/>
          <w:sz w:val="32"/>
          <w:szCs w:val="32"/>
        </w:rPr>
        <w:t>签约率100%；</w:t>
      </w:r>
    </w:p>
    <w:p>
      <w:pPr>
        <w:keepNext w:val="0"/>
        <w:keepLines w:val="0"/>
        <w:pageBreakBefore w:val="0"/>
        <w:widowControl w:val="0"/>
        <w:kinsoku/>
        <w:wordWrap/>
        <w:overflowPunct/>
        <w:topLinePunct w:val="0"/>
        <w:bidi w:val="0"/>
        <w:adjustRightInd w:val="0"/>
        <w:snapToGrid w:val="0"/>
        <w:spacing w:line="600" w:lineRule="atLeast"/>
        <w:ind w:firstLine="640" w:firstLineChars="200"/>
        <w:jc w:val="both"/>
        <w:textAlignment w:val="auto"/>
        <w:rPr>
          <w:rFonts w:hint="eastAsia" w:ascii="华文仿宋" w:hAnsi="华文仿宋" w:eastAsia="华文仿宋" w:cs="Times New Roman"/>
          <w:sz w:val="32"/>
          <w:szCs w:val="32"/>
          <w:lang w:val="en-US" w:eastAsia="zh-CN"/>
        </w:rPr>
      </w:pPr>
      <w:r>
        <w:rPr>
          <w:rFonts w:hint="eastAsia" w:ascii="华文仿宋" w:hAnsi="华文仿宋" w:eastAsia="华文仿宋" w:cs="Times New Roman"/>
          <w:sz w:val="32"/>
          <w:szCs w:val="32"/>
          <w:lang w:val="en-US" w:eastAsia="zh-CN"/>
        </w:rPr>
        <w:t>2022年</w:t>
      </w:r>
      <w:r>
        <w:rPr>
          <w:rFonts w:hint="eastAsia" w:ascii="华文仿宋" w:hAnsi="华文仿宋" w:eastAsia="华文仿宋" w:cs="Times New Roman"/>
          <w:sz w:val="32"/>
          <w:szCs w:val="32"/>
        </w:rPr>
        <w:t>共发放健康教育应刷资料种类</w:t>
      </w:r>
      <w:r>
        <w:rPr>
          <w:rFonts w:hint="eastAsia" w:ascii="华文仿宋" w:hAnsi="华文仿宋" w:eastAsia="华文仿宋" w:cs="Times New Roman"/>
          <w:sz w:val="32"/>
          <w:szCs w:val="32"/>
          <w:lang w:val="en-US" w:eastAsia="zh-CN"/>
        </w:rPr>
        <w:t>12</w:t>
      </w:r>
      <w:r>
        <w:rPr>
          <w:rFonts w:hint="eastAsia" w:ascii="华文仿宋" w:hAnsi="华文仿宋" w:eastAsia="华文仿宋" w:cs="Times New Roman"/>
          <w:sz w:val="32"/>
          <w:szCs w:val="32"/>
        </w:rPr>
        <w:t>种,发放健康教育印刷资料</w:t>
      </w:r>
      <w:r>
        <w:rPr>
          <w:rFonts w:hint="eastAsia" w:ascii="华文仿宋" w:hAnsi="华文仿宋" w:eastAsia="华文仿宋" w:cs="Times New Roman"/>
          <w:sz w:val="32"/>
          <w:szCs w:val="32"/>
          <w:lang w:val="en-US" w:eastAsia="zh-CN"/>
        </w:rPr>
        <w:t>13412</w:t>
      </w:r>
      <w:r>
        <w:rPr>
          <w:rFonts w:hint="eastAsia" w:ascii="华文仿宋" w:hAnsi="华文仿宋" w:eastAsia="华文仿宋" w:cs="Times New Roman"/>
          <w:sz w:val="32"/>
          <w:szCs w:val="32"/>
        </w:rPr>
        <w:t>本,设置</w:t>
      </w:r>
      <w:r>
        <w:rPr>
          <w:rFonts w:hint="eastAsia" w:ascii="华文仿宋" w:hAnsi="华文仿宋" w:eastAsia="华文仿宋" w:cs="Times New Roman"/>
          <w:sz w:val="32"/>
          <w:szCs w:val="32"/>
          <w:lang w:val="en-US" w:eastAsia="zh-CN"/>
        </w:rPr>
        <w:t>4</w:t>
      </w:r>
      <w:r>
        <w:rPr>
          <w:rFonts w:hint="eastAsia" w:ascii="华文仿宋" w:hAnsi="华文仿宋" w:eastAsia="华文仿宋" w:cs="Times New Roman"/>
          <w:sz w:val="32"/>
          <w:szCs w:val="32"/>
        </w:rPr>
        <w:t>个健康教育宣传栏,健康教育宣传栏内容更新次数</w:t>
      </w:r>
      <w:r>
        <w:rPr>
          <w:rFonts w:hint="eastAsia" w:ascii="华文仿宋" w:hAnsi="华文仿宋" w:eastAsia="华文仿宋" w:cs="Times New Roman"/>
          <w:sz w:val="32"/>
          <w:szCs w:val="32"/>
          <w:lang w:val="en-US" w:eastAsia="zh-CN"/>
        </w:rPr>
        <w:t>12</w:t>
      </w:r>
      <w:r>
        <w:rPr>
          <w:rFonts w:hint="eastAsia" w:ascii="华文仿宋" w:hAnsi="华文仿宋" w:eastAsia="华文仿宋" w:cs="Times New Roman"/>
          <w:sz w:val="32"/>
          <w:szCs w:val="32"/>
        </w:rPr>
        <w:t>次；共举办</w:t>
      </w:r>
      <w:r>
        <w:rPr>
          <w:rFonts w:hint="eastAsia" w:ascii="华文仿宋" w:hAnsi="华文仿宋" w:eastAsia="华文仿宋" w:cs="Times New Roman"/>
          <w:sz w:val="32"/>
          <w:szCs w:val="32"/>
          <w:lang w:val="en-US" w:eastAsia="zh-CN"/>
        </w:rPr>
        <w:t>11</w:t>
      </w:r>
      <w:r>
        <w:rPr>
          <w:rFonts w:hint="eastAsia" w:ascii="华文仿宋" w:hAnsi="华文仿宋" w:eastAsia="华文仿宋" w:cs="Times New Roman"/>
          <w:sz w:val="32"/>
          <w:szCs w:val="32"/>
        </w:rPr>
        <w:t xml:space="preserve">次健康教育讲座, </w:t>
      </w:r>
      <w:r>
        <w:rPr>
          <w:rFonts w:hint="eastAsia" w:ascii="华文仿宋" w:hAnsi="华文仿宋" w:eastAsia="华文仿宋" w:cs="Times New Roman"/>
          <w:sz w:val="32"/>
          <w:szCs w:val="32"/>
          <w:lang w:val="en-US" w:eastAsia="zh-CN"/>
        </w:rPr>
        <w:t>455</w:t>
      </w:r>
      <w:r>
        <w:rPr>
          <w:rFonts w:hint="eastAsia" w:ascii="华文仿宋" w:hAnsi="华文仿宋" w:eastAsia="华文仿宋" w:cs="Times New Roman"/>
          <w:sz w:val="32"/>
          <w:szCs w:val="32"/>
        </w:rPr>
        <w:t>人参加健康教育讲座,共举办健康教育咨询活动</w:t>
      </w:r>
      <w:r>
        <w:rPr>
          <w:rFonts w:hint="eastAsia" w:ascii="华文仿宋" w:hAnsi="华文仿宋" w:eastAsia="华文仿宋" w:cs="Times New Roman"/>
          <w:sz w:val="32"/>
          <w:szCs w:val="32"/>
          <w:lang w:val="en-US" w:eastAsia="zh-CN"/>
        </w:rPr>
        <w:t>9</w:t>
      </w:r>
      <w:r>
        <w:rPr>
          <w:rFonts w:hint="eastAsia" w:ascii="华文仿宋" w:hAnsi="华文仿宋" w:eastAsia="华文仿宋" w:cs="Times New Roman"/>
          <w:sz w:val="32"/>
          <w:szCs w:val="32"/>
        </w:rPr>
        <w:t xml:space="preserve">次, </w:t>
      </w:r>
      <w:r>
        <w:rPr>
          <w:rFonts w:hint="eastAsia" w:ascii="华文仿宋" w:hAnsi="华文仿宋" w:eastAsia="华文仿宋" w:cs="Times New Roman"/>
          <w:sz w:val="32"/>
          <w:szCs w:val="32"/>
          <w:lang w:val="en-US" w:eastAsia="zh-CN"/>
        </w:rPr>
        <w:t>455</w:t>
      </w:r>
      <w:r>
        <w:rPr>
          <w:rFonts w:hint="eastAsia" w:ascii="华文仿宋" w:hAnsi="华文仿宋" w:eastAsia="华文仿宋" w:cs="Times New Roman"/>
          <w:sz w:val="32"/>
          <w:szCs w:val="32"/>
        </w:rPr>
        <w:t>人参加健康教育咨询;</w:t>
      </w:r>
      <w:r>
        <w:rPr>
          <w:rFonts w:hint="eastAsia" w:ascii="华文仿宋" w:hAnsi="华文仿宋" w:eastAsia="华文仿宋" w:cs="Times New Roman"/>
          <w:sz w:val="32"/>
          <w:szCs w:val="32"/>
          <w:lang w:val="en-US" w:eastAsia="zh-CN"/>
        </w:rPr>
        <w:t>健康教育知识全面普及，人民群众健康意识普遍增强，群众满意度达90%以上。</w:t>
      </w:r>
    </w:p>
    <w:p>
      <w:pPr>
        <w:pStyle w:val="13"/>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tabs>
          <w:tab w:val="center" w:pos="4153"/>
        </w:tabs>
        <w:spacing w:line="600" w:lineRule="exact"/>
        <w:ind w:firstLine="640" w:firstLineChars="200"/>
        <w:jc w:val="left"/>
        <w:rPr>
          <w:rFonts w:hint="eastAsia" w:ascii="仿宋_GB2312" w:hAnsi="宋体" w:eastAsia="仿宋_GB2312" w:cs="宋体"/>
          <w:bCs/>
          <w:sz w:val="32"/>
          <w:szCs w:val="32"/>
        </w:rPr>
      </w:pPr>
      <w:r>
        <w:rPr>
          <w:rFonts w:hint="eastAsia" w:ascii="仿宋_GB2312" w:hAnsi="宋体" w:eastAsia="仿宋_GB2312" w:cs="宋体"/>
          <w:bCs/>
          <w:sz w:val="32"/>
          <w:szCs w:val="32"/>
          <w:lang w:val="en-US" w:eastAsia="zh-CN"/>
        </w:rPr>
        <w:t>1、</w:t>
      </w:r>
      <w:r>
        <w:rPr>
          <w:rFonts w:hint="eastAsia" w:ascii="仿宋_GB2312" w:hAnsi="宋体" w:eastAsia="仿宋_GB2312" w:cs="宋体"/>
          <w:bCs/>
          <w:sz w:val="32"/>
          <w:szCs w:val="32"/>
        </w:rPr>
        <w:t>预算编制有待更严格执行。预算编制与实际支出项目有的存在差异。</w:t>
      </w:r>
      <w:r>
        <w:rPr>
          <w:rFonts w:hint="eastAsia" w:ascii="仿宋_GB2312" w:hAnsi="仿宋" w:eastAsia="仿宋_GB2312"/>
          <w:sz w:val="32"/>
          <w:szCs w:val="32"/>
          <w:lang w:val="en-US" w:eastAsia="zh-CN"/>
        </w:rPr>
        <w:t>有些工作未能找到适当的量化方式，对绩效管理量化评价方面略显不足。通过县财政局组织的预算绩效管理培训，逐步找到适合的方法对本单位的工作进行合理的分类量化，以便适应将来的预算绩效管理工作。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hAnsi="宋体" w:eastAsia="仿宋_GB2312" w:cs="宋体"/>
          <w:bCs/>
          <w:sz w:val="32"/>
          <w:szCs w:val="32"/>
        </w:rPr>
      </w:pPr>
      <w:r>
        <w:rPr>
          <w:rFonts w:hint="eastAsia" w:ascii="仿宋_GB2312" w:hAnsi="宋体" w:eastAsia="仿宋_GB2312" w:cs="宋体"/>
          <w:bCs/>
          <w:sz w:val="32"/>
          <w:szCs w:val="32"/>
          <w:lang w:val="en-US" w:eastAsia="zh-CN"/>
        </w:rPr>
        <w:t>2、</w:t>
      </w:r>
      <w:r>
        <w:rPr>
          <w:rFonts w:hint="eastAsia" w:eastAsia="仿宋_GB2312"/>
          <w:sz w:val="32"/>
          <w:szCs w:val="32"/>
          <w:lang w:eastAsia="zh-CN"/>
        </w:rPr>
        <w:t>加强对</w:t>
      </w:r>
      <w:r>
        <w:rPr>
          <w:rFonts w:eastAsia="仿宋_GB2312"/>
          <w:sz w:val="32"/>
          <w:szCs w:val="32"/>
        </w:rPr>
        <w:t>卫生院基础设施</w:t>
      </w:r>
      <w:r>
        <w:rPr>
          <w:rFonts w:hint="eastAsia" w:eastAsia="仿宋_GB2312"/>
          <w:sz w:val="32"/>
          <w:szCs w:val="32"/>
          <w:lang w:eastAsia="zh-CN"/>
        </w:rPr>
        <w:t>及</w:t>
      </w:r>
      <w:r>
        <w:rPr>
          <w:rFonts w:eastAsia="仿宋_GB2312"/>
          <w:sz w:val="32"/>
          <w:szCs w:val="32"/>
        </w:rPr>
        <w:t>能力建设</w:t>
      </w:r>
      <w:r>
        <w:rPr>
          <w:rFonts w:hint="eastAsia" w:eastAsia="仿宋_GB2312"/>
          <w:sz w:val="32"/>
          <w:szCs w:val="32"/>
          <w:lang w:eastAsia="zh-CN"/>
        </w:rPr>
        <w:t>，</w:t>
      </w:r>
      <w:r>
        <w:rPr>
          <w:rFonts w:eastAsia="仿宋_GB2312"/>
          <w:sz w:val="32"/>
          <w:szCs w:val="32"/>
        </w:rPr>
        <w:t>抓好医疗质量安全、医疗纠纷第三方调解机制、医疗机构布局、医疗废物集中处置等工作</w:t>
      </w:r>
      <w:r>
        <w:rPr>
          <w:rFonts w:hint="eastAsia" w:ascii="仿宋_GB2312" w:hAnsi="宋体" w:eastAsia="仿宋_GB2312" w:cs="宋体"/>
          <w:bCs/>
          <w:sz w:val="32"/>
          <w:szCs w:val="32"/>
        </w:rPr>
        <w:t>。</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b/>
          <w:bCs/>
          <w:color w:val="auto"/>
          <w:kern w:val="2"/>
          <w:sz w:val="32"/>
          <w:szCs w:val="32"/>
          <w:lang w:val="en-US" w:eastAsia="zh-CN" w:bidi="ar-SA"/>
        </w:rPr>
        <w:t>1.强化宣传</w:t>
      </w:r>
      <w:r>
        <w:rPr>
          <w:rFonts w:hint="eastAsia" w:ascii="Times New Roman" w:hAnsi="Times New Roman" w:eastAsia="仿宋_GB2312" w:cs="Times New Roman"/>
          <w:color w:val="auto"/>
          <w:kern w:val="2"/>
          <w:sz w:val="32"/>
          <w:szCs w:val="32"/>
          <w:lang w:val="en-US" w:eastAsia="zh-CN" w:bidi="ar-SA"/>
        </w:rPr>
        <w:t>。进一步加大宣传力度，让广大城乡居民更全面了解项目的益处，提高群众知晓率，鼓励群众积极参与，自愿配合医疗卫生服务工作的开展。</w:t>
      </w:r>
    </w:p>
    <w:p>
      <w:pPr>
        <w:tabs>
          <w:tab w:val="center" w:pos="4153"/>
        </w:tabs>
        <w:spacing w:line="540" w:lineRule="exact"/>
        <w:ind w:firstLine="630"/>
        <w:jc w:val="left"/>
        <w:rPr>
          <w:rFonts w:hint="eastAsia" w:ascii="仿宋_GB2312" w:hAnsi="宋体" w:eastAsia="仿宋_GB2312" w:cs="宋体"/>
          <w:b/>
          <w:sz w:val="32"/>
          <w:szCs w:val="32"/>
        </w:rPr>
      </w:pPr>
      <w:r>
        <w:rPr>
          <w:rFonts w:hint="eastAsia" w:ascii="宋体" w:hAnsi="宋体" w:eastAsia="宋体" w:cs="宋体"/>
          <w:b/>
          <w:bCs w:val="0"/>
          <w:sz w:val="32"/>
          <w:szCs w:val="32"/>
          <w:lang w:val="en-US" w:eastAsia="zh-CN"/>
        </w:rPr>
        <w:t>2.严格审核。</w:t>
      </w:r>
      <w:r>
        <w:rPr>
          <w:rFonts w:hint="eastAsia" w:ascii="Times New Roman" w:hAnsi="Times New Roman" w:eastAsia="仿宋_GB2312" w:cs="Times New Roman"/>
          <w:color w:val="auto"/>
          <w:kern w:val="2"/>
          <w:sz w:val="32"/>
          <w:szCs w:val="32"/>
          <w:lang w:val="en-US" w:eastAsia="zh-CN" w:bidi="ar-SA"/>
        </w:rPr>
        <w:t>按照预算规定的项目和用途严格财务审核，经费支出严格按预算规定项目的财务支出内容进行财务核算，在预算金额内严格控制费用的支出。</w:t>
      </w:r>
    </w:p>
    <w:p>
      <w:pPr>
        <w:tabs>
          <w:tab w:val="center" w:pos="4153"/>
        </w:tabs>
        <w:spacing w:line="540" w:lineRule="exact"/>
        <w:ind w:firstLine="645"/>
        <w:jc w:val="left"/>
        <w:rPr>
          <w:rFonts w:hint="eastAsia" w:ascii="仿宋_GB2312" w:hAnsi="宋体" w:eastAsia="仿宋_GB2312" w:cs="宋体"/>
          <w:sz w:val="32"/>
          <w:szCs w:val="32"/>
          <w:shd w:val="clear" w:color="auto" w:fill="FFFFFF"/>
        </w:rPr>
      </w:pPr>
      <w:r>
        <w:rPr>
          <w:rFonts w:hint="eastAsia" w:ascii="宋体" w:hAnsi="宋体" w:eastAsia="宋体" w:cs="宋体"/>
          <w:b/>
          <w:bCs w:val="0"/>
          <w:sz w:val="32"/>
          <w:szCs w:val="32"/>
          <w:lang w:val="en-US" w:eastAsia="zh-CN"/>
        </w:rPr>
        <w:t>3.分析常态化。</w:t>
      </w:r>
      <w:r>
        <w:rPr>
          <w:rFonts w:hint="eastAsia" w:ascii="仿宋_GB2312" w:hAnsi="宋体" w:eastAsia="仿宋_GB2312" w:cs="宋体"/>
          <w:sz w:val="32"/>
          <w:szCs w:val="32"/>
          <w:shd w:val="clear" w:color="auto" w:fill="FFFFFF"/>
          <w:lang w:eastAsia="zh-CN"/>
        </w:rPr>
        <w:t>将</w:t>
      </w:r>
      <w:r>
        <w:rPr>
          <w:rFonts w:hint="eastAsia" w:ascii="仿宋_GB2312" w:hAnsi="宋体" w:eastAsia="仿宋_GB2312" w:cs="宋体"/>
          <w:sz w:val="32"/>
          <w:szCs w:val="32"/>
          <w:shd w:val="clear" w:color="auto" w:fill="FFFFFF"/>
        </w:rPr>
        <w:t>预算财务分析常态化，定期做好预算支出财务分析，做好</w:t>
      </w:r>
      <w:r>
        <w:rPr>
          <w:rFonts w:hint="eastAsia" w:ascii="仿宋_GB2312" w:hAnsi="宋体" w:eastAsia="仿宋_GB2312" w:cs="宋体"/>
          <w:sz w:val="32"/>
          <w:szCs w:val="32"/>
          <w:shd w:val="clear" w:color="auto" w:fill="FFFFFF"/>
          <w:lang w:eastAsia="zh-CN"/>
        </w:rPr>
        <w:t>医院</w:t>
      </w:r>
      <w:r>
        <w:rPr>
          <w:rFonts w:hint="eastAsia" w:ascii="仿宋_GB2312" w:hAnsi="宋体" w:eastAsia="仿宋_GB2312" w:cs="宋体"/>
          <w:sz w:val="32"/>
          <w:szCs w:val="32"/>
          <w:shd w:val="clear" w:color="auto" w:fill="FFFFFF"/>
        </w:rPr>
        <w:t>整体支出预算评价工作。</w:t>
      </w:r>
    </w:p>
    <w:p>
      <w:pPr>
        <w:tabs>
          <w:tab w:val="center" w:pos="4153"/>
        </w:tabs>
        <w:spacing w:line="540" w:lineRule="exact"/>
        <w:ind w:firstLine="645"/>
        <w:jc w:val="left"/>
        <w:rPr>
          <w:rFonts w:hint="eastAsia" w:ascii="宋体" w:hAnsi="宋体" w:eastAsia="宋体" w:cs="宋体"/>
          <w:bCs/>
          <w:sz w:val="32"/>
          <w:szCs w:val="32"/>
        </w:rPr>
      </w:pPr>
      <w:r>
        <w:rPr>
          <w:rFonts w:hint="eastAsia" w:ascii="宋体" w:hAnsi="宋体" w:eastAsia="宋体" w:cs="宋体"/>
          <w:b/>
          <w:bCs w:val="0"/>
          <w:sz w:val="32"/>
          <w:szCs w:val="32"/>
          <w:lang w:val="en-US" w:eastAsia="zh-CN"/>
        </w:rPr>
        <w:t>4.强化信息公开。</w:t>
      </w:r>
      <w:r>
        <w:rPr>
          <w:rFonts w:hint="eastAsia" w:ascii="Times New Roman" w:hAnsi="Times New Roman" w:eastAsia="仿宋_GB2312" w:cs="Times New Roman"/>
          <w:color w:val="auto"/>
          <w:kern w:val="2"/>
          <w:sz w:val="32"/>
          <w:szCs w:val="32"/>
          <w:lang w:val="en-US" w:eastAsia="zh-CN" w:bidi="ar-SA"/>
        </w:rPr>
        <w:t>积极宣传和引导居民群众对医疗卫生服务的认知度和信任度，激发公众的参与度，从而积极献计献策、监督政府职能部门的各项工作。</w:t>
      </w:r>
      <w:r>
        <w:rPr>
          <w:rFonts w:hint="eastAsia" w:ascii="宋体" w:hAnsi="宋体" w:eastAsia="宋体" w:cs="宋体"/>
          <w:bCs/>
          <w:spacing w:val="-6"/>
          <w:sz w:val="32"/>
          <w:szCs w:val="32"/>
        </w:rPr>
        <w:t xml:space="preserve"> </w:t>
      </w:r>
    </w:p>
    <w:p>
      <w:pPr>
        <w:tabs>
          <w:tab w:val="center" w:pos="4153"/>
        </w:tabs>
        <w:spacing w:line="600" w:lineRule="exact"/>
        <w:ind w:firstLine="643" w:firstLineChars="200"/>
        <w:jc w:val="left"/>
        <w:rPr>
          <w:rFonts w:hint="eastAsia" w:eastAsia="仿宋_GB2312"/>
          <w:sz w:val="32"/>
          <w:szCs w:val="32"/>
          <w:lang w:eastAsia="zh-CN"/>
        </w:rPr>
      </w:pPr>
      <w:r>
        <w:rPr>
          <w:rFonts w:hint="eastAsia" w:ascii="宋体" w:hAnsi="宋体" w:eastAsia="宋体" w:cs="宋体"/>
          <w:b/>
          <w:bCs w:val="0"/>
          <w:kern w:val="0"/>
          <w:sz w:val="32"/>
          <w:szCs w:val="32"/>
          <w:lang w:val="en-US" w:eastAsia="zh-CN" w:bidi="ar"/>
        </w:rPr>
        <w:t>5.加大人才培养。</w:t>
      </w:r>
      <w:r>
        <w:rPr>
          <w:rFonts w:hint="eastAsia" w:eastAsia="仿宋_GB2312"/>
          <w:sz w:val="32"/>
          <w:szCs w:val="32"/>
          <w:lang w:eastAsia="zh-CN"/>
        </w:rPr>
        <w:t>由于基层医疗卫生机构医护人员总量不足且青黄不接的问题，希望财政能加大对医疗卫生本土化人才培养的投入，</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Autospacing="0" w:line="600" w:lineRule="atLeast"/>
        <w:ind w:firstLine="643" w:firstLineChars="200"/>
        <w:textAlignment w:val="auto"/>
        <w:rPr>
          <w:rFonts w:hint="eastAsia" w:ascii="Times New Roman" w:hAnsi="Times New Roman" w:eastAsia="黑体" w:cs="Times New Roman"/>
          <w:b w:val="0"/>
          <w:bCs w:val="0"/>
          <w:color w:val="auto"/>
          <w:kern w:val="0"/>
          <w:sz w:val="32"/>
          <w:szCs w:val="32"/>
          <w:shd w:val="clear" w:color="auto" w:fill="FFFFFF"/>
          <w:lang w:val="en-US" w:eastAsia="zh-CN" w:bidi="ar"/>
        </w:rPr>
      </w:pPr>
      <w:r>
        <w:rPr>
          <w:rFonts w:hint="eastAsia" w:ascii="宋体" w:hAnsi="宋体" w:eastAsia="宋体" w:cs="宋体"/>
          <w:b/>
          <w:bCs w:val="0"/>
          <w:kern w:val="0"/>
          <w:sz w:val="32"/>
          <w:szCs w:val="32"/>
          <w:lang w:val="en-US" w:eastAsia="zh-CN" w:bidi="ar"/>
        </w:rPr>
        <w:t>6.增强投入。</w:t>
      </w:r>
      <w:r>
        <w:rPr>
          <w:rFonts w:hint="eastAsia" w:eastAsia="仿宋_GB2312"/>
          <w:sz w:val="32"/>
          <w:szCs w:val="32"/>
          <w:lang w:eastAsia="zh-CN"/>
        </w:rPr>
        <w:t>疾病预防控制中相关经费短缺，预防性健康体检经费，疫情防控经费，建设等项目需要增强投入和建设。</w:t>
      </w:r>
    </w:p>
    <w:p>
      <w:pPr>
        <w:pStyle w:val="2"/>
        <w:rPr>
          <w:rFonts w:hint="default"/>
        </w:rPr>
      </w:pP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numId w:val="0"/>
        </w:numPr>
        <w:rPr>
          <w:rFonts w:hint="eastAsia"/>
          <w:lang w:val="en-US" w:eastAsia="zh-CN"/>
        </w:r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7"/>
        <w:tblW w:w="9851" w:type="dxa"/>
        <w:jc w:val="center"/>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华容县鲇鱼须镇中心卫生院应急接诊点综合楼建设项目</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华容县卫生健康局</w:t>
            </w:r>
          </w:p>
        </w:tc>
        <w:tc>
          <w:tcPr>
            <w:tcW w:w="1134"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华容县鲇鱼须镇中心卫生院</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400" w:firstLineChars="20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98</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352</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352</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用于卫生字新建业务用户</w:t>
            </w:r>
            <w:r>
              <w:rPr>
                <w:rFonts w:hint="eastAsia" w:eastAsia="仿宋_GB2312" w:cs="Times New Roman"/>
                <w:color w:val="000000"/>
                <w:sz w:val="20"/>
                <w:szCs w:val="20"/>
                <w:lang w:val="en-US" w:eastAsia="zh-CN"/>
              </w:rPr>
              <w:t>2900多平方米，解决医院业务用房不足的问题，完善医疗卫生服务功能，提升服务水平，满足农村居民不断增长的医疗服务需求</w:t>
            </w:r>
          </w:p>
        </w:tc>
        <w:tc>
          <w:tcPr>
            <w:tcW w:w="4253"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按时完工</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应急接诊点综合楼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2944平方米</w:t>
            </w: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2944平方米</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 xml:space="preserve">  7</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7</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60" w:lineRule="exact"/>
              <w:ind w:left="0" w:right="0"/>
              <w:jc w:val="left"/>
              <w:rPr>
                <w:rFonts w:hint="default" w:ascii="Times New Roman" w:hAnsi="Times New Roman" w:eastAsia="仿宋_GB2312" w:cs="Times New Roman"/>
                <w:color w:val="000000"/>
                <w:kern w:val="2"/>
                <w:sz w:val="20"/>
                <w:szCs w:val="20"/>
                <w:lang w:val="en-US" w:eastAsia="zh-CN" w:bidi="ar-SA"/>
              </w:rPr>
            </w:pPr>
            <w:r>
              <w:rPr>
                <w:rFonts w:hint="eastAsia" w:eastAsia="仿宋_GB2312"/>
                <w:color w:val="000000"/>
                <w:sz w:val="20"/>
                <w:szCs w:val="20"/>
              </w:rPr>
              <w:t>项目数量</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60" w:lineRule="exact"/>
              <w:ind w:left="0" w:right="0"/>
              <w:jc w:val="left"/>
              <w:rPr>
                <w:rFonts w:hint="default" w:ascii="Times New Roman" w:hAnsi="Times New Roman" w:eastAsia="仿宋_GB2312" w:cs="Times New Roman"/>
                <w:color w:val="000000"/>
                <w:kern w:val="2"/>
                <w:sz w:val="20"/>
                <w:szCs w:val="20"/>
                <w:lang w:val="en-US" w:eastAsia="zh-CN" w:bidi="ar-SA"/>
              </w:rPr>
            </w:pPr>
            <w:r>
              <w:rPr>
                <w:rFonts w:hint="eastAsia" w:eastAsia="仿宋_GB2312"/>
                <w:color w:val="000000"/>
                <w:sz w:val="20"/>
                <w:szCs w:val="20"/>
              </w:rPr>
              <w:t>1栋</w:t>
            </w:r>
            <w:r>
              <w:rPr>
                <w:rFonts w:hint="eastAsia" w:eastAsia="仿宋_GB2312"/>
                <w:color w:val="000000"/>
                <w:sz w:val="20"/>
                <w:szCs w:val="20"/>
                <w:lang w:eastAsia="zh-CN"/>
              </w:rPr>
              <w:t>三</w:t>
            </w:r>
            <w:r>
              <w:rPr>
                <w:rFonts w:hint="eastAsia" w:eastAsia="仿宋_GB2312"/>
                <w:color w:val="000000"/>
                <w:sz w:val="20"/>
                <w:szCs w:val="20"/>
              </w:rPr>
              <w:t>层</w:t>
            </w:r>
          </w:p>
        </w:tc>
        <w:tc>
          <w:tcPr>
            <w:tcW w:w="1134" w:type="dxa"/>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60" w:lineRule="exact"/>
              <w:ind w:left="0" w:right="0"/>
              <w:jc w:val="left"/>
              <w:rPr>
                <w:rFonts w:hint="default" w:ascii="Times New Roman" w:hAnsi="Times New Roman" w:eastAsia="仿宋_GB2312" w:cs="Times New Roman"/>
                <w:color w:val="000000"/>
                <w:kern w:val="2"/>
                <w:sz w:val="20"/>
                <w:szCs w:val="20"/>
                <w:lang w:val="en-US" w:eastAsia="zh-CN" w:bidi="ar-SA"/>
              </w:rPr>
            </w:pPr>
            <w:r>
              <w:rPr>
                <w:rFonts w:hint="eastAsia" w:eastAsia="仿宋_GB2312"/>
                <w:color w:val="000000"/>
                <w:sz w:val="20"/>
                <w:szCs w:val="20"/>
              </w:rPr>
              <w:t>1栋</w:t>
            </w:r>
            <w:r>
              <w:rPr>
                <w:rFonts w:hint="eastAsia" w:eastAsia="仿宋_GB2312"/>
                <w:color w:val="000000"/>
                <w:sz w:val="20"/>
                <w:szCs w:val="20"/>
                <w:lang w:eastAsia="zh-CN"/>
              </w:rPr>
              <w:t>三</w:t>
            </w:r>
            <w:r>
              <w:rPr>
                <w:rFonts w:hint="eastAsia" w:eastAsia="仿宋_GB2312"/>
                <w:color w:val="000000"/>
                <w:sz w:val="20"/>
                <w:szCs w:val="20"/>
              </w:rPr>
              <w:t>层</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验收合格</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15</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00" w:hRule="atLeast"/>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按阶段完工</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352万元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352万元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352万元</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提高医疗收入</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提高</w:t>
            </w:r>
            <w:r>
              <w:rPr>
                <w:rFonts w:hint="eastAsia" w:eastAsia="仿宋_GB2312" w:cs="Times New Roman"/>
                <w:color w:val="000000"/>
                <w:sz w:val="20"/>
                <w:szCs w:val="20"/>
                <w:lang w:val="en-US" w:eastAsia="zh-CN"/>
              </w:rPr>
              <w:t>10%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8</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提高服务态度，医疗技术水平</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受益群众人口数量</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改善就医环境</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left"/>
              <w:textAlignment w:val="auto"/>
              <w:rPr>
                <w:rFonts w:hint="default" w:ascii="Times New Roman" w:hAnsi="Times New Roman" w:eastAsia="仿宋_GB2312" w:cs="Times New Roman"/>
                <w:color w:val="000000"/>
                <w:kern w:val="2"/>
                <w:sz w:val="20"/>
                <w:szCs w:val="20"/>
                <w:lang w:val="en-US" w:eastAsia="zh-CN" w:bidi="ar-SA"/>
              </w:rPr>
            </w:pPr>
            <w:r>
              <w:rPr>
                <w:rFonts w:hint="eastAsia" w:eastAsia="仿宋_GB2312" w:cs="Times New Roman"/>
                <w:color w:val="000000"/>
                <w:sz w:val="20"/>
                <w:szCs w:val="20"/>
                <w:lang w:val="en-US" w:eastAsia="zh-CN"/>
              </w:rPr>
              <w:t>100%</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使用年限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100%</w:t>
            </w:r>
            <w:r>
              <w:rPr>
                <w:rFonts w:hint="default" w:ascii="Times New Roman" w:hAnsi="Times New Roman" w:eastAsia="仿宋_GB2312" w:cs="Times New Roman"/>
                <w:color w:val="000000"/>
                <w:sz w:val="20"/>
                <w:szCs w:val="20"/>
              </w:rPr>
              <w:t>　</w:t>
            </w:r>
          </w:p>
        </w:tc>
        <w:tc>
          <w:tcPr>
            <w:tcW w:w="82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群众满意度</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95%</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95%</w:t>
            </w: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10</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李哲</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2023.7.10</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13974060266</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华容县鲇鱼须镇中心卫生院应急接诊点综合楼项目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年度华容县鲇鱼须镇中心卫生院应急接诊点综合楼</w:t>
      </w:r>
      <w:r>
        <w:rPr>
          <w:rFonts w:hint="eastAsia" w:ascii="方正小标宋简体" w:hAnsi="方正小标宋简体" w:eastAsia="方正小标宋简体" w:cs="方正小标宋简体"/>
          <w:sz w:val="44"/>
          <w:szCs w:val="44"/>
          <w:lang w:eastAsia="zh-CN"/>
        </w:rPr>
        <w:t>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(一)项目概况。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lang w:eastAsia="zh-CN"/>
        </w:rPr>
        <w:t>为加大支持公共卫生、重大疫情防控救助体系补短板力度，进一步做了医疗机构医疗救治和发热门诊管理</w:t>
      </w:r>
      <w:r>
        <w:rPr>
          <w:rFonts w:hint="eastAsia" w:eastAsia="仿宋_GB2312"/>
          <w:sz w:val="30"/>
          <w:szCs w:val="30"/>
          <w:lang w:val="en-US" w:eastAsia="zh-CN"/>
        </w:rPr>
        <w:t xml:space="preserve"> 、院感防控等工作，提升基层医疗卫生保障疾控事业的硬件设施条件和服务水平，</w:t>
      </w:r>
      <w:r>
        <w:rPr>
          <w:rFonts w:hint="eastAsia" w:eastAsia="仿宋_GB2312"/>
          <w:sz w:val="30"/>
          <w:szCs w:val="30"/>
        </w:rPr>
        <w:t>满足我</w:t>
      </w:r>
      <w:r>
        <w:rPr>
          <w:rFonts w:hint="eastAsia" w:eastAsia="仿宋_GB2312"/>
          <w:sz w:val="30"/>
          <w:szCs w:val="30"/>
          <w:lang w:eastAsia="zh-CN"/>
        </w:rPr>
        <w:t>镇广大人民群众医疗卫生需求。抗疫特别国债资金</w:t>
      </w:r>
      <w:r>
        <w:rPr>
          <w:rFonts w:hint="eastAsia" w:eastAsia="仿宋_GB2312"/>
          <w:sz w:val="30"/>
          <w:szCs w:val="30"/>
          <w:lang w:val="en-US" w:eastAsia="zh-CN"/>
        </w:rPr>
        <w:t>850万元</w:t>
      </w:r>
      <w:r>
        <w:rPr>
          <w:rFonts w:hint="eastAsia" w:eastAsia="仿宋_GB2312"/>
          <w:sz w:val="30"/>
          <w:szCs w:val="30"/>
          <w:lang w:eastAsia="zh-CN"/>
        </w:rPr>
        <w:t>用于支持地方基础建设，建设一栋三层综合楼，总建筑面积</w:t>
      </w:r>
      <w:r>
        <w:rPr>
          <w:rFonts w:hint="eastAsia" w:eastAsia="仿宋_GB2312"/>
          <w:sz w:val="30"/>
          <w:szCs w:val="30"/>
          <w:lang w:val="en-US" w:eastAsia="zh-CN"/>
        </w:rPr>
        <w:t>2944平方米，设置床位85张，并配套绿化、排水、供配电等其他附属设施。</w:t>
      </w:r>
    </w:p>
    <w:p>
      <w:pPr>
        <w:keepNext w:val="0"/>
        <w:keepLines w:val="0"/>
        <w:pageBreakBefore w:val="0"/>
        <w:numPr>
          <w:ilvl w:val="0"/>
          <w:numId w:val="3"/>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项目绩效目标。</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增加医疗卫生资源，提高医疗卫生事业发展。</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满足</w:t>
      </w:r>
      <w:r>
        <w:rPr>
          <w:rFonts w:hint="eastAsia" w:eastAsia="仿宋_GB2312"/>
          <w:sz w:val="30"/>
          <w:szCs w:val="30"/>
          <w:lang w:eastAsia="zh-CN"/>
        </w:rPr>
        <w:t>鲇鱼须镇</w:t>
      </w:r>
      <w:r>
        <w:rPr>
          <w:rFonts w:hint="eastAsia" w:eastAsia="仿宋_GB2312"/>
          <w:sz w:val="30"/>
          <w:szCs w:val="30"/>
        </w:rPr>
        <w:t>及周边居民医疗服务需求，提高居民生活质量。</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合理布局医疗机构，改善当地公共医疗卫生条件。</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提供就业岗位，增加就业机会。</w:t>
      </w: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健全应急医疗事业发展，完善重大疫情防控体制机制。</w:t>
      </w:r>
    </w:p>
    <w:p>
      <w:pPr>
        <w:keepNext w:val="0"/>
        <w:keepLines w:val="0"/>
        <w:pageBreakBefore w:val="0"/>
        <w:numPr>
          <w:ilvl w:val="0"/>
          <w:numId w:val="3"/>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包括总体目标和阶段性目标。</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一、项目执行情况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 资金投入情况分析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1</w:t>
      </w:r>
      <w:r>
        <w:rPr>
          <w:rFonts w:hint="eastAsia" w:eastAsia="仿宋_GB2312"/>
          <w:sz w:val="30"/>
          <w:szCs w:val="30"/>
          <w:lang w:eastAsia="zh-CN"/>
        </w:rPr>
        <w:t>、</w:t>
      </w:r>
      <w:r>
        <w:rPr>
          <w:rFonts w:hint="eastAsia" w:eastAsia="仿宋_GB2312"/>
          <w:sz w:val="30"/>
          <w:szCs w:val="30"/>
        </w:rPr>
        <w:t>项目资金执行情况分析202</w:t>
      </w:r>
      <w:r>
        <w:rPr>
          <w:rFonts w:hint="eastAsia" w:eastAsia="仿宋_GB2312"/>
          <w:sz w:val="30"/>
          <w:szCs w:val="30"/>
          <w:lang w:val="en-US" w:eastAsia="zh-CN"/>
        </w:rPr>
        <w:t>2</w:t>
      </w:r>
      <w:r>
        <w:rPr>
          <w:rFonts w:hint="eastAsia" w:eastAsia="仿宋_GB2312"/>
          <w:sz w:val="30"/>
          <w:szCs w:val="30"/>
        </w:rPr>
        <w:t>年度</w:t>
      </w:r>
      <w:r>
        <w:rPr>
          <w:rFonts w:hint="eastAsia" w:eastAsia="仿宋_GB2312"/>
          <w:sz w:val="30"/>
          <w:szCs w:val="30"/>
          <w:lang w:eastAsia="zh-CN"/>
        </w:rPr>
        <w:t>应急接诊点综合楼</w:t>
      </w:r>
      <w:r>
        <w:rPr>
          <w:rFonts w:hint="eastAsia" w:eastAsia="仿宋_GB2312"/>
          <w:sz w:val="30"/>
          <w:szCs w:val="30"/>
        </w:rPr>
        <w:t xml:space="preserve">建设项目共收到县财政拨款资金 </w:t>
      </w:r>
      <w:r>
        <w:rPr>
          <w:rFonts w:hint="eastAsia" w:eastAsia="仿宋_GB2312"/>
          <w:sz w:val="30"/>
          <w:szCs w:val="30"/>
          <w:lang w:val="en-US" w:eastAsia="zh-CN"/>
        </w:rPr>
        <w:t>352</w:t>
      </w:r>
      <w:r>
        <w:rPr>
          <w:rFonts w:hint="eastAsia" w:eastAsia="仿宋_GB2312"/>
          <w:sz w:val="30"/>
          <w:szCs w:val="30"/>
        </w:rPr>
        <w:t xml:space="preserve"> 万元，</w:t>
      </w:r>
      <w:r>
        <w:rPr>
          <w:rFonts w:hint="eastAsia" w:eastAsia="仿宋_GB2312"/>
          <w:sz w:val="30"/>
          <w:szCs w:val="30"/>
          <w:lang w:eastAsia="zh-CN"/>
        </w:rPr>
        <w:t>应急接诊点综合楼</w:t>
      </w:r>
      <w:r>
        <w:rPr>
          <w:rFonts w:hint="eastAsia" w:eastAsia="仿宋_GB2312"/>
          <w:sz w:val="30"/>
          <w:szCs w:val="30"/>
        </w:rPr>
        <w:t>建设项目财政资金实际支出</w:t>
      </w:r>
      <w:r>
        <w:rPr>
          <w:rFonts w:hint="eastAsia" w:eastAsia="仿宋_GB2312"/>
          <w:sz w:val="30"/>
          <w:szCs w:val="30"/>
          <w:lang w:val="en-US" w:eastAsia="zh-CN"/>
        </w:rPr>
        <w:t>352</w:t>
      </w:r>
      <w:r>
        <w:rPr>
          <w:rFonts w:hint="eastAsia" w:eastAsia="仿宋_GB2312"/>
          <w:sz w:val="30"/>
          <w:szCs w:val="30"/>
        </w:rPr>
        <w:t xml:space="preserve"> 万元，执行率 100%。</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2</w:t>
      </w:r>
      <w:r>
        <w:rPr>
          <w:rFonts w:hint="eastAsia" w:eastAsia="仿宋_GB2312"/>
          <w:sz w:val="30"/>
          <w:szCs w:val="30"/>
          <w:lang w:eastAsia="zh-CN"/>
        </w:rPr>
        <w:t>、</w:t>
      </w:r>
      <w:r>
        <w:rPr>
          <w:rFonts w:hint="eastAsia" w:eastAsia="仿宋_GB2312"/>
          <w:sz w:val="30"/>
          <w:szCs w:val="30"/>
        </w:rPr>
        <w:t>项目资金管理情况分析强化专项资金项目管理，严格按照财政相关文件及工程项目进度等执行，实行专款专用。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 总体绩效目标完成情况分析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lang w:eastAsia="zh-CN"/>
        </w:rPr>
        <w:t>应急接诊点综合楼</w:t>
      </w:r>
      <w:r>
        <w:rPr>
          <w:rFonts w:hint="eastAsia" w:eastAsia="仿宋_GB2312"/>
          <w:sz w:val="30"/>
          <w:szCs w:val="30"/>
        </w:rPr>
        <w:t>建设项目建成将取得良好的社会效益，将增加医疗卫生资源</w:t>
      </w:r>
      <w:r>
        <w:rPr>
          <w:rFonts w:hint="eastAsia" w:eastAsia="仿宋_GB2312"/>
          <w:sz w:val="30"/>
          <w:szCs w:val="30"/>
          <w:lang w:eastAsia="zh-CN"/>
        </w:rPr>
        <w:t>；</w:t>
      </w:r>
      <w:r>
        <w:rPr>
          <w:rFonts w:hint="eastAsia" w:eastAsia="仿宋_GB2312"/>
          <w:sz w:val="30"/>
          <w:szCs w:val="30"/>
        </w:rPr>
        <w:t>提高医疗卫生事业发展，满足居民医疗服务需求</w:t>
      </w:r>
      <w:r>
        <w:rPr>
          <w:rFonts w:hint="eastAsia" w:eastAsia="仿宋_GB2312"/>
          <w:sz w:val="30"/>
          <w:szCs w:val="30"/>
          <w:lang w:eastAsia="zh-CN"/>
        </w:rPr>
        <w:t>；</w:t>
      </w:r>
      <w:r>
        <w:rPr>
          <w:rFonts w:hint="eastAsia" w:eastAsia="仿宋_GB2312"/>
          <w:sz w:val="30"/>
          <w:szCs w:val="30"/>
        </w:rPr>
        <w:t xml:space="preserve"> 健全应急医疗事业发展，完善重大疫情防控体制机制</w:t>
      </w:r>
      <w:r>
        <w:rPr>
          <w:rFonts w:hint="eastAsia" w:eastAsia="仿宋_GB2312"/>
          <w:sz w:val="30"/>
          <w:szCs w:val="30"/>
          <w:lang w:eastAsia="zh-CN"/>
        </w:rPr>
        <w:t>。</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textAlignment w:val="auto"/>
        <w:rPr>
          <w:rFonts w:hint="eastAsia" w:eastAsia="仿宋_GB2312"/>
          <w:sz w:val="30"/>
          <w:szCs w:val="30"/>
        </w:rPr>
      </w:pPr>
      <w:r>
        <w:rPr>
          <w:rFonts w:hint="eastAsia" w:eastAsia="仿宋_GB2312"/>
          <w:sz w:val="30"/>
          <w:szCs w:val="30"/>
          <w:lang w:eastAsia="zh-CN"/>
        </w:rPr>
        <w:t>（三）</w:t>
      </w:r>
      <w:r>
        <w:rPr>
          <w:rFonts w:hint="eastAsia" w:eastAsia="仿宋_GB2312"/>
          <w:sz w:val="30"/>
          <w:szCs w:val="30"/>
        </w:rPr>
        <w:t>绩效指标完成情况分析</w:t>
      </w:r>
    </w:p>
    <w:p>
      <w:pPr>
        <w:keepNext w:val="0"/>
        <w:keepLines w:val="0"/>
        <w:pageBreakBefore w:val="0"/>
        <w:numPr>
          <w:ilvl w:val="0"/>
          <w:numId w:val="0"/>
        </w:numPr>
        <w:kinsoku/>
        <w:wordWrap/>
        <w:overflowPunct/>
        <w:topLinePunct w:val="0"/>
        <w:autoSpaceDE/>
        <w:autoSpaceDN/>
        <w:bidi w:val="0"/>
        <w:adjustRightInd/>
        <w:snapToGrid/>
        <w:spacing w:line="610" w:lineRule="exact"/>
        <w:ind w:leftChars="200"/>
        <w:textAlignment w:val="auto"/>
        <w:rPr>
          <w:rFonts w:hint="eastAsia" w:eastAsia="仿宋_GB2312"/>
          <w:sz w:val="30"/>
          <w:szCs w:val="30"/>
        </w:rPr>
      </w:pPr>
      <w:r>
        <w:rPr>
          <w:rFonts w:hint="eastAsia" w:eastAsia="仿宋_GB2312"/>
          <w:sz w:val="30"/>
          <w:szCs w:val="30"/>
          <w:lang w:eastAsia="zh-CN"/>
        </w:rPr>
        <w:t>应急接诊点综合楼</w:t>
      </w:r>
      <w:r>
        <w:rPr>
          <w:rFonts w:hint="eastAsia" w:eastAsia="仿宋_GB2312"/>
          <w:sz w:val="30"/>
          <w:szCs w:val="30"/>
        </w:rPr>
        <w:t>建设项目</w:t>
      </w:r>
      <w:r>
        <w:rPr>
          <w:rFonts w:hint="eastAsia" w:eastAsia="仿宋_GB2312"/>
          <w:sz w:val="30"/>
          <w:szCs w:val="30"/>
          <w:lang w:eastAsia="zh-CN"/>
        </w:rPr>
        <w:t>已竣工完成投入使用</w:t>
      </w:r>
      <w:r>
        <w:rPr>
          <w:rFonts w:hint="eastAsia" w:eastAsia="仿宋_GB2312"/>
          <w:sz w:val="30"/>
          <w:szCs w:val="30"/>
        </w:rPr>
        <w:t>。</w:t>
      </w:r>
    </w:p>
    <w:p>
      <w:pPr>
        <w:keepNext w:val="0"/>
        <w:keepLines w:val="0"/>
        <w:pageBreakBefore w:val="0"/>
        <w:numPr>
          <w:ilvl w:val="0"/>
          <w:numId w:val="5"/>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综合评价情况及评价结论 </w:t>
      </w:r>
    </w:p>
    <w:p>
      <w:pPr>
        <w:pStyle w:val="2"/>
        <w:keepNext w:val="0"/>
        <w:keepLines w:val="0"/>
        <w:pageBreakBefore w:val="0"/>
        <w:widowControl w:val="0"/>
        <w:numPr>
          <w:ilvl w:val="0"/>
          <w:numId w:val="0"/>
        </w:numPr>
        <w:kinsoku/>
        <w:wordWrap/>
        <w:overflowPunct/>
        <w:topLinePunct w:val="0"/>
        <w:autoSpaceDE/>
        <w:autoSpaceDN/>
        <w:bidi w:val="0"/>
        <w:adjustRightInd/>
        <w:spacing w:line="520" w:lineRule="exact"/>
        <w:textAlignment w:val="auto"/>
        <w:rPr>
          <w:rFonts w:hint="eastAsia" w:ascii="Times New Roman" w:hAnsi="Times New Roman" w:eastAsia="仿宋_GB2312" w:cs="Times New Roman"/>
          <w:kern w:val="2"/>
          <w:sz w:val="30"/>
          <w:szCs w:val="30"/>
          <w:lang w:val="en-US" w:eastAsia="zh-CN" w:bidi="ar-SA"/>
        </w:rPr>
      </w:pPr>
      <w:r>
        <w:rPr>
          <w:rFonts w:hint="eastAsia"/>
          <w:lang w:val="en-US" w:eastAsia="zh-CN"/>
        </w:rPr>
        <w:t xml:space="preserve">      </w:t>
      </w:r>
      <w:r>
        <w:rPr>
          <w:rFonts w:hint="eastAsia" w:ascii="Times New Roman" w:hAnsi="Times New Roman" w:eastAsia="仿宋_GB2312" w:cs="Times New Roman"/>
          <w:kern w:val="2"/>
          <w:sz w:val="30"/>
          <w:szCs w:val="30"/>
          <w:lang w:val="en-US" w:eastAsia="zh-CN" w:bidi="ar-SA"/>
        </w:rPr>
        <w:t>通过国家抗疫国债资金项目的实施和资金的投入进一步提高整体医疗水平，提升人才队伍的技术和水平，使病人有更好的医疗救治和更舒适的康复环境，病人的满意度不断提高。</w:t>
      </w:r>
    </w:p>
    <w:p>
      <w:pPr>
        <w:keepNext w:val="0"/>
        <w:keepLines w:val="0"/>
        <w:pageBreakBefore w:val="0"/>
        <w:widowControl w:val="0"/>
        <w:kinsoku/>
        <w:wordWrap/>
        <w:overflowPunct/>
        <w:topLinePunct w:val="0"/>
        <w:autoSpaceDE/>
        <w:autoSpaceDN/>
        <w:bidi w:val="0"/>
        <w:adjustRightInd/>
        <w:spacing w:line="520" w:lineRule="exact"/>
        <w:ind w:firstLine="600" w:firstLineChars="200"/>
        <w:textAlignment w:val="auto"/>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项目资金使用不存在支出依据不合规的情况，也不存在截留、挤占、挪用资金资金情况。严格执行各项财务管理规定，支付流程合法合规。</w:t>
      </w:r>
    </w:p>
    <w:p>
      <w:pPr>
        <w:keepNext w:val="0"/>
        <w:keepLines w:val="0"/>
        <w:pageBreakBefore w:val="0"/>
        <w:widowControl w:val="0"/>
        <w:kinsoku/>
        <w:wordWrap/>
        <w:overflowPunct/>
        <w:topLinePunct w:val="0"/>
        <w:autoSpaceDE/>
        <w:autoSpaceDN/>
        <w:bidi w:val="0"/>
        <w:adjustRightInd/>
        <w:spacing w:line="520" w:lineRule="exact"/>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2022年度</w:t>
      </w:r>
      <w:r>
        <w:rPr>
          <w:rFonts w:hint="eastAsia" w:eastAsia="仿宋_GB2312" w:cs="Times New Roman"/>
          <w:kern w:val="2"/>
          <w:sz w:val="30"/>
          <w:szCs w:val="30"/>
          <w:lang w:val="en-US" w:eastAsia="zh-CN" w:bidi="ar-SA"/>
        </w:rPr>
        <w:t>应急接诊点</w:t>
      </w:r>
      <w:r>
        <w:rPr>
          <w:rFonts w:hint="eastAsia" w:ascii="Times New Roman" w:hAnsi="Times New Roman" w:eastAsia="仿宋_GB2312" w:cs="Times New Roman"/>
          <w:kern w:val="2"/>
          <w:sz w:val="30"/>
          <w:szCs w:val="30"/>
          <w:lang w:val="en-US" w:eastAsia="zh-CN" w:bidi="ar-SA"/>
        </w:rPr>
        <w:t>综合楼建设项目能够按照要求、对照标准进行实施,并且制定了长效的管理制度,严格资金使用,自评总分为98分,等级优秀。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(一)项目决策情况。</w:t>
      </w:r>
    </w:p>
    <w:p>
      <w:pPr>
        <w:pStyle w:val="2"/>
        <w:keepNext w:val="0"/>
        <w:keepLines w:val="0"/>
        <w:pageBreakBefore w:val="0"/>
        <w:widowControl w:val="0"/>
        <w:kinsoku/>
        <w:wordWrap/>
        <w:overflowPunct/>
        <w:topLinePunct w:val="0"/>
        <w:autoSpaceDE/>
        <w:autoSpaceDN/>
        <w:bidi w:val="0"/>
        <w:adjustRightInd/>
        <w:snapToGrid w:val="0"/>
        <w:spacing w:line="520" w:lineRule="exact"/>
        <w:ind w:firstLine="600" w:firstLineChars="200"/>
        <w:textAlignment w:val="auto"/>
        <w:rPr>
          <w:rFonts w:hint="default"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kern w:val="2"/>
          <w:sz w:val="30"/>
          <w:szCs w:val="30"/>
          <w:lang w:val="en-US" w:eastAsia="zh-CN" w:bidi="ar-SA"/>
        </w:rPr>
        <w:t>项目的实施严格遵守政府采购的相关管理制度，按照政府采购的程序实施，项目完成后实行验收制度，项目资金付款前严格通过验收小组的验收，并且经过院领导班子讨论后，按照合同规定付款。</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(二)项目过程情况。</w:t>
      </w:r>
    </w:p>
    <w:p>
      <w:pPr>
        <w:pStyle w:val="2"/>
        <w:keepNext w:val="0"/>
        <w:keepLines w:val="0"/>
        <w:pageBreakBefore w:val="0"/>
        <w:widowControl w:val="0"/>
        <w:kinsoku/>
        <w:wordWrap/>
        <w:overflowPunct/>
        <w:topLinePunct w:val="0"/>
        <w:autoSpaceDE/>
        <w:autoSpaceDN/>
        <w:bidi w:val="0"/>
        <w:adjustRightInd/>
        <w:snapToGrid w:val="0"/>
        <w:spacing w:line="520" w:lineRule="exact"/>
        <w:textAlignment w:val="auto"/>
        <w:rPr>
          <w:rFonts w:hint="default" w:eastAsia="仿宋_GB2312"/>
          <w:lang w:val="en-US" w:eastAsia="zh-CN"/>
        </w:rPr>
      </w:pPr>
      <w:r>
        <w:rPr>
          <w:rFonts w:hint="eastAsia" w:eastAsia="仿宋_GB2312"/>
          <w:sz w:val="30"/>
          <w:szCs w:val="30"/>
          <w:lang w:val="en-US" w:eastAsia="zh-CN"/>
        </w:rPr>
        <w:t xml:space="preserve">       根据县卫健局对重点项目安排总要求,科学合理安排医疗应急接诊点综合楼建设项目。坚持统筹协调、均衡合理安排。控制年度计划进度，做好“四四表单”，从立项审批、用地手续、设计文件、预算编制、预算评审、概算、工程招投标、再到主体工程和配套设施均合理安排时间,确保工程质量,提升运用成果。2021年2月主体动工，按完工进度支付工程款。2022年5月搬迁投入使用。</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(三)项目产出情况。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1.数量指标得分情况分析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在数量指标中,开展项目数量和项目面积指标，完成率100%,经考核,评分为15分。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2.质量指标得分情况分析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在项目实施质量指标过程中，专门聘请专业的工程监理服务公司，凡有不达标、不规范之处,立即整改,对工程质量按标准完成100%,经考核,评分为15分。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3.时效指标得分情况分析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在时效指标中,项目资金按需使用并及时获得预定目标100%,经考核,评分为10分。</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4.成本指标得分情况分析</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lang w:eastAsia="zh-CN"/>
        </w:rPr>
      </w:pPr>
      <w:r>
        <w:rPr>
          <w:rFonts w:hint="eastAsia" w:eastAsia="仿宋_GB2312"/>
          <w:sz w:val="30"/>
          <w:szCs w:val="30"/>
        </w:rPr>
        <w:t>经核算,2022年</w:t>
      </w:r>
      <w:r>
        <w:rPr>
          <w:rFonts w:hint="eastAsia" w:eastAsia="仿宋_GB2312"/>
          <w:sz w:val="30"/>
          <w:szCs w:val="30"/>
          <w:lang w:eastAsia="zh-CN"/>
        </w:rPr>
        <w:t>应急接诊点</w:t>
      </w:r>
      <w:r>
        <w:rPr>
          <w:rFonts w:hint="eastAsia" w:eastAsia="仿宋_GB2312"/>
          <w:sz w:val="30"/>
          <w:szCs w:val="30"/>
        </w:rPr>
        <w:t>综合楼总投资</w:t>
      </w:r>
      <w:r>
        <w:rPr>
          <w:rFonts w:hint="eastAsia" w:eastAsia="仿宋_GB2312"/>
          <w:sz w:val="30"/>
          <w:szCs w:val="30"/>
          <w:lang w:val="en-US" w:eastAsia="zh-CN"/>
        </w:rPr>
        <w:t>352</w:t>
      </w:r>
      <w:r>
        <w:rPr>
          <w:rFonts w:hint="eastAsia" w:eastAsia="仿宋_GB2312"/>
          <w:sz w:val="30"/>
          <w:szCs w:val="30"/>
        </w:rPr>
        <w:t>万 ,实际发生</w:t>
      </w:r>
      <w:r>
        <w:rPr>
          <w:rFonts w:hint="eastAsia" w:eastAsia="仿宋_GB2312"/>
          <w:sz w:val="30"/>
          <w:szCs w:val="30"/>
          <w:lang w:val="en-US" w:eastAsia="zh-CN"/>
        </w:rPr>
        <w:t>352</w:t>
      </w:r>
      <w:r>
        <w:rPr>
          <w:rFonts w:hint="eastAsia" w:eastAsia="仿宋_GB2312"/>
          <w:sz w:val="30"/>
          <w:szCs w:val="30"/>
        </w:rPr>
        <w:t>万元,资金执行率100%。该项目使用经费控制在预算范围内。经考核,评分为10分。提高医疗技术，更新医疗设备，使患者得到及时、准确的救治</w:t>
      </w:r>
      <w:r>
        <w:rPr>
          <w:rFonts w:hint="eastAsia" w:eastAsia="仿宋_GB2312"/>
          <w:sz w:val="30"/>
          <w:szCs w:val="30"/>
          <w:lang w:eastAsia="zh-CN"/>
        </w:rPr>
        <w:t>。</w:t>
      </w:r>
    </w:p>
    <w:p>
      <w:pPr>
        <w:keepNext w:val="0"/>
        <w:keepLines w:val="0"/>
        <w:pageBreakBefore w:val="0"/>
        <w:numPr>
          <w:ilvl w:val="0"/>
          <w:numId w:val="3"/>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sz w:val="30"/>
          <w:szCs w:val="30"/>
        </w:rPr>
      </w:pPr>
      <w:r>
        <w:rPr>
          <w:rFonts w:hint="eastAsia" w:eastAsia="仿宋_GB2312"/>
          <w:sz w:val="30"/>
          <w:szCs w:val="30"/>
        </w:rPr>
        <w:t>项目效益情况。</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leftChars="200"/>
        <w:textAlignment w:val="auto"/>
        <w:rPr>
          <w:rFonts w:hint="default" w:eastAsia="宋体"/>
          <w:lang w:val="en-US" w:eastAsia="zh-CN"/>
        </w:rPr>
      </w:pPr>
      <w:r>
        <w:rPr>
          <w:rFonts w:hint="eastAsia"/>
          <w:lang w:val="en-US" w:eastAsia="zh-CN"/>
        </w:rPr>
        <w:t xml:space="preserve">      </w:t>
      </w:r>
      <w:r>
        <w:rPr>
          <w:rFonts w:hint="eastAsia" w:ascii="Times New Roman" w:hAnsi="Times New Roman" w:eastAsia="仿宋_GB2312" w:cs="Times New Roman"/>
          <w:kern w:val="2"/>
          <w:sz w:val="30"/>
          <w:szCs w:val="30"/>
          <w:lang w:val="en-US" w:eastAsia="zh-CN" w:bidi="ar-SA"/>
        </w:rPr>
        <w:t>通过项目资金投入，加强固定资产和基础设施的建设，提高医院救治和康复工作，进一步提升医院的整体医疗水平</w:t>
      </w:r>
      <w:r>
        <w:rPr>
          <w:rFonts w:hint="eastAsia"/>
          <w:lang w:val="en-US" w:eastAsia="zh-CN"/>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五、主要经验及做法、存在的问题及原因分析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仿宋_GB2312" w:eastAsia="仿宋_GB2312"/>
          <w:sz w:val="32"/>
          <w:szCs w:val="32"/>
          <w:lang w:val="en-US" w:eastAsia="zh-CN"/>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rPr>
          <w:rFonts w:hint="eastAsia"/>
          <w:lang w:val="en-US" w:eastAsia="zh-CN"/>
        </w:rPr>
      </w:pPr>
      <w:bookmarkStart w:id="0" w:name="_GoBack"/>
      <w:bookmarkEnd w:id="0"/>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40590C6-9CB2-44E7-9097-69E6C8E1FAD3}"/>
  </w:font>
  <w:font w:name="Arial">
    <w:panose1 w:val="020B0604020202020204"/>
    <w:charset w:val="01"/>
    <w:family w:val="swiss"/>
    <w:pitch w:val="default"/>
    <w:sig w:usb0="E0002AFF" w:usb1="C0007843" w:usb2="00000009" w:usb3="00000000" w:csb0="400001FF" w:csb1="FFFF0000"/>
    <w:embedRegular r:id="rId2" w:fontKey="{C44D111C-5EC6-4865-9E6C-B9BC374241C3}"/>
  </w:font>
  <w:font w:name="黑体">
    <w:panose1 w:val="02010609060101010101"/>
    <w:charset w:val="86"/>
    <w:family w:val="auto"/>
    <w:pitch w:val="default"/>
    <w:sig w:usb0="800002BF" w:usb1="38CF7CFA" w:usb2="00000016" w:usb3="00000000" w:csb0="00040001" w:csb1="00000000"/>
    <w:embedRegular r:id="rId3" w:fontKey="{64D8D125-BF92-45FD-84F0-2E9878C544FC}"/>
  </w:font>
  <w:font w:name="Courier New">
    <w:panose1 w:val="02070309020205020404"/>
    <w:charset w:val="01"/>
    <w:family w:val="modern"/>
    <w:pitch w:val="default"/>
    <w:sig w:usb0="E0002AFF" w:usb1="C0007843" w:usb2="00000009" w:usb3="00000000" w:csb0="400001FF" w:csb1="FFFF0000"/>
    <w:embedRegular r:id="rId4" w:fontKey="{27E34789-DD82-45F9-8CAE-FACA753F4F4C}"/>
  </w:font>
  <w:font w:name="Symbol">
    <w:panose1 w:val="05050102010706020507"/>
    <w:charset w:val="02"/>
    <w:family w:val="roman"/>
    <w:pitch w:val="default"/>
    <w:sig w:usb0="00000000" w:usb1="00000000" w:usb2="00000000" w:usb3="00000000" w:csb0="80000000" w:csb1="00000000"/>
    <w:embedRegular r:id="rId5" w:fontKey="{F0CED062-7F3A-426F-8D8E-6BE093195FCB}"/>
  </w:font>
  <w:font w:name="Calibri">
    <w:panose1 w:val="020F0502020204030204"/>
    <w:charset w:val="00"/>
    <w:family w:val="swiss"/>
    <w:pitch w:val="default"/>
    <w:sig w:usb0="E00002FF" w:usb1="4000ACFF" w:usb2="00000001" w:usb3="00000000" w:csb0="2000019F" w:csb1="00000000"/>
    <w:embedRegular r:id="rId6" w:fontKey="{64CAA634-8BC5-4716-8C74-F245461D8804}"/>
  </w:font>
  <w:font w:name="方正小标宋简体">
    <w:altName w:val="仿宋_GB2312"/>
    <w:panose1 w:val="02010601030101010101"/>
    <w:charset w:val="86"/>
    <w:family w:val="auto"/>
    <w:pitch w:val="default"/>
    <w:sig w:usb0="00000000" w:usb1="00000000" w:usb2="00000000" w:usb3="00000000" w:csb0="00040000" w:csb1="00000000"/>
    <w:embedRegular r:id="rId7" w:fontKey="{2CD08F72-AFF3-40E3-8D25-690DBA509750}"/>
  </w:font>
  <w:font w:name="仿宋_GB2312">
    <w:panose1 w:val="02010609030101010101"/>
    <w:charset w:val="86"/>
    <w:family w:val="auto"/>
    <w:pitch w:val="default"/>
    <w:sig w:usb0="00000001" w:usb1="080E0000" w:usb2="00000000" w:usb3="00000000" w:csb0="00040000" w:csb1="00000000"/>
    <w:embedRegular r:id="rId8" w:fontKey="{DB3A7D08-584B-4434-B698-4E5DF49F4599}"/>
  </w:font>
  <w:font w:name="新宋体">
    <w:panose1 w:val="02010609030101010101"/>
    <w:charset w:val="86"/>
    <w:family w:val="auto"/>
    <w:pitch w:val="default"/>
    <w:sig w:usb0="00000003" w:usb1="288F0000" w:usb2="00000006" w:usb3="00000000" w:csb0="00040001" w:csb1="00000000"/>
    <w:embedRegular r:id="rId9" w:fontKey="{ACCD98DB-90FC-4075-8FAB-D9C25DC6A67F}"/>
  </w:font>
  <w:font w:name="方正小标宋_GBK">
    <w:panose1 w:val="03000509000000000000"/>
    <w:charset w:val="86"/>
    <w:family w:val="script"/>
    <w:pitch w:val="default"/>
    <w:sig w:usb0="00000001" w:usb1="080E0000" w:usb2="00000000" w:usb3="00000000" w:csb0="00040000" w:csb1="00000000"/>
    <w:embedRegular r:id="rId10" w:fontKey="{20D02D40-BA36-4C35-A5B7-B58FD5CC2C08}"/>
  </w:font>
  <w:font w:name="楷体_GB2312">
    <w:panose1 w:val="02010609030101010101"/>
    <w:charset w:val="86"/>
    <w:family w:val="auto"/>
    <w:pitch w:val="default"/>
    <w:sig w:usb0="00000001" w:usb1="080E0000" w:usb2="00000000" w:usb3="00000000" w:csb0="00040000" w:csb1="00000000"/>
    <w:embedRegular r:id="rId11" w:fontKey="{AEE4F4E1-742F-4557-94AE-80B32ED3D62B}"/>
  </w:font>
  <w:font w:name="仿宋">
    <w:panose1 w:val="02010609060101010101"/>
    <w:charset w:val="86"/>
    <w:family w:val="auto"/>
    <w:pitch w:val="default"/>
    <w:sig w:usb0="800002BF" w:usb1="38CF7CFA" w:usb2="00000016" w:usb3="00000000" w:csb0="00040001" w:csb1="00000000"/>
    <w:embedRegular r:id="rId12" w:fontKey="{350D231D-0F7F-49A5-867D-47C238C1CEE2}"/>
  </w:font>
  <w:font w:name="楷体">
    <w:panose1 w:val="02010609060101010101"/>
    <w:charset w:val="86"/>
    <w:family w:val="auto"/>
    <w:pitch w:val="default"/>
    <w:sig w:usb0="800002BF" w:usb1="38CF7CFA" w:usb2="00000016" w:usb3="00000000" w:csb0="00040001" w:csb1="00000000"/>
    <w:embedRegular r:id="rId13" w:fontKey="{5E6F8391-17EB-4608-A675-BCEABB158322}"/>
  </w:font>
  <w:font w:name="华文仿宋">
    <w:panose1 w:val="02010600040101010101"/>
    <w:charset w:val="86"/>
    <w:family w:val="auto"/>
    <w:pitch w:val="default"/>
    <w:sig w:usb0="00000287" w:usb1="080F0000" w:usb2="00000000" w:usb3="00000000" w:csb0="0004009F" w:csb1="DFD70000"/>
    <w:embedRegular r:id="rId14" w:fontKey="{CB6CE017-F857-44B8-A9EC-CE34FE15B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5A611"/>
    <w:multiLevelType w:val="singleLevel"/>
    <w:tmpl w:val="AD75A611"/>
    <w:lvl w:ilvl="0" w:tentative="0">
      <w:start w:val="7"/>
      <w:numFmt w:val="chineseCounting"/>
      <w:suff w:val="nothing"/>
      <w:lvlText w:val="%1、"/>
      <w:lvlJc w:val="left"/>
      <w:rPr>
        <w:rFonts w:hint="eastAsia"/>
      </w:rPr>
    </w:lvl>
  </w:abstractNum>
  <w:abstractNum w:abstractNumId="1">
    <w:nsid w:val="DD94F1EC"/>
    <w:multiLevelType w:val="singleLevel"/>
    <w:tmpl w:val="DD94F1EC"/>
    <w:lvl w:ilvl="0" w:tentative="0">
      <w:start w:val="1"/>
      <w:numFmt w:val="decimal"/>
      <w:suff w:val="nothing"/>
      <w:lvlText w:val="%1、"/>
      <w:lvlJc w:val="left"/>
    </w:lvl>
  </w:abstractNum>
  <w:abstractNum w:abstractNumId="2">
    <w:nsid w:val="2745CE3B"/>
    <w:multiLevelType w:val="singleLevel"/>
    <w:tmpl w:val="2745CE3B"/>
    <w:lvl w:ilvl="0" w:tentative="0">
      <w:start w:val="3"/>
      <w:numFmt w:val="chineseCounting"/>
      <w:suff w:val="nothing"/>
      <w:lvlText w:val="%1、"/>
      <w:lvlJc w:val="left"/>
      <w:rPr>
        <w:rFonts w:hint="eastAsia"/>
      </w:rPr>
    </w:lvl>
  </w:abstractNum>
  <w:abstractNum w:abstractNumId="3">
    <w:nsid w:val="291CCA40"/>
    <w:multiLevelType w:val="singleLevel"/>
    <w:tmpl w:val="291CCA40"/>
    <w:lvl w:ilvl="0" w:tentative="0">
      <w:start w:val="1"/>
      <w:numFmt w:val="chineseCounting"/>
      <w:suff w:val="nothing"/>
      <w:lvlText w:val="%1、"/>
      <w:lvlJc w:val="left"/>
      <w:rPr>
        <w:rFonts w:hint="eastAsia"/>
      </w:rPr>
    </w:lvl>
  </w:abstractNum>
  <w:abstractNum w:abstractNumId="4">
    <w:nsid w:val="4F9DDE50"/>
    <w:multiLevelType w:val="singleLevel"/>
    <w:tmpl w:val="4F9DDE50"/>
    <w:lvl w:ilvl="0" w:tentative="0">
      <w:start w:val="2"/>
      <w:numFmt w:val="chineseCounting"/>
      <w:lvlText w:val="(%1)"/>
      <w:lvlJc w:val="left"/>
      <w:pPr>
        <w:tabs>
          <w:tab w:val="left" w:pos="312"/>
        </w:tabs>
      </w:pPr>
      <w:rPr>
        <w:rFonts w:hint="eastAsia"/>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3ZTY2ODczNjg0NWZmNDg0MjU2MTIzZDQ3YmZhYTkifQ=="/>
  </w:docVars>
  <w:rsids>
    <w:rsidRoot w:val="0CCB7736"/>
    <w:rsid w:val="00047FEF"/>
    <w:rsid w:val="000A3906"/>
    <w:rsid w:val="001776F1"/>
    <w:rsid w:val="006F0A16"/>
    <w:rsid w:val="00773328"/>
    <w:rsid w:val="00821883"/>
    <w:rsid w:val="00917857"/>
    <w:rsid w:val="00A755C2"/>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102CD1"/>
    <w:rsid w:val="1D5A640E"/>
    <w:rsid w:val="1F7640EC"/>
    <w:rsid w:val="20D76C5F"/>
    <w:rsid w:val="21057490"/>
    <w:rsid w:val="214A230E"/>
    <w:rsid w:val="21B052C4"/>
    <w:rsid w:val="22FF5445"/>
    <w:rsid w:val="238D0E57"/>
    <w:rsid w:val="24256710"/>
    <w:rsid w:val="251E7983"/>
    <w:rsid w:val="25473008"/>
    <w:rsid w:val="260D5D83"/>
    <w:rsid w:val="27DC630A"/>
    <w:rsid w:val="284A2254"/>
    <w:rsid w:val="288B0EB2"/>
    <w:rsid w:val="292F1467"/>
    <w:rsid w:val="29786927"/>
    <w:rsid w:val="297B51B4"/>
    <w:rsid w:val="29E40467"/>
    <w:rsid w:val="29F527E2"/>
    <w:rsid w:val="2BF35971"/>
    <w:rsid w:val="2C487650"/>
    <w:rsid w:val="2E4F43C0"/>
    <w:rsid w:val="2EC7368E"/>
    <w:rsid w:val="2FB6414F"/>
    <w:rsid w:val="30FB4B41"/>
    <w:rsid w:val="31621165"/>
    <w:rsid w:val="31C970ED"/>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8657DF"/>
    <w:rsid w:val="41943ACE"/>
    <w:rsid w:val="425D4066"/>
    <w:rsid w:val="43173FD4"/>
    <w:rsid w:val="44143822"/>
    <w:rsid w:val="44450C02"/>
    <w:rsid w:val="44654A12"/>
    <w:rsid w:val="457C5F26"/>
    <w:rsid w:val="49CF255F"/>
    <w:rsid w:val="4B2C5DCD"/>
    <w:rsid w:val="4B7D1173"/>
    <w:rsid w:val="4C150E22"/>
    <w:rsid w:val="4C6A38FC"/>
    <w:rsid w:val="4CE74BC3"/>
    <w:rsid w:val="4CF5000E"/>
    <w:rsid w:val="4DB17672"/>
    <w:rsid w:val="4F967042"/>
    <w:rsid w:val="50AC44C4"/>
    <w:rsid w:val="50EA6DB9"/>
    <w:rsid w:val="50ED746C"/>
    <w:rsid w:val="51CA7471"/>
    <w:rsid w:val="521C2FA3"/>
    <w:rsid w:val="522529B2"/>
    <w:rsid w:val="53910AF4"/>
    <w:rsid w:val="541128AF"/>
    <w:rsid w:val="555952B3"/>
    <w:rsid w:val="556B5A36"/>
    <w:rsid w:val="55AF40BB"/>
    <w:rsid w:val="56F72F7C"/>
    <w:rsid w:val="585757D0"/>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154E91"/>
    <w:rsid w:val="6DFE5E04"/>
    <w:rsid w:val="6E87203D"/>
    <w:rsid w:val="6F9278BB"/>
    <w:rsid w:val="71572F19"/>
    <w:rsid w:val="719B7427"/>
    <w:rsid w:val="71D451F0"/>
    <w:rsid w:val="724A6793"/>
    <w:rsid w:val="741F26FA"/>
    <w:rsid w:val="74470DF8"/>
    <w:rsid w:val="75FD1676"/>
    <w:rsid w:val="799536BA"/>
    <w:rsid w:val="7AD222D9"/>
    <w:rsid w:val="7B170752"/>
    <w:rsid w:val="7B8F681B"/>
    <w:rsid w:val="7CF138A7"/>
    <w:rsid w:val="7DD96C0E"/>
    <w:rsid w:val="7E474F7B"/>
    <w:rsid w:val="7E8F7AC1"/>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9">
    <w:name w:val="Default Paragraph Font"/>
    <w:semiHidden/>
    <w:qFormat/>
    <w:uiPriority w:val="99"/>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99"/>
    <w:rPr>
      <w:rFonts w:cs="Times New Roman"/>
    </w:rPr>
  </w:style>
  <w:style w:type="character" w:customStyle="1" w:styleId="11">
    <w:name w:val="Footer Char"/>
    <w:basedOn w:val="9"/>
    <w:link w:val="4"/>
    <w:semiHidden/>
    <w:qFormat/>
    <w:uiPriority w:val="99"/>
    <w:rPr>
      <w:sz w:val="18"/>
      <w:szCs w:val="18"/>
    </w:rPr>
  </w:style>
  <w:style w:type="character" w:customStyle="1" w:styleId="12">
    <w:name w:val="Header Char"/>
    <w:basedOn w:val="9"/>
    <w:link w:val="5"/>
    <w:semiHidden/>
    <w:qFormat/>
    <w:uiPriority w:val="99"/>
    <w:rPr>
      <w:sz w:val="18"/>
      <w:szCs w:val="18"/>
    </w:rPr>
  </w:style>
  <w:style w:type="paragraph" w:styleId="13">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21</Pages>
  <Words>7662</Words>
  <Characters>8398</Characters>
  <Lines>0</Lines>
  <Paragraphs>0</Paragraphs>
  <TotalTime>0</TotalTime>
  <ScaleCrop>false</ScaleCrop>
  <LinksUpToDate>false</LinksUpToDate>
  <CharactersWithSpaces>8704</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綦群艳</cp:lastModifiedBy>
  <cp:lastPrinted>2023-06-29T01:04:00Z</cp:lastPrinted>
  <dcterms:modified xsi:type="dcterms:W3CDTF">2023-07-17T01:52:02Z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KSOSaveFontToCloudKey">
    <vt:lpwstr>386772509_embed</vt:lpwstr>
  </property>
  <property fmtid="{D5CDD505-2E9C-101B-9397-08002B2CF9AE}" pid="4" name="ICV">
    <vt:lpwstr>512A06CBD5F44149B4513F6CD1B2F2C4_13</vt:lpwstr>
  </property>
</Properties>
</file>