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Times New Roman" w:eastAsia="仿宋_GB2312" w:cs="Times New Roman"/>
          <w:sz w:val="32"/>
          <w:szCs w:val="32"/>
        </w:rPr>
      </w:pPr>
    </w:p>
    <w:p>
      <w:pPr>
        <w:spacing w:after="120" w:afterLines="50" w:line="600" w:lineRule="exact"/>
        <w:jc w:val="both"/>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年度部门整体支出绩效评价基础数据表</w:t>
      </w:r>
    </w:p>
    <w:tbl>
      <w:tblPr>
        <w:tblStyle w:val="8"/>
        <w:tblW w:w="9284" w:type="dxa"/>
        <w:jc w:val="center"/>
        <w:tblInd w:w="0" w:type="dxa"/>
        <w:tblLayout w:type="fixed"/>
        <w:tblCellMar>
          <w:top w:w="0" w:type="dxa"/>
          <w:left w:w="108" w:type="dxa"/>
          <w:bottom w:w="0" w:type="dxa"/>
          <w:right w:w="108" w:type="dxa"/>
        </w:tblCellMar>
      </w:tblPr>
      <w:tblGrid>
        <w:gridCol w:w="3218"/>
        <w:gridCol w:w="1956"/>
        <w:gridCol w:w="2437"/>
        <w:gridCol w:w="1673"/>
      </w:tblGrid>
      <w:tr>
        <w:tblPrEx>
          <w:tblLayout w:type="fixed"/>
          <w:tblCellMar>
            <w:top w:w="0" w:type="dxa"/>
            <w:left w:w="108" w:type="dxa"/>
            <w:bottom w:w="0" w:type="dxa"/>
            <w:right w:w="108" w:type="dxa"/>
          </w:tblCellMar>
        </w:tblPrEx>
        <w:trPr>
          <w:trHeight w:val="539" w:hRule="atLeast"/>
          <w:jc w:val="center"/>
        </w:trPr>
        <w:tc>
          <w:tcPr>
            <w:tcW w:w="3218"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财政供养人员情况（人）</w:t>
            </w:r>
          </w:p>
        </w:tc>
        <w:tc>
          <w:tcPr>
            <w:tcW w:w="1956"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编制数</w:t>
            </w:r>
          </w:p>
        </w:tc>
        <w:tc>
          <w:tcPr>
            <w:tcW w:w="2437"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年实际在职人数</w:t>
            </w:r>
          </w:p>
        </w:tc>
        <w:tc>
          <w:tcPr>
            <w:tcW w:w="1673"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控制率</w:t>
            </w:r>
          </w:p>
        </w:tc>
      </w:tr>
      <w:tr>
        <w:tblPrEx>
          <w:tblLayout w:type="fixed"/>
          <w:tblCellMar>
            <w:top w:w="0" w:type="dxa"/>
            <w:left w:w="108" w:type="dxa"/>
            <w:bottom w:w="0" w:type="dxa"/>
            <w:right w:w="108" w:type="dxa"/>
          </w:tblCellMar>
        </w:tblPrEx>
        <w:trPr>
          <w:trHeight w:val="539" w:hRule="atLeast"/>
          <w:jc w:val="center"/>
        </w:trPr>
        <w:tc>
          <w:tcPr>
            <w:tcW w:w="321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956"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316</w:t>
            </w:r>
          </w:p>
        </w:tc>
        <w:tc>
          <w:tcPr>
            <w:tcW w:w="2437"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317</w:t>
            </w:r>
          </w:p>
        </w:tc>
        <w:tc>
          <w:tcPr>
            <w:tcW w:w="1673"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100.32%</w:t>
            </w:r>
          </w:p>
        </w:tc>
      </w:tr>
      <w:tr>
        <w:tblPrEx>
          <w:tblLayout w:type="fixed"/>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经费控制情况（万元）</w:t>
            </w:r>
          </w:p>
        </w:tc>
        <w:tc>
          <w:tcPr>
            <w:tcW w:w="195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lang w:val="en-US" w:eastAsia="zh-CN"/>
              </w:rPr>
            </w:pPr>
            <w:r>
              <w:rPr>
                <w:rFonts w:hint="eastAsia" w:ascii="新宋体" w:hAnsi="新宋体" w:eastAsia="新宋体" w:cs="新宋体"/>
                <w:b/>
                <w:bCs/>
                <w:sz w:val="21"/>
                <w:szCs w:val="21"/>
                <w:lang w:val="en-US" w:eastAsia="zh-CN"/>
              </w:rPr>
              <w:t>2021年决算数</w:t>
            </w:r>
          </w:p>
        </w:tc>
        <w:tc>
          <w:tcPr>
            <w:tcW w:w="2437"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年预算数</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年决算数</w:t>
            </w:r>
          </w:p>
        </w:tc>
      </w:tr>
      <w:tr>
        <w:tblPrEx>
          <w:tblLayout w:type="fixed"/>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一、基本支出：</w:t>
            </w:r>
          </w:p>
        </w:tc>
        <w:tc>
          <w:tcPr>
            <w:tcW w:w="195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新宋体" w:hAnsi="新宋体" w:eastAsia="新宋体" w:cs="新宋体"/>
                <w:sz w:val="21"/>
                <w:szCs w:val="21"/>
              </w:rPr>
            </w:pPr>
            <w:r>
              <w:rPr>
                <w:rFonts w:hint="eastAsia" w:ascii="宋体" w:hAnsi="宋体" w:eastAsia="宋体" w:cs="宋体"/>
                <w:i w:val="0"/>
                <w:color w:val="000000"/>
                <w:kern w:val="0"/>
                <w:sz w:val="22"/>
                <w:szCs w:val="22"/>
                <w:u w:val="none"/>
                <w:lang w:val="en-US" w:eastAsia="zh-CN" w:bidi="ar"/>
              </w:rPr>
              <w:t xml:space="preserve">8252.06 </w:t>
            </w:r>
          </w:p>
        </w:tc>
        <w:tc>
          <w:tcPr>
            <w:tcW w:w="2437"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新宋体" w:hAnsi="新宋体" w:eastAsia="新宋体" w:cs="新宋体"/>
                <w:sz w:val="21"/>
                <w:szCs w:val="21"/>
                <w:lang w:val="en-US" w:eastAsia="zh-CN"/>
              </w:rPr>
            </w:pPr>
            <w:r>
              <w:rPr>
                <w:rFonts w:hint="eastAsia" w:ascii="宋体" w:hAnsi="宋体" w:eastAsia="宋体" w:cs="宋体"/>
                <w:i w:val="0"/>
                <w:color w:val="000000"/>
                <w:kern w:val="0"/>
                <w:sz w:val="22"/>
                <w:szCs w:val="22"/>
                <w:u w:val="none"/>
                <w:lang w:val="en-US" w:eastAsia="zh-CN" w:bidi="ar"/>
              </w:rPr>
              <w:t xml:space="preserve">10333.83 </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新宋体" w:hAnsi="新宋体" w:eastAsia="新宋体" w:cs="新宋体"/>
                <w:sz w:val="21"/>
                <w:szCs w:val="21"/>
              </w:rPr>
            </w:pPr>
            <w:r>
              <w:rPr>
                <w:rFonts w:hint="eastAsia" w:ascii="宋体" w:hAnsi="宋体" w:eastAsia="宋体" w:cs="宋体"/>
                <w:i w:val="0"/>
                <w:color w:val="000000"/>
                <w:kern w:val="0"/>
                <w:sz w:val="22"/>
                <w:szCs w:val="22"/>
                <w:u w:val="none"/>
                <w:lang w:val="en-US" w:eastAsia="zh-CN" w:bidi="ar"/>
              </w:rPr>
              <w:t xml:space="preserve">10333.83 </w:t>
            </w:r>
          </w:p>
        </w:tc>
      </w:tr>
      <w:tr>
        <w:tblPrEx>
          <w:tblLayout w:type="fixed"/>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其中：</w:t>
            </w:r>
            <w:r>
              <w:rPr>
                <w:rFonts w:hint="eastAsia" w:ascii="新宋体" w:hAnsi="新宋体" w:eastAsia="新宋体" w:cs="新宋体"/>
                <w:sz w:val="21"/>
                <w:szCs w:val="21"/>
              </w:rPr>
              <w:t>三公经费</w:t>
            </w:r>
          </w:p>
        </w:tc>
        <w:tc>
          <w:tcPr>
            <w:tcW w:w="195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新宋体" w:hAnsi="新宋体" w:eastAsia="新宋体" w:cs="新宋体"/>
                <w:sz w:val="21"/>
                <w:szCs w:val="21"/>
              </w:rPr>
            </w:pPr>
            <w:r>
              <w:rPr>
                <w:rFonts w:hint="eastAsia" w:ascii="宋体" w:hAnsi="宋体" w:eastAsia="宋体" w:cs="宋体"/>
                <w:i w:val="0"/>
                <w:color w:val="000000"/>
                <w:kern w:val="0"/>
                <w:sz w:val="22"/>
                <w:szCs w:val="22"/>
                <w:u w:val="none"/>
                <w:lang w:val="en-US" w:eastAsia="zh-CN" w:bidi="ar"/>
              </w:rPr>
              <w:t xml:space="preserve">218.49 </w:t>
            </w:r>
          </w:p>
        </w:tc>
        <w:tc>
          <w:tcPr>
            <w:tcW w:w="2437"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新宋体" w:hAnsi="新宋体" w:eastAsia="新宋体" w:cs="新宋体"/>
                <w:sz w:val="21"/>
                <w:szCs w:val="21"/>
                <w:lang w:val="en-US" w:eastAsia="zh-CN"/>
              </w:rPr>
            </w:pPr>
            <w:r>
              <w:rPr>
                <w:rFonts w:hint="eastAsia" w:ascii="宋体" w:hAnsi="宋体" w:eastAsia="宋体" w:cs="宋体"/>
                <w:i w:val="0"/>
                <w:color w:val="000000"/>
                <w:kern w:val="0"/>
                <w:sz w:val="22"/>
                <w:szCs w:val="22"/>
                <w:u w:val="none"/>
                <w:lang w:val="en-US" w:eastAsia="zh-CN" w:bidi="ar"/>
              </w:rPr>
              <w:t xml:space="preserve">398.80 </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新宋体" w:hAnsi="新宋体" w:eastAsia="新宋体" w:cs="新宋体"/>
                <w:sz w:val="21"/>
                <w:szCs w:val="21"/>
              </w:rPr>
            </w:pPr>
            <w:r>
              <w:rPr>
                <w:rFonts w:hint="eastAsia" w:ascii="宋体" w:hAnsi="宋体" w:eastAsia="宋体" w:cs="宋体"/>
                <w:i w:val="0"/>
                <w:color w:val="000000"/>
                <w:kern w:val="0"/>
                <w:sz w:val="22"/>
                <w:szCs w:val="22"/>
                <w:u w:val="none"/>
                <w:lang w:val="en-US" w:eastAsia="zh-CN" w:bidi="ar"/>
              </w:rPr>
              <w:t xml:space="preserve">398.80 </w:t>
            </w:r>
          </w:p>
        </w:tc>
      </w:tr>
      <w:tr>
        <w:tblPrEx>
          <w:tblLayout w:type="fixed"/>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公务用车购置和维护经费</w:t>
            </w:r>
          </w:p>
        </w:tc>
        <w:tc>
          <w:tcPr>
            <w:tcW w:w="195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新宋体" w:hAnsi="新宋体" w:eastAsia="新宋体" w:cs="新宋体"/>
                <w:color w:val="auto"/>
                <w:sz w:val="21"/>
                <w:szCs w:val="21"/>
              </w:rPr>
            </w:pPr>
            <w:r>
              <w:rPr>
                <w:rFonts w:hint="eastAsia" w:ascii="宋体" w:hAnsi="宋体" w:eastAsia="宋体" w:cs="宋体"/>
                <w:i w:val="0"/>
                <w:color w:val="auto"/>
                <w:kern w:val="0"/>
                <w:sz w:val="22"/>
                <w:szCs w:val="22"/>
                <w:u w:val="none"/>
                <w:lang w:val="en-US" w:eastAsia="zh-CN" w:bidi="ar"/>
              </w:rPr>
              <w:t xml:space="preserve">216.58 </w:t>
            </w:r>
          </w:p>
        </w:tc>
        <w:tc>
          <w:tcPr>
            <w:tcW w:w="2437"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新宋体" w:hAnsi="新宋体" w:eastAsia="新宋体" w:cs="新宋体"/>
                <w:color w:val="auto"/>
                <w:sz w:val="21"/>
                <w:szCs w:val="21"/>
              </w:rPr>
            </w:pPr>
            <w:r>
              <w:rPr>
                <w:rFonts w:hint="eastAsia" w:ascii="宋体" w:hAnsi="宋体" w:eastAsia="宋体" w:cs="宋体"/>
                <w:i w:val="0"/>
                <w:color w:val="auto"/>
                <w:kern w:val="0"/>
                <w:sz w:val="22"/>
                <w:szCs w:val="22"/>
                <w:u w:val="none"/>
                <w:lang w:val="en-US" w:eastAsia="zh-CN" w:bidi="ar"/>
              </w:rPr>
              <w:t xml:space="preserve">397.27 </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新宋体" w:hAnsi="新宋体" w:eastAsia="新宋体" w:cs="新宋体"/>
                <w:sz w:val="21"/>
                <w:szCs w:val="21"/>
              </w:rPr>
            </w:pPr>
            <w:r>
              <w:rPr>
                <w:rFonts w:hint="eastAsia" w:ascii="宋体" w:hAnsi="宋体" w:eastAsia="宋体" w:cs="宋体"/>
                <w:i w:val="0"/>
                <w:color w:val="000000"/>
                <w:kern w:val="0"/>
                <w:sz w:val="22"/>
                <w:szCs w:val="22"/>
                <w:u w:val="none"/>
                <w:lang w:val="en-US" w:eastAsia="zh-CN" w:bidi="ar"/>
              </w:rPr>
              <w:t xml:space="preserve">397.27 </w:t>
            </w:r>
          </w:p>
        </w:tc>
      </w:tr>
      <w:tr>
        <w:tblPrEx>
          <w:tblLayout w:type="fixed"/>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其中：公车购置</w:t>
            </w:r>
          </w:p>
        </w:tc>
        <w:tc>
          <w:tcPr>
            <w:tcW w:w="195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新宋体" w:hAnsi="新宋体" w:eastAsia="新宋体" w:cs="新宋体"/>
                <w:color w:val="auto"/>
                <w:sz w:val="21"/>
                <w:szCs w:val="21"/>
              </w:rPr>
            </w:pPr>
            <w:r>
              <w:rPr>
                <w:rFonts w:hint="eastAsia" w:ascii="宋体" w:hAnsi="宋体" w:eastAsia="宋体" w:cs="宋体"/>
                <w:i w:val="0"/>
                <w:color w:val="auto"/>
                <w:kern w:val="0"/>
                <w:sz w:val="22"/>
                <w:szCs w:val="22"/>
                <w:u w:val="none"/>
                <w:lang w:val="en-US" w:eastAsia="zh-CN" w:bidi="ar"/>
              </w:rPr>
              <w:t xml:space="preserve">80.65 </w:t>
            </w:r>
          </w:p>
        </w:tc>
        <w:tc>
          <w:tcPr>
            <w:tcW w:w="2437"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新宋体" w:hAnsi="新宋体" w:eastAsia="新宋体" w:cs="新宋体"/>
                <w:color w:val="auto"/>
                <w:sz w:val="21"/>
                <w:szCs w:val="21"/>
              </w:rPr>
            </w:pPr>
            <w:r>
              <w:rPr>
                <w:rFonts w:hint="eastAsia" w:ascii="宋体" w:hAnsi="宋体" w:eastAsia="宋体" w:cs="宋体"/>
                <w:i w:val="0"/>
                <w:color w:val="auto"/>
                <w:kern w:val="0"/>
                <w:sz w:val="22"/>
                <w:szCs w:val="22"/>
                <w:u w:val="none"/>
                <w:lang w:val="en-US" w:eastAsia="zh-CN" w:bidi="ar"/>
              </w:rPr>
              <w:t xml:space="preserve">249.79 </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新宋体" w:hAnsi="新宋体" w:eastAsia="新宋体" w:cs="新宋体"/>
                <w:sz w:val="21"/>
                <w:szCs w:val="21"/>
              </w:rPr>
            </w:pPr>
            <w:r>
              <w:rPr>
                <w:rFonts w:hint="eastAsia" w:ascii="宋体" w:hAnsi="宋体" w:eastAsia="宋体" w:cs="宋体"/>
                <w:i w:val="0"/>
                <w:color w:val="000000"/>
                <w:kern w:val="0"/>
                <w:sz w:val="22"/>
                <w:szCs w:val="22"/>
                <w:u w:val="none"/>
                <w:lang w:val="en-US" w:eastAsia="zh-CN" w:bidi="ar"/>
              </w:rPr>
              <w:t xml:space="preserve">249.79 </w:t>
            </w:r>
          </w:p>
        </w:tc>
      </w:tr>
      <w:tr>
        <w:tblPrEx>
          <w:tblLayout w:type="fixed"/>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公车运行维护</w:t>
            </w:r>
          </w:p>
        </w:tc>
        <w:tc>
          <w:tcPr>
            <w:tcW w:w="195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新宋体" w:hAnsi="新宋体" w:eastAsia="新宋体" w:cs="新宋体"/>
                <w:color w:val="auto"/>
                <w:sz w:val="21"/>
                <w:szCs w:val="21"/>
              </w:rPr>
            </w:pPr>
            <w:r>
              <w:rPr>
                <w:rFonts w:hint="eastAsia" w:ascii="宋体" w:hAnsi="宋体" w:eastAsia="宋体" w:cs="宋体"/>
                <w:i w:val="0"/>
                <w:color w:val="auto"/>
                <w:kern w:val="0"/>
                <w:sz w:val="22"/>
                <w:szCs w:val="22"/>
                <w:u w:val="none"/>
                <w:lang w:val="en-US" w:eastAsia="zh-CN" w:bidi="ar"/>
              </w:rPr>
              <w:t xml:space="preserve">135.93 </w:t>
            </w:r>
          </w:p>
        </w:tc>
        <w:tc>
          <w:tcPr>
            <w:tcW w:w="2437"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新宋体" w:hAnsi="新宋体" w:eastAsia="新宋体" w:cs="新宋体"/>
                <w:color w:val="auto"/>
                <w:sz w:val="21"/>
                <w:szCs w:val="21"/>
              </w:rPr>
            </w:pPr>
            <w:r>
              <w:rPr>
                <w:rFonts w:hint="eastAsia" w:ascii="宋体" w:hAnsi="宋体" w:eastAsia="宋体" w:cs="宋体"/>
                <w:i w:val="0"/>
                <w:color w:val="auto"/>
                <w:kern w:val="0"/>
                <w:sz w:val="22"/>
                <w:szCs w:val="22"/>
                <w:u w:val="none"/>
                <w:lang w:val="en-US" w:eastAsia="zh-CN" w:bidi="ar"/>
              </w:rPr>
              <w:t xml:space="preserve">147.48 </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新宋体" w:hAnsi="新宋体" w:eastAsia="新宋体" w:cs="新宋体"/>
                <w:sz w:val="21"/>
                <w:szCs w:val="21"/>
              </w:rPr>
            </w:pPr>
            <w:r>
              <w:rPr>
                <w:rFonts w:hint="eastAsia" w:ascii="宋体" w:hAnsi="宋体" w:eastAsia="宋体" w:cs="宋体"/>
                <w:i w:val="0"/>
                <w:color w:val="000000"/>
                <w:kern w:val="0"/>
                <w:sz w:val="22"/>
                <w:szCs w:val="22"/>
                <w:u w:val="none"/>
                <w:lang w:val="en-US" w:eastAsia="zh-CN" w:bidi="ar"/>
              </w:rPr>
              <w:t xml:space="preserve">147.48 </w:t>
            </w:r>
          </w:p>
        </w:tc>
      </w:tr>
      <w:tr>
        <w:tblPrEx>
          <w:tblLayout w:type="fixed"/>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出国经费</w:t>
            </w:r>
          </w:p>
        </w:tc>
        <w:tc>
          <w:tcPr>
            <w:tcW w:w="195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新宋体" w:hAnsi="新宋体" w:eastAsia="新宋体" w:cs="新宋体"/>
                <w:color w:val="auto"/>
                <w:sz w:val="21"/>
                <w:szCs w:val="21"/>
                <w:lang w:val="en-US" w:eastAsia="zh-CN"/>
              </w:rPr>
            </w:pPr>
            <w:r>
              <w:rPr>
                <w:rFonts w:hint="eastAsia" w:ascii="新宋体" w:hAnsi="新宋体" w:eastAsia="新宋体" w:cs="新宋体"/>
                <w:color w:val="auto"/>
                <w:sz w:val="21"/>
                <w:szCs w:val="21"/>
                <w:lang w:val="en-US" w:eastAsia="zh-CN"/>
              </w:rPr>
              <w:t>0</w:t>
            </w:r>
          </w:p>
        </w:tc>
        <w:tc>
          <w:tcPr>
            <w:tcW w:w="2437"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新宋体" w:hAnsi="新宋体" w:eastAsia="新宋体" w:cs="新宋体"/>
                <w:color w:val="auto"/>
                <w:sz w:val="21"/>
                <w:szCs w:val="21"/>
                <w:lang w:val="en-US" w:eastAsia="zh-CN"/>
              </w:rPr>
            </w:pPr>
            <w:r>
              <w:rPr>
                <w:rFonts w:hint="eastAsia" w:ascii="新宋体" w:hAnsi="新宋体" w:eastAsia="新宋体" w:cs="新宋体"/>
                <w:color w:val="auto"/>
                <w:sz w:val="21"/>
                <w:szCs w:val="21"/>
                <w:lang w:val="en-US" w:eastAsia="zh-CN"/>
              </w:rPr>
              <w:t>0</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r>
      <w:tr>
        <w:tblPrEx>
          <w:tblLayout w:type="fixed"/>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3</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公务接待</w:t>
            </w:r>
          </w:p>
        </w:tc>
        <w:tc>
          <w:tcPr>
            <w:tcW w:w="195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新宋体" w:hAnsi="新宋体" w:eastAsia="新宋体" w:cs="新宋体"/>
                <w:color w:val="auto"/>
                <w:sz w:val="21"/>
                <w:szCs w:val="21"/>
              </w:rPr>
            </w:pPr>
            <w:r>
              <w:rPr>
                <w:rFonts w:hint="eastAsia" w:ascii="宋体" w:hAnsi="宋体" w:eastAsia="宋体" w:cs="宋体"/>
                <w:i w:val="0"/>
                <w:color w:val="auto"/>
                <w:kern w:val="0"/>
                <w:sz w:val="22"/>
                <w:szCs w:val="22"/>
                <w:u w:val="none"/>
                <w:lang w:val="en-US" w:eastAsia="zh-CN" w:bidi="ar"/>
              </w:rPr>
              <w:t xml:space="preserve">1.91 </w:t>
            </w:r>
          </w:p>
        </w:tc>
        <w:tc>
          <w:tcPr>
            <w:tcW w:w="2437"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新宋体" w:hAnsi="新宋体" w:eastAsia="新宋体" w:cs="新宋体"/>
                <w:color w:val="auto"/>
                <w:sz w:val="21"/>
                <w:szCs w:val="21"/>
              </w:rPr>
            </w:pPr>
            <w:r>
              <w:rPr>
                <w:rFonts w:hint="eastAsia" w:ascii="宋体" w:hAnsi="宋体" w:eastAsia="宋体" w:cs="宋体"/>
                <w:i w:val="0"/>
                <w:color w:val="auto"/>
                <w:kern w:val="0"/>
                <w:sz w:val="22"/>
                <w:szCs w:val="22"/>
                <w:u w:val="none"/>
                <w:lang w:val="en-US" w:eastAsia="zh-CN" w:bidi="ar"/>
              </w:rPr>
              <w:t xml:space="preserve">1.53 </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新宋体" w:hAnsi="新宋体" w:eastAsia="新宋体" w:cs="新宋体"/>
                <w:sz w:val="21"/>
                <w:szCs w:val="21"/>
              </w:rPr>
            </w:pPr>
            <w:r>
              <w:rPr>
                <w:rFonts w:hint="eastAsia" w:ascii="宋体" w:hAnsi="宋体" w:eastAsia="宋体" w:cs="宋体"/>
                <w:i w:val="0"/>
                <w:color w:val="000000"/>
                <w:kern w:val="0"/>
                <w:sz w:val="22"/>
                <w:szCs w:val="22"/>
                <w:u w:val="none"/>
                <w:lang w:val="en-US" w:eastAsia="zh-CN" w:bidi="ar"/>
              </w:rPr>
              <w:t xml:space="preserve">1.53 </w:t>
            </w:r>
          </w:p>
        </w:tc>
      </w:tr>
      <w:tr>
        <w:tblPrEx>
          <w:tblLayout w:type="fixed"/>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二、</w:t>
            </w:r>
            <w:r>
              <w:rPr>
                <w:rFonts w:hint="eastAsia" w:ascii="新宋体" w:hAnsi="新宋体" w:eastAsia="新宋体" w:cs="新宋体"/>
                <w:sz w:val="21"/>
                <w:szCs w:val="21"/>
              </w:rPr>
              <w:t>项目支出：</w:t>
            </w:r>
          </w:p>
        </w:tc>
        <w:tc>
          <w:tcPr>
            <w:tcW w:w="195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新宋体" w:hAnsi="新宋体" w:eastAsia="新宋体" w:cs="新宋体"/>
                <w:color w:val="auto"/>
                <w:sz w:val="21"/>
                <w:szCs w:val="21"/>
              </w:rPr>
            </w:pPr>
            <w:r>
              <w:rPr>
                <w:rFonts w:hint="eastAsia" w:ascii="宋体" w:hAnsi="宋体" w:eastAsia="宋体" w:cs="宋体"/>
                <w:i w:val="0"/>
                <w:color w:val="auto"/>
                <w:kern w:val="0"/>
                <w:sz w:val="22"/>
                <w:szCs w:val="22"/>
                <w:u w:val="none"/>
                <w:lang w:val="en-US" w:eastAsia="zh-CN" w:bidi="ar"/>
              </w:rPr>
              <w:t xml:space="preserve">2232.75 </w:t>
            </w:r>
          </w:p>
        </w:tc>
        <w:tc>
          <w:tcPr>
            <w:tcW w:w="2437"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新宋体" w:hAnsi="新宋体" w:eastAsia="新宋体" w:cs="新宋体"/>
                <w:color w:val="auto"/>
                <w:sz w:val="21"/>
                <w:szCs w:val="21"/>
              </w:rPr>
            </w:pPr>
            <w:r>
              <w:rPr>
                <w:rFonts w:hint="eastAsia" w:ascii="宋体" w:hAnsi="宋体" w:eastAsia="宋体" w:cs="宋体"/>
                <w:i w:val="0"/>
                <w:color w:val="auto"/>
                <w:kern w:val="0"/>
                <w:sz w:val="22"/>
                <w:szCs w:val="22"/>
                <w:u w:val="none"/>
                <w:lang w:val="en-US" w:eastAsia="zh-CN" w:bidi="ar"/>
              </w:rPr>
              <w:t xml:space="preserve">507.97 </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新宋体" w:hAnsi="新宋体" w:eastAsia="新宋体" w:cs="新宋体"/>
                <w:sz w:val="21"/>
                <w:szCs w:val="21"/>
              </w:rPr>
            </w:pPr>
            <w:r>
              <w:rPr>
                <w:rFonts w:hint="eastAsia" w:ascii="宋体" w:hAnsi="宋体" w:eastAsia="宋体" w:cs="宋体"/>
                <w:i w:val="0"/>
                <w:color w:val="000000"/>
                <w:kern w:val="0"/>
                <w:sz w:val="22"/>
                <w:szCs w:val="22"/>
                <w:u w:val="none"/>
                <w:lang w:val="en-US" w:eastAsia="zh-CN" w:bidi="ar"/>
              </w:rPr>
              <w:t xml:space="preserve">507.97 </w:t>
            </w:r>
          </w:p>
        </w:tc>
      </w:tr>
      <w:tr>
        <w:tblPrEx>
          <w:tblLayout w:type="fixed"/>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color w:val="000000" w:themeColor="text1"/>
                <w:sz w:val="21"/>
                <w:szCs w:val="21"/>
                <w14:textFill>
                  <w14:solidFill>
                    <w14:schemeClr w14:val="tx1"/>
                  </w14:solidFill>
                </w14:textFill>
              </w:rPr>
            </w:pPr>
            <w:r>
              <w:rPr>
                <w:rFonts w:hint="eastAsia" w:ascii="新宋体" w:hAnsi="新宋体" w:eastAsia="新宋体" w:cs="新宋体"/>
                <w:color w:val="000000" w:themeColor="text1"/>
                <w:sz w:val="21"/>
                <w:szCs w:val="21"/>
                <w14:textFill>
                  <w14:solidFill>
                    <w14:schemeClr w14:val="tx1"/>
                  </w14:solidFill>
                </w14:textFill>
              </w:rPr>
              <w:t>1</w:t>
            </w:r>
            <w:r>
              <w:rPr>
                <w:rFonts w:hint="eastAsia" w:ascii="新宋体" w:hAnsi="新宋体" w:eastAsia="新宋体" w:cs="新宋体"/>
                <w:color w:val="000000" w:themeColor="text1"/>
                <w:sz w:val="21"/>
                <w:szCs w:val="21"/>
                <w:lang w:val="en-US" w:eastAsia="zh-CN"/>
                <w14:textFill>
                  <w14:solidFill>
                    <w14:schemeClr w14:val="tx1"/>
                  </w14:solidFill>
                </w14:textFill>
              </w:rPr>
              <w:t>.</w:t>
            </w:r>
            <w:r>
              <w:rPr>
                <w:rFonts w:hint="eastAsia" w:ascii="新宋体" w:hAnsi="新宋体" w:eastAsia="新宋体" w:cs="新宋体"/>
                <w:color w:val="000000" w:themeColor="text1"/>
                <w:sz w:val="21"/>
                <w:szCs w:val="21"/>
                <w:lang w:eastAsia="zh-CN"/>
                <w14:textFill>
                  <w14:solidFill>
                    <w14:schemeClr w14:val="tx1"/>
                  </w14:solidFill>
                </w14:textFill>
              </w:rPr>
              <w:t>万庾派出所建设</w:t>
            </w:r>
          </w:p>
        </w:tc>
        <w:tc>
          <w:tcPr>
            <w:tcW w:w="195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新宋体" w:hAnsi="新宋体" w:eastAsia="新宋体" w:cs="新宋体"/>
                <w:color w:val="auto"/>
                <w:sz w:val="21"/>
                <w:szCs w:val="21"/>
                <w:lang w:val="en-US" w:eastAsia="zh-CN"/>
              </w:rPr>
            </w:pPr>
            <w:r>
              <w:rPr>
                <w:rFonts w:hint="eastAsia" w:ascii="宋体" w:hAnsi="宋体" w:eastAsia="宋体" w:cs="宋体"/>
                <w:i w:val="0"/>
                <w:color w:val="auto"/>
                <w:kern w:val="0"/>
                <w:sz w:val="22"/>
                <w:szCs w:val="22"/>
                <w:u w:val="none"/>
                <w:lang w:val="en-US" w:eastAsia="zh-CN" w:bidi="ar"/>
              </w:rPr>
              <w:t xml:space="preserve">336 </w:t>
            </w:r>
          </w:p>
        </w:tc>
        <w:tc>
          <w:tcPr>
            <w:tcW w:w="2437"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新宋体" w:hAnsi="新宋体" w:eastAsia="新宋体" w:cs="新宋体"/>
                <w:color w:val="auto"/>
                <w:sz w:val="21"/>
                <w:szCs w:val="21"/>
              </w:rPr>
            </w:pPr>
            <w:r>
              <w:rPr>
                <w:rFonts w:hint="eastAsia" w:ascii="宋体" w:hAnsi="宋体" w:eastAsia="宋体" w:cs="宋体"/>
                <w:i w:val="0"/>
                <w:color w:val="auto"/>
                <w:kern w:val="0"/>
                <w:sz w:val="22"/>
                <w:szCs w:val="22"/>
                <w:u w:val="none"/>
                <w:lang w:val="en-US" w:eastAsia="zh-CN" w:bidi="ar"/>
              </w:rPr>
              <w:t xml:space="preserve">5.33 </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新宋体" w:hAnsi="新宋体" w:eastAsia="新宋体" w:cs="新宋体"/>
                <w:sz w:val="21"/>
                <w:szCs w:val="21"/>
              </w:rPr>
            </w:pPr>
            <w:r>
              <w:rPr>
                <w:rFonts w:hint="eastAsia" w:ascii="宋体" w:hAnsi="宋体" w:eastAsia="宋体" w:cs="宋体"/>
                <w:i w:val="0"/>
                <w:color w:val="000000"/>
                <w:kern w:val="0"/>
                <w:sz w:val="22"/>
                <w:szCs w:val="22"/>
                <w:u w:val="none"/>
                <w:lang w:val="en-US" w:eastAsia="zh-CN" w:bidi="ar"/>
              </w:rPr>
              <w:t xml:space="preserve">5.33 </w:t>
            </w:r>
          </w:p>
        </w:tc>
      </w:tr>
      <w:tr>
        <w:tblPrEx>
          <w:tblLayout w:type="fixed"/>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color w:val="000000" w:themeColor="text1"/>
                <w:sz w:val="21"/>
                <w:szCs w:val="21"/>
                <w14:textFill>
                  <w14:solidFill>
                    <w14:schemeClr w14:val="tx1"/>
                  </w14:solidFill>
                </w14:textFill>
              </w:rPr>
            </w:pPr>
            <w:r>
              <w:rPr>
                <w:rFonts w:hint="eastAsia" w:ascii="新宋体" w:hAnsi="新宋体" w:eastAsia="新宋体" w:cs="新宋体"/>
                <w:color w:val="000000" w:themeColor="text1"/>
                <w:sz w:val="21"/>
                <w:szCs w:val="21"/>
                <w14:textFill>
                  <w14:solidFill>
                    <w14:schemeClr w14:val="tx1"/>
                  </w14:solidFill>
                </w14:textFill>
              </w:rPr>
              <w:t>2</w:t>
            </w:r>
            <w:r>
              <w:rPr>
                <w:rFonts w:hint="eastAsia" w:ascii="新宋体" w:hAnsi="新宋体" w:eastAsia="新宋体" w:cs="新宋体"/>
                <w:color w:val="000000" w:themeColor="text1"/>
                <w:sz w:val="21"/>
                <w:szCs w:val="21"/>
                <w:lang w:val="en-US" w:eastAsia="zh-CN"/>
                <w14:textFill>
                  <w14:solidFill>
                    <w14:schemeClr w14:val="tx1"/>
                  </w14:solidFill>
                </w14:textFill>
              </w:rPr>
              <w:t>.公安业务技术用房建设</w:t>
            </w:r>
          </w:p>
        </w:tc>
        <w:tc>
          <w:tcPr>
            <w:tcW w:w="195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新宋体" w:hAnsi="新宋体" w:eastAsia="新宋体" w:cs="新宋体"/>
                <w:color w:val="auto"/>
                <w:sz w:val="21"/>
                <w:szCs w:val="21"/>
                <w:lang w:val="en-US" w:eastAsia="zh-CN"/>
              </w:rPr>
            </w:pPr>
            <w:r>
              <w:rPr>
                <w:rFonts w:hint="eastAsia" w:ascii="宋体" w:hAnsi="宋体" w:eastAsia="宋体" w:cs="宋体"/>
                <w:i w:val="0"/>
                <w:color w:val="auto"/>
                <w:kern w:val="0"/>
                <w:sz w:val="22"/>
                <w:szCs w:val="22"/>
                <w:u w:val="none"/>
                <w:lang w:val="en-US" w:eastAsia="zh-CN" w:bidi="ar"/>
              </w:rPr>
              <w:t>50</w:t>
            </w:r>
          </w:p>
        </w:tc>
        <w:tc>
          <w:tcPr>
            <w:tcW w:w="2437"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新宋体" w:hAnsi="新宋体" w:eastAsia="新宋体" w:cs="新宋体"/>
                <w:color w:val="auto"/>
                <w:sz w:val="21"/>
                <w:szCs w:val="21"/>
              </w:rPr>
            </w:pPr>
            <w:r>
              <w:rPr>
                <w:rFonts w:hint="eastAsia" w:ascii="宋体" w:hAnsi="宋体" w:eastAsia="宋体" w:cs="宋体"/>
                <w:i w:val="0"/>
                <w:color w:val="auto"/>
                <w:kern w:val="0"/>
                <w:sz w:val="22"/>
                <w:szCs w:val="22"/>
                <w:u w:val="none"/>
                <w:lang w:val="en-US" w:eastAsia="zh-CN" w:bidi="ar"/>
              </w:rPr>
              <w:t>327</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新宋体" w:hAnsi="新宋体" w:eastAsia="新宋体" w:cs="新宋体"/>
                <w:sz w:val="21"/>
                <w:szCs w:val="21"/>
              </w:rPr>
            </w:pPr>
            <w:r>
              <w:rPr>
                <w:rFonts w:hint="eastAsia" w:ascii="宋体" w:hAnsi="宋体" w:eastAsia="宋体" w:cs="宋体"/>
                <w:i w:val="0"/>
                <w:color w:val="000000"/>
                <w:kern w:val="0"/>
                <w:sz w:val="22"/>
                <w:szCs w:val="22"/>
                <w:u w:val="none"/>
                <w:lang w:val="en-US" w:eastAsia="zh-CN" w:bidi="ar"/>
              </w:rPr>
              <w:t xml:space="preserve">327 </w:t>
            </w:r>
          </w:p>
        </w:tc>
      </w:tr>
      <w:tr>
        <w:tblPrEx>
          <w:tblLayout w:type="fixed"/>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color w:val="000000" w:themeColor="text1"/>
                <w:sz w:val="21"/>
                <w:szCs w:val="21"/>
                <w:lang w:val="en-US" w:eastAsia="zh-CN"/>
                <w14:textFill>
                  <w14:solidFill>
                    <w14:schemeClr w14:val="tx1"/>
                  </w14:solidFill>
                </w14:textFill>
              </w:rPr>
            </w:pPr>
            <w:r>
              <w:rPr>
                <w:rFonts w:hint="eastAsia" w:ascii="新宋体" w:hAnsi="新宋体" w:eastAsia="新宋体" w:cs="新宋体"/>
                <w:color w:val="000000" w:themeColor="text1"/>
                <w:sz w:val="21"/>
                <w:szCs w:val="21"/>
                <w:lang w:val="en-US" w:eastAsia="zh-CN"/>
                <w14:textFill>
                  <w14:solidFill>
                    <w14:schemeClr w14:val="tx1"/>
                  </w14:solidFill>
                </w14:textFill>
              </w:rPr>
              <w:t>3.鲇鱼须派出所建设</w:t>
            </w:r>
          </w:p>
        </w:tc>
        <w:tc>
          <w:tcPr>
            <w:tcW w:w="195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新宋体" w:hAnsi="新宋体" w:eastAsia="新宋体" w:cs="新宋体"/>
                <w:color w:val="auto"/>
                <w:sz w:val="21"/>
                <w:szCs w:val="21"/>
                <w:lang w:val="en-US" w:eastAsia="zh-CN"/>
              </w:rPr>
            </w:pPr>
          </w:p>
        </w:tc>
        <w:tc>
          <w:tcPr>
            <w:tcW w:w="2437"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新宋体" w:hAnsi="新宋体" w:eastAsia="新宋体" w:cs="新宋体"/>
                <w:color w:val="auto"/>
                <w:sz w:val="21"/>
                <w:szCs w:val="21"/>
              </w:rPr>
            </w:pPr>
            <w:r>
              <w:rPr>
                <w:rFonts w:hint="eastAsia" w:ascii="宋体" w:hAnsi="宋体" w:eastAsia="宋体" w:cs="宋体"/>
                <w:i w:val="0"/>
                <w:color w:val="auto"/>
                <w:kern w:val="0"/>
                <w:sz w:val="22"/>
                <w:szCs w:val="22"/>
                <w:u w:val="none"/>
                <w:lang w:val="en-US" w:eastAsia="zh-CN" w:bidi="ar"/>
              </w:rPr>
              <w:t xml:space="preserve">152.31 </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新宋体" w:hAnsi="新宋体" w:eastAsia="新宋体" w:cs="新宋体"/>
                <w:sz w:val="21"/>
                <w:szCs w:val="21"/>
              </w:rPr>
            </w:pPr>
            <w:r>
              <w:rPr>
                <w:rFonts w:hint="eastAsia" w:ascii="宋体" w:hAnsi="宋体" w:eastAsia="宋体" w:cs="宋体"/>
                <w:i w:val="0"/>
                <w:color w:val="000000"/>
                <w:kern w:val="0"/>
                <w:sz w:val="22"/>
                <w:szCs w:val="22"/>
                <w:u w:val="none"/>
                <w:lang w:val="en-US" w:eastAsia="zh-CN" w:bidi="ar"/>
              </w:rPr>
              <w:t xml:space="preserve">152.31 </w:t>
            </w:r>
          </w:p>
        </w:tc>
      </w:tr>
      <w:tr>
        <w:tblPrEx>
          <w:tblLayout w:type="fixed"/>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color w:val="000000" w:themeColor="text1"/>
                <w:sz w:val="21"/>
                <w:szCs w:val="21"/>
                <w:lang w:val="en-US" w:eastAsia="zh-CN"/>
                <w14:textFill>
                  <w14:solidFill>
                    <w14:schemeClr w14:val="tx1"/>
                  </w14:solidFill>
                </w14:textFill>
              </w:rPr>
            </w:pPr>
            <w:r>
              <w:rPr>
                <w:rFonts w:hint="eastAsia" w:ascii="新宋体" w:hAnsi="新宋体" w:eastAsia="新宋体" w:cs="新宋体"/>
                <w:color w:val="000000" w:themeColor="text1"/>
                <w:sz w:val="21"/>
                <w:szCs w:val="21"/>
                <w:lang w:val="en-US" w:eastAsia="zh-CN"/>
                <w14:textFill>
                  <w14:solidFill>
                    <w14:schemeClr w14:val="tx1"/>
                  </w14:solidFill>
                </w14:textFill>
              </w:rPr>
              <w:t>4.警犬基地建设工程</w:t>
            </w:r>
          </w:p>
        </w:tc>
        <w:tc>
          <w:tcPr>
            <w:tcW w:w="195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新宋体" w:hAnsi="新宋体" w:eastAsia="新宋体" w:cs="新宋体"/>
                <w:color w:val="000000" w:themeColor="text1"/>
                <w:sz w:val="21"/>
                <w:szCs w:val="21"/>
                <w:lang w:val="en-US"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 xml:space="preserve">32.25 </w:t>
            </w:r>
          </w:p>
        </w:tc>
        <w:tc>
          <w:tcPr>
            <w:tcW w:w="2437"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新宋体" w:hAnsi="新宋体" w:eastAsia="新宋体" w:cs="新宋体"/>
                <w:sz w:val="21"/>
                <w:szCs w:val="21"/>
              </w:rPr>
            </w:pPr>
            <w:r>
              <w:rPr>
                <w:rFonts w:hint="eastAsia" w:ascii="宋体" w:hAnsi="宋体" w:eastAsia="宋体" w:cs="宋体"/>
                <w:i w:val="0"/>
                <w:color w:val="000000"/>
                <w:kern w:val="0"/>
                <w:sz w:val="22"/>
                <w:szCs w:val="22"/>
                <w:u w:val="none"/>
                <w:lang w:val="en-US" w:eastAsia="zh-CN" w:bidi="ar"/>
              </w:rPr>
              <w:t xml:space="preserve">23.34 </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新宋体" w:hAnsi="新宋体" w:eastAsia="新宋体" w:cs="新宋体"/>
                <w:sz w:val="21"/>
                <w:szCs w:val="21"/>
              </w:rPr>
            </w:pPr>
            <w:r>
              <w:rPr>
                <w:rFonts w:hint="eastAsia" w:ascii="宋体" w:hAnsi="宋体" w:eastAsia="宋体" w:cs="宋体"/>
                <w:i w:val="0"/>
                <w:color w:val="000000"/>
                <w:kern w:val="0"/>
                <w:sz w:val="22"/>
                <w:szCs w:val="22"/>
                <w:u w:val="none"/>
                <w:lang w:val="en-US" w:eastAsia="zh-CN" w:bidi="ar"/>
              </w:rPr>
              <w:t xml:space="preserve">23.34 </w:t>
            </w:r>
          </w:p>
        </w:tc>
      </w:tr>
      <w:tr>
        <w:tblPrEx>
          <w:tblLayout w:type="fixed"/>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厉行节约保障措施</w:t>
            </w:r>
          </w:p>
        </w:tc>
        <w:tc>
          <w:tcPr>
            <w:tcW w:w="6066" w:type="dxa"/>
            <w:gridSpan w:val="3"/>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eastAsia="zh-CN"/>
              </w:rPr>
            </w:pPr>
            <w:r>
              <w:rPr>
                <w:rFonts w:hint="eastAsia" w:ascii="新宋体" w:hAnsi="新宋体" w:eastAsia="新宋体" w:cs="新宋体"/>
                <w:sz w:val="21"/>
                <w:szCs w:val="21"/>
                <w:lang w:eastAsia="zh-CN"/>
              </w:rPr>
              <w:t>牢固树立过“紧日子”思想</w:t>
            </w:r>
          </w:p>
        </w:tc>
      </w:tr>
    </w:tbl>
    <w:p>
      <w:pPr>
        <w:widowControl/>
        <w:spacing w:afterLines="0" w:line="400" w:lineRule="exact"/>
        <w:jc w:val="left"/>
        <w:rPr>
          <w:rFonts w:hint="eastAsia" w:ascii="新宋体" w:hAnsi="新宋体" w:eastAsia="新宋体" w:cs="新宋体"/>
          <w:sz w:val="21"/>
          <w:szCs w:val="21"/>
          <w:lang w:eastAsia="zh-CN"/>
        </w:rPr>
      </w:pPr>
      <w:r>
        <w:rPr>
          <w:rFonts w:hint="eastAsia" w:ascii="新宋体" w:hAnsi="新宋体" w:eastAsia="新宋体" w:cs="新宋体"/>
          <w:sz w:val="21"/>
          <w:szCs w:val="21"/>
        </w:rPr>
        <w:t>说明：</w:t>
      </w:r>
      <w:r>
        <w:rPr>
          <w:rFonts w:hint="eastAsia" w:ascii="新宋体" w:hAnsi="新宋体" w:eastAsia="新宋体" w:cs="新宋体"/>
          <w:sz w:val="21"/>
          <w:szCs w:val="21"/>
          <w:lang w:eastAsia="zh-CN"/>
        </w:rPr>
        <w:t>以上数据均来源于</w:t>
      </w:r>
      <w:r>
        <w:rPr>
          <w:rFonts w:hint="eastAsia" w:ascii="新宋体" w:hAnsi="新宋体" w:eastAsia="新宋体" w:cs="新宋体"/>
          <w:sz w:val="21"/>
          <w:szCs w:val="21"/>
          <w:lang w:val="en-US" w:eastAsia="zh-CN"/>
        </w:rPr>
        <w:t>部门决算报表，其中</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基本支出</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数据参照基本支出决算明细表（财决</w:t>
      </w:r>
      <w:r>
        <w:rPr>
          <w:rFonts w:hint="eastAsia" w:ascii="新宋体" w:hAnsi="新宋体" w:eastAsia="新宋体" w:cs="新宋体"/>
          <w:sz w:val="21"/>
          <w:szCs w:val="21"/>
          <w:lang w:val="en-US" w:eastAsia="zh-CN"/>
        </w:rPr>
        <w:t>05-1表</w:t>
      </w:r>
      <w:r>
        <w:rPr>
          <w:rFonts w:hint="eastAsia" w:ascii="新宋体" w:hAnsi="新宋体" w:eastAsia="新宋体" w:cs="新宋体"/>
          <w:sz w:val="21"/>
          <w:szCs w:val="21"/>
          <w:lang w:eastAsia="zh-CN"/>
        </w:rPr>
        <w:t>）；“三公经费”数据参照机构运行信息表（财决附</w:t>
      </w:r>
      <w:r>
        <w:rPr>
          <w:rFonts w:hint="eastAsia" w:ascii="新宋体" w:hAnsi="新宋体" w:eastAsia="新宋体" w:cs="新宋体"/>
          <w:sz w:val="21"/>
          <w:szCs w:val="21"/>
          <w:lang w:val="en-US" w:eastAsia="zh-CN"/>
        </w:rPr>
        <w:t>03表</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“项目支出”</w:t>
      </w:r>
      <w:r>
        <w:rPr>
          <w:rFonts w:hint="eastAsia" w:ascii="新宋体" w:hAnsi="新宋体" w:eastAsia="新宋体" w:cs="新宋体"/>
          <w:sz w:val="21"/>
          <w:szCs w:val="21"/>
          <w:lang w:eastAsia="zh-CN"/>
        </w:rPr>
        <w:t>数据参照项目支出决算明细表（财决</w:t>
      </w:r>
      <w:r>
        <w:rPr>
          <w:rFonts w:hint="eastAsia" w:ascii="新宋体" w:hAnsi="新宋体" w:eastAsia="新宋体" w:cs="新宋体"/>
          <w:sz w:val="21"/>
          <w:szCs w:val="21"/>
          <w:lang w:val="en-US" w:eastAsia="zh-CN"/>
        </w:rPr>
        <w:t>05-2表</w:t>
      </w:r>
      <w:r>
        <w:rPr>
          <w:rFonts w:hint="eastAsia" w:ascii="新宋体" w:hAnsi="新宋体" w:eastAsia="新宋体" w:cs="新宋体"/>
          <w:sz w:val="21"/>
          <w:szCs w:val="21"/>
          <w:lang w:eastAsia="zh-CN"/>
        </w:rPr>
        <w:t>）。</w:t>
      </w:r>
    </w:p>
    <w:p>
      <w:pPr>
        <w:widowControl/>
        <w:spacing w:after="0" w:afterLines="0" w:line="400" w:lineRule="exact"/>
        <w:jc w:val="left"/>
        <w:rPr>
          <w:rFonts w:hint="default" w:ascii="Times New Roman" w:hAnsi="Times New Roman" w:eastAsia="仿宋_GB2312" w:cs="Times New Roman"/>
          <w:sz w:val="22"/>
        </w:rPr>
      </w:pPr>
    </w:p>
    <w:p>
      <w:pPr>
        <w:widowControl/>
        <w:spacing w:after="0" w:afterLines="0" w:line="400" w:lineRule="exact"/>
        <w:jc w:val="left"/>
        <w:rPr>
          <w:rFonts w:hint="eastAsia" w:ascii="Times New Roman" w:hAnsi="Times New Roman" w:eastAsia="黑体" w:cs="Times New Roman"/>
          <w:sz w:val="32"/>
          <w:szCs w:val="32"/>
          <w:lang w:eastAsia="zh-CN"/>
        </w:rPr>
      </w:pPr>
      <w:r>
        <w:rPr>
          <w:rFonts w:hint="default" w:ascii="Times New Roman" w:hAnsi="Times New Roman" w:eastAsia="仿宋_GB2312" w:cs="Times New Roman"/>
          <w:sz w:val="22"/>
        </w:rPr>
        <w:t>填表人：</w:t>
      </w:r>
      <w:r>
        <w:rPr>
          <w:rFonts w:hint="eastAsia" w:eastAsia="仿宋_GB2312" w:cs="Times New Roman"/>
          <w:sz w:val="22"/>
          <w:lang w:eastAsia="zh-CN"/>
        </w:rPr>
        <w:t>刘崇诚</w:t>
      </w:r>
      <w:r>
        <w:rPr>
          <w:rFonts w:hint="default" w:ascii="Times New Roman" w:hAnsi="Times New Roman" w:eastAsia="仿宋_GB2312" w:cs="Times New Roman"/>
          <w:sz w:val="22"/>
        </w:rPr>
        <w:t xml:space="preserve"> 填报日期：</w:t>
      </w:r>
      <w:r>
        <w:rPr>
          <w:rFonts w:hint="eastAsia" w:eastAsia="仿宋_GB2312" w:cs="Times New Roman"/>
          <w:sz w:val="22"/>
          <w:szCs w:val="22"/>
          <w:lang w:val="en-US" w:eastAsia="zh-CN"/>
        </w:rPr>
        <w:t>2023.7.4</w:t>
      </w:r>
      <w:r>
        <w:rPr>
          <w:rFonts w:hint="default" w:ascii="Times New Roman" w:hAnsi="Times New Roman" w:eastAsia="仿宋_GB2312" w:cs="Times New Roman"/>
          <w:sz w:val="22"/>
        </w:rPr>
        <w:t xml:space="preserve"> 联系电话：</w:t>
      </w:r>
      <w:r>
        <w:rPr>
          <w:rFonts w:hint="eastAsia" w:eastAsia="仿宋_GB2312" w:cs="Times New Roman"/>
          <w:sz w:val="22"/>
          <w:szCs w:val="22"/>
          <w:lang w:val="en-US" w:eastAsia="zh-CN"/>
        </w:rPr>
        <w:t xml:space="preserve">0730-4251027 </w:t>
      </w:r>
      <w:r>
        <w:rPr>
          <w:rFonts w:hint="default" w:ascii="Times New Roman" w:hAnsi="Times New Roman" w:eastAsia="仿宋_GB2312" w:cs="Times New Roman"/>
          <w:sz w:val="22"/>
        </w:rPr>
        <w:t>单位负责人签字：</w:t>
      </w:r>
      <w:r>
        <w:rPr>
          <w:rFonts w:hint="eastAsia" w:eastAsia="仿宋_GB2312" w:cs="Times New Roman"/>
          <w:sz w:val="22"/>
          <w:lang w:eastAsia="zh-CN"/>
        </w:rPr>
        <w:t>马克金</w:t>
      </w:r>
      <w:r>
        <w:rPr>
          <w:rFonts w:hint="default" w:ascii="Times New Roman" w:hAnsi="Times New Roman" w:eastAsia="仿宋_GB2312" w:cs="Times New Roman"/>
          <w:sz w:val="22"/>
        </w:rPr>
        <w:br w:type="page"/>
      </w:r>
      <w:r>
        <w:rPr>
          <w:rFonts w:hint="default" w:ascii="黑体" w:hAnsi="黑体" w:eastAsia="黑体" w:cs="黑体"/>
          <w:sz w:val="32"/>
          <w:szCs w:val="32"/>
          <w:lang w:eastAsia="zh-CN"/>
        </w:rPr>
        <w:t>附件</w:t>
      </w:r>
      <w:r>
        <w:rPr>
          <w:rFonts w:hint="eastAsia" w:ascii="黑体" w:hAnsi="黑体" w:eastAsia="黑体" w:cs="黑体"/>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年度部门整体支出绩效自评表</w:t>
      </w:r>
    </w:p>
    <w:tbl>
      <w:tblPr>
        <w:tblStyle w:val="8"/>
        <w:tblW w:w="9286" w:type="dxa"/>
        <w:jc w:val="center"/>
        <w:tblInd w:w="0" w:type="dxa"/>
        <w:tblLayout w:type="fixed"/>
        <w:tblCellMar>
          <w:top w:w="0" w:type="dxa"/>
          <w:left w:w="108" w:type="dxa"/>
          <w:bottom w:w="0" w:type="dxa"/>
          <w:right w:w="108" w:type="dxa"/>
        </w:tblCellMar>
      </w:tblPr>
      <w:tblGrid>
        <w:gridCol w:w="1099"/>
        <w:gridCol w:w="881"/>
        <w:gridCol w:w="867"/>
        <w:gridCol w:w="1149"/>
        <w:gridCol w:w="1011"/>
        <w:gridCol w:w="1072"/>
        <w:gridCol w:w="670"/>
        <w:gridCol w:w="943"/>
        <w:gridCol w:w="1594"/>
      </w:tblGrid>
      <w:tr>
        <w:tblPrEx>
          <w:tblLayout w:type="fixed"/>
          <w:tblCellMar>
            <w:top w:w="0" w:type="dxa"/>
            <w:left w:w="108" w:type="dxa"/>
            <w:bottom w:w="0" w:type="dxa"/>
            <w:right w:w="108" w:type="dxa"/>
          </w:tblCellMar>
        </w:tblPrEx>
        <w:trPr>
          <w:trHeight w:val="741"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县</w:t>
            </w:r>
            <w:r>
              <w:rPr>
                <w:rFonts w:hint="eastAsia" w:ascii="新宋体" w:hAnsi="新宋体" w:eastAsia="新宋体" w:cs="新宋体"/>
                <w:color w:val="000000"/>
                <w:sz w:val="21"/>
                <w:szCs w:val="21"/>
              </w:rPr>
              <w:t>级预算部门名称</w:t>
            </w:r>
          </w:p>
        </w:tc>
        <w:tc>
          <w:tcPr>
            <w:tcW w:w="8187" w:type="dxa"/>
            <w:gridSpan w:val="8"/>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lang w:eastAsia="zh-CN"/>
              </w:rPr>
            </w:pPr>
            <w:r>
              <w:rPr>
                <w:rFonts w:hint="eastAsia" w:ascii="新宋体" w:hAnsi="新宋体" w:eastAsia="新宋体" w:cs="新宋体"/>
                <w:color w:val="000000"/>
                <w:sz w:val="18"/>
                <w:szCs w:val="18"/>
                <w:lang w:eastAsia="zh-CN"/>
              </w:rPr>
              <w:t>华容县公安局</w:t>
            </w:r>
          </w:p>
        </w:tc>
      </w:tr>
      <w:tr>
        <w:tblPrEx>
          <w:tblLayout w:type="fixed"/>
          <w:tblCellMar>
            <w:top w:w="0" w:type="dxa"/>
            <w:left w:w="108" w:type="dxa"/>
            <w:bottom w:w="0" w:type="dxa"/>
            <w:right w:w="108" w:type="dxa"/>
          </w:tblCellMar>
        </w:tblPrEx>
        <w:trPr>
          <w:trHeight w:val="818" w:hRule="atLeast"/>
          <w:jc w:val="center"/>
        </w:trPr>
        <w:tc>
          <w:tcPr>
            <w:tcW w:w="1099" w:type="dxa"/>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预算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lang w:eastAsia="zh-CN"/>
              </w:rPr>
            </w:pPr>
            <w:r>
              <w:rPr>
                <w:rFonts w:hint="eastAsia" w:ascii="新宋体" w:hAnsi="新宋体" w:eastAsia="新宋体" w:cs="新宋体"/>
                <w:i w:val="0"/>
                <w:iCs w:val="0"/>
                <w:color w:val="000000"/>
                <w:sz w:val="21"/>
                <w:szCs w:val="21"/>
              </w:rPr>
              <w:t>申请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（万元）</w:t>
            </w:r>
          </w:p>
        </w:tc>
        <w:tc>
          <w:tcPr>
            <w:tcW w:w="1748" w:type="dxa"/>
            <w:gridSpan w:val="2"/>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p>
        </w:tc>
        <w:tc>
          <w:tcPr>
            <w:tcW w:w="1149"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年初</w:t>
            </w:r>
          </w:p>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预算数</w:t>
            </w:r>
          </w:p>
        </w:tc>
        <w:tc>
          <w:tcPr>
            <w:tcW w:w="1011"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全年</w:t>
            </w:r>
          </w:p>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预算数</w:t>
            </w:r>
          </w:p>
        </w:tc>
        <w:tc>
          <w:tcPr>
            <w:tcW w:w="1072"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全年</w:t>
            </w:r>
          </w:p>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执行数</w:t>
            </w:r>
          </w:p>
        </w:tc>
        <w:tc>
          <w:tcPr>
            <w:tcW w:w="670"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分值</w:t>
            </w:r>
          </w:p>
        </w:tc>
        <w:tc>
          <w:tcPr>
            <w:tcW w:w="943"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执行率</w:t>
            </w:r>
          </w:p>
        </w:tc>
        <w:tc>
          <w:tcPr>
            <w:tcW w:w="1594"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得分</w:t>
            </w:r>
          </w:p>
        </w:tc>
      </w:tr>
      <w:tr>
        <w:tblPrEx>
          <w:tblLayout w:type="fixed"/>
          <w:tblCellMar>
            <w:top w:w="0" w:type="dxa"/>
            <w:left w:w="108" w:type="dxa"/>
            <w:bottom w:w="0" w:type="dxa"/>
            <w:right w:w="108" w:type="dxa"/>
          </w:tblCellMar>
        </w:tblPrEx>
        <w:trPr>
          <w:trHeight w:val="675" w:hRule="atLeast"/>
          <w:jc w:val="center"/>
        </w:trPr>
        <w:tc>
          <w:tcPr>
            <w:tcW w:w="1099" w:type="dxa"/>
            <w:vMerge w:val="continue"/>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1748" w:type="dxa"/>
            <w:gridSpan w:val="2"/>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年度资金总额</w:t>
            </w:r>
          </w:p>
        </w:tc>
        <w:tc>
          <w:tcPr>
            <w:tcW w:w="1149" w:type="dxa"/>
            <w:tcBorders>
              <w:top w:val="nil"/>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新宋体" w:hAnsi="新宋体" w:eastAsia="新宋体" w:cs="新宋体"/>
                <w:color w:val="000000"/>
                <w:sz w:val="18"/>
                <w:szCs w:val="18"/>
              </w:rPr>
            </w:pPr>
            <w:r>
              <w:rPr>
                <w:rFonts w:hint="eastAsia" w:ascii="宋体" w:hAnsi="宋体" w:eastAsia="宋体" w:cs="宋体"/>
                <w:i w:val="0"/>
                <w:color w:val="000000"/>
                <w:kern w:val="0"/>
                <w:sz w:val="22"/>
                <w:szCs w:val="22"/>
                <w:u w:val="none"/>
                <w:lang w:val="en-US" w:eastAsia="zh-CN" w:bidi="ar"/>
              </w:rPr>
              <w:t xml:space="preserve">6349 </w:t>
            </w:r>
          </w:p>
        </w:tc>
        <w:tc>
          <w:tcPr>
            <w:tcW w:w="1011" w:type="dxa"/>
            <w:tcBorders>
              <w:top w:val="nil"/>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新宋体" w:hAnsi="新宋体" w:eastAsia="新宋体" w:cs="新宋体"/>
                <w:color w:val="000000"/>
                <w:sz w:val="18"/>
                <w:szCs w:val="18"/>
              </w:rPr>
            </w:pPr>
            <w:r>
              <w:rPr>
                <w:rFonts w:hint="eastAsia" w:ascii="宋体" w:hAnsi="宋体" w:eastAsia="宋体" w:cs="宋体"/>
                <w:i w:val="0"/>
                <w:color w:val="000000"/>
                <w:kern w:val="0"/>
                <w:sz w:val="22"/>
                <w:szCs w:val="22"/>
                <w:u w:val="none"/>
                <w:lang w:val="en-US" w:eastAsia="zh-CN" w:bidi="ar"/>
              </w:rPr>
              <w:t xml:space="preserve">10854.08 </w:t>
            </w:r>
          </w:p>
        </w:tc>
        <w:tc>
          <w:tcPr>
            <w:tcW w:w="1072" w:type="dxa"/>
            <w:tcBorders>
              <w:top w:val="nil"/>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新宋体" w:hAnsi="新宋体" w:eastAsia="新宋体" w:cs="新宋体"/>
                <w:color w:val="000000"/>
                <w:sz w:val="18"/>
                <w:szCs w:val="18"/>
              </w:rPr>
            </w:pPr>
            <w:r>
              <w:rPr>
                <w:rFonts w:hint="eastAsia" w:ascii="宋体" w:hAnsi="宋体" w:eastAsia="宋体" w:cs="宋体"/>
                <w:i w:val="0"/>
                <w:color w:val="000000"/>
                <w:kern w:val="0"/>
                <w:sz w:val="22"/>
                <w:szCs w:val="22"/>
                <w:u w:val="none"/>
                <w:lang w:val="en-US" w:eastAsia="zh-CN" w:bidi="ar"/>
              </w:rPr>
              <w:t xml:space="preserve">10854.08 </w:t>
            </w:r>
          </w:p>
        </w:tc>
        <w:tc>
          <w:tcPr>
            <w:tcW w:w="670"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新宋体" w:hAnsi="新宋体" w:eastAsia="新宋体" w:cs="新宋体"/>
                <w:color w:val="000000"/>
                <w:sz w:val="18"/>
                <w:szCs w:val="18"/>
                <w:lang w:val="en-US" w:eastAsia="zh-CN"/>
              </w:rPr>
            </w:pPr>
            <w:r>
              <w:rPr>
                <w:rFonts w:hint="eastAsia" w:ascii="新宋体" w:hAnsi="新宋体" w:eastAsia="新宋体" w:cs="新宋体"/>
                <w:color w:val="000000"/>
                <w:sz w:val="18"/>
                <w:szCs w:val="18"/>
                <w:lang w:val="en-US" w:eastAsia="zh-CN"/>
              </w:rPr>
              <w:t>10</w:t>
            </w:r>
          </w:p>
        </w:tc>
        <w:tc>
          <w:tcPr>
            <w:tcW w:w="943"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新宋体" w:hAnsi="新宋体" w:eastAsia="新宋体" w:cs="新宋体"/>
                <w:color w:val="000000"/>
                <w:sz w:val="18"/>
                <w:szCs w:val="18"/>
                <w:lang w:val="en-US" w:eastAsia="zh-CN"/>
              </w:rPr>
            </w:pPr>
            <w:r>
              <w:rPr>
                <w:rFonts w:hint="eastAsia" w:ascii="新宋体" w:hAnsi="新宋体" w:eastAsia="新宋体" w:cs="新宋体"/>
                <w:color w:val="000000"/>
                <w:sz w:val="18"/>
                <w:szCs w:val="18"/>
                <w:lang w:val="en-US" w:eastAsia="zh-CN"/>
              </w:rPr>
              <w:t>100%</w:t>
            </w:r>
          </w:p>
        </w:tc>
        <w:tc>
          <w:tcPr>
            <w:tcW w:w="1594"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新宋体" w:hAnsi="新宋体" w:eastAsia="新宋体" w:cs="新宋体"/>
                <w:color w:val="000000"/>
                <w:sz w:val="18"/>
                <w:szCs w:val="18"/>
                <w:lang w:val="en-US" w:eastAsia="zh-CN"/>
              </w:rPr>
            </w:pPr>
            <w:r>
              <w:rPr>
                <w:rFonts w:hint="eastAsia" w:ascii="新宋体" w:hAnsi="新宋体" w:eastAsia="新宋体" w:cs="新宋体"/>
                <w:color w:val="000000"/>
                <w:sz w:val="18"/>
                <w:szCs w:val="18"/>
                <w:lang w:val="en-US" w:eastAsia="zh-CN"/>
              </w:rPr>
              <w:t>10</w:t>
            </w:r>
          </w:p>
        </w:tc>
      </w:tr>
      <w:tr>
        <w:tblPrEx>
          <w:tblLayout w:type="fixed"/>
          <w:tblCellMar>
            <w:top w:w="0" w:type="dxa"/>
            <w:left w:w="108" w:type="dxa"/>
            <w:bottom w:w="0" w:type="dxa"/>
            <w:right w:w="108" w:type="dxa"/>
          </w:tblCellMar>
        </w:tblPrEx>
        <w:trPr>
          <w:trHeight w:val="454" w:hRule="atLeast"/>
          <w:jc w:val="center"/>
        </w:trPr>
        <w:tc>
          <w:tcPr>
            <w:tcW w:w="1099"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3908" w:type="dxa"/>
            <w:gridSpan w:val="4"/>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按收入性质分：</w:t>
            </w:r>
          </w:p>
        </w:tc>
        <w:tc>
          <w:tcPr>
            <w:tcW w:w="4279" w:type="dxa"/>
            <w:gridSpan w:val="4"/>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按支出性质分：</w:t>
            </w:r>
          </w:p>
        </w:tc>
      </w:tr>
      <w:tr>
        <w:tblPrEx>
          <w:tblLayout w:type="fixed"/>
          <w:tblCellMar>
            <w:top w:w="0" w:type="dxa"/>
            <w:left w:w="108" w:type="dxa"/>
            <w:bottom w:w="0" w:type="dxa"/>
            <w:right w:w="108" w:type="dxa"/>
          </w:tblCellMar>
        </w:tblPrEx>
        <w:trPr>
          <w:trHeight w:val="482" w:hRule="atLeast"/>
          <w:jc w:val="center"/>
        </w:trPr>
        <w:tc>
          <w:tcPr>
            <w:tcW w:w="1099"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3908" w:type="dxa"/>
            <w:gridSpan w:val="4"/>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其中：</w:t>
            </w:r>
            <w:r>
              <w:rPr>
                <w:rFonts w:hint="eastAsia" w:ascii="新宋体" w:hAnsi="新宋体" w:eastAsia="新宋体" w:cs="新宋体"/>
                <w:color w:val="000000"/>
                <w:sz w:val="18"/>
                <w:szCs w:val="18"/>
                <w:lang w:val="en-US" w:eastAsia="zh-CN"/>
              </w:rPr>
              <w:t xml:space="preserve">  </w:t>
            </w:r>
            <w:r>
              <w:rPr>
                <w:rFonts w:hint="eastAsia" w:ascii="新宋体" w:hAnsi="新宋体" w:eastAsia="新宋体" w:cs="新宋体"/>
                <w:color w:val="000000"/>
                <w:sz w:val="18"/>
                <w:szCs w:val="18"/>
              </w:rPr>
              <w:t>一般公共预算：</w:t>
            </w:r>
            <w:r>
              <w:rPr>
                <w:rFonts w:hint="eastAsia" w:ascii="新宋体" w:hAnsi="新宋体" w:eastAsia="新宋体" w:cs="新宋体"/>
                <w:color w:val="000000"/>
                <w:sz w:val="18"/>
                <w:szCs w:val="18"/>
                <w:lang w:val="en-US" w:eastAsia="zh-CN"/>
              </w:rPr>
              <w:t xml:space="preserve">10854.08 </w:t>
            </w:r>
          </w:p>
        </w:tc>
        <w:tc>
          <w:tcPr>
            <w:tcW w:w="4279" w:type="dxa"/>
            <w:gridSpan w:val="4"/>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其中：基本支出：</w:t>
            </w:r>
            <w:r>
              <w:rPr>
                <w:rFonts w:hint="eastAsia" w:ascii="新宋体" w:hAnsi="新宋体" w:eastAsia="新宋体" w:cs="新宋体"/>
                <w:color w:val="000000"/>
                <w:sz w:val="18"/>
                <w:szCs w:val="18"/>
                <w:lang w:val="en-US" w:eastAsia="zh-CN"/>
              </w:rPr>
              <w:t>10333.83</w:t>
            </w:r>
          </w:p>
        </w:tc>
      </w:tr>
      <w:tr>
        <w:tblPrEx>
          <w:tblLayout w:type="fixed"/>
          <w:tblCellMar>
            <w:top w:w="0" w:type="dxa"/>
            <w:left w:w="108" w:type="dxa"/>
            <w:bottom w:w="0" w:type="dxa"/>
            <w:right w:w="108" w:type="dxa"/>
          </w:tblCellMar>
        </w:tblPrEx>
        <w:trPr>
          <w:trHeight w:val="492" w:hRule="atLeast"/>
          <w:jc w:val="center"/>
        </w:trPr>
        <w:tc>
          <w:tcPr>
            <w:tcW w:w="1099"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3908" w:type="dxa"/>
            <w:gridSpan w:val="4"/>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lang w:val="en-US" w:eastAsia="zh-CN"/>
              </w:rPr>
            </w:pPr>
            <w:r>
              <w:rPr>
                <w:rFonts w:hint="eastAsia" w:ascii="新宋体" w:hAnsi="新宋体" w:eastAsia="新宋体" w:cs="新宋体"/>
                <w:color w:val="000000"/>
                <w:sz w:val="18"/>
                <w:szCs w:val="18"/>
              </w:rPr>
              <w:t>政府性基金拨款：</w:t>
            </w:r>
            <w:r>
              <w:rPr>
                <w:rFonts w:hint="eastAsia" w:ascii="新宋体" w:hAnsi="新宋体" w:eastAsia="新宋体" w:cs="新宋体"/>
                <w:color w:val="000000"/>
                <w:sz w:val="18"/>
                <w:szCs w:val="18"/>
                <w:lang w:val="en-US" w:eastAsia="zh-CN"/>
              </w:rPr>
              <w:t>0</w:t>
            </w:r>
          </w:p>
        </w:tc>
        <w:tc>
          <w:tcPr>
            <w:tcW w:w="4279" w:type="dxa"/>
            <w:gridSpan w:val="4"/>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项目支出：</w:t>
            </w:r>
            <w:r>
              <w:rPr>
                <w:rFonts w:hint="eastAsia" w:ascii="新宋体" w:hAnsi="新宋体" w:eastAsia="新宋体" w:cs="新宋体"/>
                <w:color w:val="000000"/>
                <w:sz w:val="18"/>
                <w:szCs w:val="18"/>
                <w:lang w:val="en-US" w:eastAsia="zh-CN"/>
              </w:rPr>
              <w:t>507.97</w:t>
            </w:r>
          </w:p>
        </w:tc>
      </w:tr>
      <w:tr>
        <w:tblPrEx>
          <w:tblLayout w:type="fixed"/>
          <w:tblCellMar>
            <w:top w:w="0" w:type="dxa"/>
            <w:left w:w="108" w:type="dxa"/>
            <w:bottom w:w="0" w:type="dxa"/>
            <w:right w:w="108" w:type="dxa"/>
          </w:tblCellMar>
        </w:tblPrEx>
        <w:trPr>
          <w:trHeight w:val="537" w:hRule="atLeast"/>
          <w:jc w:val="center"/>
        </w:trPr>
        <w:tc>
          <w:tcPr>
            <w:tcW w:w="1099"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3908" w:type="dxa"/>
            <w:gridSpan w:val="4"/>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纳入专户管理的非税收入拨款：</w:t>
            </w:r>
          </w:p>
        </w:tc>
        <w:tc>
          <w:tcPr>
            <w:tcW w:w="4279" w:type="dxa"/>
            <w:gridSpan w:val="4"/>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lang w:val="en-US" w:eastAsia="zh-CN"/>
              </w:rPr>
            </w:pPr>
            <w:r>
              <w:rPr>
                <w:rFonts w:hint="eastAsia" w:ascii="新宋体" w:hAnsi="新宋体" w:eastAsia="新宋体" w:cs="新宋体"/>
                <w:color w:val="000000"/>
                <w:sz w:val="18"/>
                <w:szCs w:val="18"/>
                <w:lang w:val="en-US" w:eastAsia="zh-CN"/>
              </w:rPr>
              <w:t>0</w:t>
            </w:r>
          </w:p>
        </w:tc>
      </w:tr>
      <w:tr>
        <w:tblPrEx>
          <w:tblLayout w:type="fixed"/>
          <w:tblCellMar>
            <w:top w:w="0" w:type="dxa"/>
            <w:left w:w="108" w:type="dxa"/>
            <w:bottom w:w="0" w:type="dxa"/>
            <w:right w:w="108" w:type="dxa"/>
          </w:tblCellMar>
        </w:tblPrEx>
        <w:trPr>
          <w:trHeight w:val="408" w:hRule="atLeast"/>
          <w:jc w:val="center"/>
        </w:trPr>
        <w:tc>
          <w:tcPr>
            <w:tcW w:w="1099" w:type="dxa"/>
            <w:vMerge w:val="continue"/>
            <w:tcBorders>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3908" w:type="dxa"/>
            <w:gridSpan w:val="4"/>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其他资金：</w:t>
            </w:r>
          </w:p>
        </w:tc>
        <w:tc>
          <w:tcPr>
            <w:tcW w:w="4279" w:type="dxa"/>
            <w:gridSpan w:val="4"/>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lang w:val="en-US" w:eastAsia="zh-CN"/>
              </w:rPr>
            </w:pPr>
            <w:r>
              <w:rPr>
                <w:rFonts w:hint="eastAsia" w:ascii="新宋体" w:hAnsi="新宋体" w:eastAsia="新宋体" w:cs="新宋体"/>
                <w:color w:val="000000"/>
                <w:sz w:val="18"/>
                <w:szCs w:val="18"/>
                <w:lang w:val="en-US" w:eastAsia="zh-CN"/>
              </w:rPr>
              <w:t>0</w:t>
            </w:r>
          </w:p>
        </w:tc>
      </w:tr>
      <w:tr>
        <w:tblPrEx>
          <w:tblLayout w:type="fixed"/>
          <w:tblCellMar>
            <w:top w:w="0" w:type="dxa"/>
            <w:left w:w="108" w:type="dxa"/>
            <w:bottom w:w="0" w:type="dxa"/>
            <w:right w:w="108" w:type="dxa"/>
          </w:tblCellMar>
        </w:tblPrEx>
        <w:trPr>
          <w:trHeight w:val="394" w:hRule="atLeast"/>
          <w:jc w:val="center"/>
        </w:trPr>
        <w:tc>
          <w:tcPr>
            <w:tcW w:w="1099"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总体目标</w:t>
            </w:r>
          </w:p>
        </w:tc>
        <w:tc>
          <w:tcPr>
            <w:tcW w:w="3908" w:type="dxa"/>
            <w:gridSpan w:val="4"/>
            <w:tcBorders>
              <w:top w:val="single" w:color="auto" w:sz="4" w:space="0"/>
              <w:left w:val="nil"/>
              <w:bottom w:val="single" w:color="auto"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预期目标</w:t>
            </w:r>
          </w:p>
        </w:tc>
        <w:tc>
          <w:tcPr>
            <w:tcW w:w="4279" w:type="dxa"/>
            <w:gridSpan w:val="4"/>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实际完成情况</w:t>
            </w:r>
          </w:p>
        </w:tc>
      </w:tr>
      <w:tr>
        <w:tblPrEx>
          <w:tblLayout w:type="fixed"/>
          <w:tblCellMar>
            <w:top w:w="0" w:type="dxa"/>
            <w:left w:w="108" w:type="dxa"/>
            <w:bottom w:w="0" w:type="dxa"/>
            <w:right w:w="108" w:type="dxa"/>
          </w:tblCellMar>
        </w:tblPrEx>
        <w:trPr>
          <w:trHeight w:val="462" w:hRule="atLeast"/>
          <w:jc w:val="center"/>
        </w:trPr>
        <w:tc>
          <w:tcPr>
            <w:tcW w:w="1099"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908" w:type="dxa"/>
            <w:gridSpan w:val="4"/>
            <w:tcBorders>
              <w:top w:val="single" w:color="auto" w:sz="4" w:space="0"/>
              <w:left w:val="nil"/>
              <w:bottom w:val="single" w:color="auto" w:sz="4" w:space="0"/>
              <w:right w:val="single" w:color="000000" w:sz="4" w:space="0"/>
            </w:tcBorders>
            <w:noWrap w:val="0"/>
            <w:vAlign w:val="center"/>
          </w:tcPr>
          <w:p>
            <w:pPr>
              <w:keepNext w:val="0"/>
              <w:keepLines w:val="0"/>
              <w:suppressLineNumbers w:val="0"/>
              <w:spacing w:before="0" w:beforeAutospacing="0" w:after="0" w:afterAutospacing="0"/>
              <w:ind w:left="0" w:right="0"/>
              <w:jc w:val="left"/>
              <w:rPr>
                <w:rFonts w:hint="eastAsia" w:ascii="新宋体" w:hAnsi="新宋体" w:eastAsia="新宋体" w:cs="新宋体"/>
                <w:color w:val="000000"/>
                <w:sz w:val="21"/>
                <w:szCs w:val="21"/>
              </w:rPr>
            </w:pPr>
            <w:r>
              <w:rPr>
                <w:rFonts w:hint="eastAsia" w:ascii="新宋体" w:hAnsi="新宋体" w:eastAsia="新宋体" w:cs="新宋体"/>
                <w:color w:val="000000"/>
                <w:sz w:val="18"/>
                <w:szCs w:val="18"/>
              </w:rPr>
              <w:t>公安机关是政府的重要组成部分，是国家的行政机关，同时它又担负着刑事案件的侦查任务，因而它又是国家的司法机关之一。公安机关是政府的一个职能部门，依法管理社会治安，行使国家的行政权，同时公安机关又依法侦查刑事案件，行使国家的司法权。公安机关的性质具有双重性，即既有行使性又有司法性。公安机关的职责是：1、预防、制止和侦查违法犯罪活动；2、防范、打击恐怖活动；维护社会治安秩序，制止危害社会治安秩序的行为；3、管理交通、消防、危险物品；4、管理户口、公民身份证、国籍、入境事务和外国人在中国境内居留、旅行的有关事务。</w:t>
            </w:r>
          </w:p>
        </w:tc>
        <w:tc>
          <w:tcPr>
            <w:tcW w:w="4279" w:type="dxa"/>
            <w:gridSpan w:val="4"/>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left"/>
              <w:rPr>
                <w:rFonts w:hint="eastAsia" w:ascii="新宋体" w:hAnsi="新宋体" w:eastAsia="新宋体" w:cs="新宋体"/>
                <w:color w:val="000000"/>
                <w:sz w:val="21"/>
                <w:szCs w:val="21"/>
              </w:rPr>
            </w:pPr>
            <w:r>
              <w:rPr>
                <w:rFonts w:hint="eastAsia" w:ascii="新宋体" w:hAnsi="新宋体" w:eastAsia="新宋体" w:cs="新宋体"/>
                <w:color w:val="000000"/>
                <w:sz w:val="18"/>
                <w:szCs w:val="18"/>
                <w:lang w:val="en-US" w:eastAsia="zh-CN"/>
              </w:rPr>
              <w:t>1.</w:t>
            </w:r>
            <w:r>
              <w:rPr>
                <w:rFonts w:hint="eastAsia" w:ascii="新宋体" w:hAnsi="新宋体" w:eastAsia="新宋体" w:cs="新宋体"/>
                <w:color w:val="000000"/>
                <w:sz w:val="18"/>
                <w:szCs w:val="18"/>
              </w:rPr>
              <w:t>捍卫政治安全，确保华容风清气正</w:t>
            </w:r>
            <w:r>
              <w:rPr>
                <w:rFonts w:hint="eastAsia" w:ascii="新宋体" w:hAnsi="新宋体" w:eastAsia="新宋体" w:cs="新宋体"/>
                <w:color w:val="000000"/>
                <w:sz w:val="18"/>
                <w:szCs w:val="18"/>
                <w:lang w:eastAsia="zh-CN"/>
              </w:rPr>
              <w:t>；</w:t>
            </w:r>
            <w:r>
              <w:rPr>
                <w:rFonts w:hint="eastAsia" w:ascii="新宋体" w:hAnsi="新宋体" w:eastAsia="新宋体" w:cs="新宋体"/>
                <w:color w:val="000000"/>
                <w:sz w:val="18"/>
                <w:szCs w:val="18"/>
                <w:lang w:val="en-US" w:eastAsia="zh-CN"/>
              </w:rPr>
              <w:t>2.</w:t>
            </w:r>
            <w:r>
              <w:rPr>
                <w:rFonts w:hint="eastAsia" w:ascii="新宋体" w:hAnsi="新宋体" w:eastAsia="新宋体" w:cs="新宋体"/>
                <w:color w:val="000000"/>
                <w:sz w:val="18"/>
                <w:szCs w:val="18"/>
              </w:rPr>
              <w:t>维护社会稳定，确保县域风平浪静</w:t>
            </w:r>
            <w:r>
              <w:rPr>
                <w:rFonts w:hint="eastAsia" w:ascii="新宋体" w:hAnsi="新宋体" w:eastAsia="新宋体" w:cs="新宋体"/>
                <w:color w:val="000000"/>
                <w:sz w:val="18"/>
                <w:szCs w:val="18"/>
                <w:lang w:eastAsia="zh-CN"/>
              </w:rPr>
              <w:t>；</w:t>
            </w:r>
            <w:r>
              <w:rPr>
                <w:rFonts w:hint="eastAsia" w:ascii="新宋体" w:hAnsi="新宋体" w:eastAsia="新宋体" w:cs="新宋体"/>
                <w:color w:val="000000"/>
                <w:sz w:val="18"/>
                <w:szCs w:val="18"/>
                <w:lang w:val="en-US" w:eastAsia="zh-CN"/>
              </w:rPr>
              <w:t>3.</w:t>
            </w:r>
            <w:r>
              <w:rPr>
                <w:rFonts w:hint="eastAsia" w:ascii="新宋体" w:hAnsi="新宋体" w:eastAsia="新宋体" w:cs="新宋体"/>
                <w:color w:val="000000"/>
                <w:sz w:val="18"/>
                <w:szCs w:val="18"/>
              </w:rPr>
              <w:t>强化严打整治，确保打击风驰电掣</w:t>
            </w:r>
            <w:r>
              <w:rPr>
                <w:rFonts w:hint="eastAsia" w:ascii="新宋体" w:hAnsi="新宋体" w:eastAsia="新宋体" w:cs="新宋体"/>
                <w:color w:val="000000"/>
                <w:sz w:val="18"/>
                <w:szCs w:val="18"/>
                <w:lang w:eastAsia="zh-CN"/>
              </w:rPr>
              <w:t>；</w:t>
            </w:r>
            <w:r>
              <w:rPr>
                <w:rFonts w:hint="eastAsia" w:ascii="新宋体" w:hAnsi="新宋体" w:eastAsia="新宋体" w:cs="新宋体"/>
                <w:color w:val="000000"/>
                <w:sz w:val="18"/>
                <w:szCs w:val="18"/>
                <w:lang w:val="en-US" w:eastAsia="zh-CN"/>
              </w:rPr>
              <w:t>4.</w:t>
            </w:r>
            <w:r>
              <w:rPr>
                <w:rFonts w:hint="eastAsia" w:ascii="新宋体" w:hAnsi="新宋体" w:eastAsia="新宋体" w:cs="新宋体"/>
                <w:color w:val="000000"/>
                <w:sz w:val="18"/>
                <w:szCs w:val="18"/>
              </w:rPr>
              <w:t>服务中心大局，确保发展风起云涌</w:t>
            </w:r>
            <w:r>
              <w:rPr>
                <w:rFonts w:hint="eastAsia" w:ascii="新宋体" w:hAnsi="新宋体" w:eastAsia="新宋体" w:cs="新宋体"/>
                <w:color w:val="000000"/>
                <w:sz w:val="18"/>
                <w:szCs w:val="18"/>
                <w:lang w:eastAsia="zh-CN"/>
              </w:rPr>
              <w:t>；</w:t>
            </w:r>
            <w:r>
              <w:rPr>
                <w:rFonts w:hint="eastAsia" w:ascii="新宋体" w:hAnsi="新宋体" w:eastAsia="新宋体" w:cs="新宋体"/>
                <w:color w:val="000000"/>
                <w:sz w:val="18"/>
                <w:szCs w:val="18"/>
                <w:lang w:val="en-US" w:eastAsia="zh-CN"/>
              </w:rPr>
              <w:t>5.</w:t>
            </w:r>
            <w:r>
              <w:rPr>
                <w:rFonts w:hint="eastAsia" w:ascii="新宋体" w:hAnsi="新宋体" w:eastAsia="新宋体" w:cs="新宋体"/>
                <w:color w:val="000000"/>
                <w:sz w:val="18"/>
                <w:szCs w:val="18"/>
              </w:rPr>
              <w:t>夯实基层基础，确保警营风调雨顺</w:t>
            </w:r>
            <w:r>
              <w:rPr>
                <w:rFonts w:hint="eastAsia" w:ascii="新宋体" w:hAnsi="新宋体" w:eastAsia="新宋体" w:cs="新宋体"/>
                <w:color w:val="000000"/>
                <w:sz w:val="18"/>
                <w:szCs w:val="18"/>
                <w:lang w:eastAsia="zh-CN"/>
              </w:rPr>
              <w:t>；</w:t>
            </w:r>
            <w:r>
              <w:rPr>
                <w:rFonts w:hint="eastAsia" w:ascii="新宋体" w:hAnsi="新宋体" w:eastAsia="新宋体" w:cs="新宋体"/>
                <w:color w:val="000000"/>
                <w:sz w:val="18"/>
                <w:szCs w:val="18"/>
                <w:lang w:val="en-US" w:eastAsia="zh-CN"/>
              </w:rPr>
              <w:t>6.</w:t>
            </w:r>
            <w:r>
              <w:rPr>
                <w:rFonts w:hint="eastAsia" w:ascii="新宋体" w:hAnsi="新宋体" w:eastAsia="新宋体" w:cs="新宋体"/>
                <w:color w:val="000000"/>
                <w:sz w:val="18"/>
                <w:szCs w:val="18"/>
              </w:rPr>
              <w:t>全面深化改革，确保创新风和日丽</w:t>
            </w:r>
            <w:r>
              <w:rPr>
                <w:rFonts w:hint="eastAsia" w:ascii="新宋体" w:hAnsi="新宋体" w:eastAsia="新宋体" w:cs="新宋体"/>
                <w:color w:val="000000"/>
                <w:sz w:val="18"/>
                <w:szCs w:val="18"/>
                <w:lang w:eastAsia="zh-CN"/>
              </w:rPr>
              <w:t>；</w:t>
            </w:r>
            <w:r>
              <w:rPr>
                <w:rFonts w:hint="eastAsia" w:ascii="新宋体" w:hAnsi="新宋体" w:eastAsia="新宋体" w:cs="新宋体"/>
                <w:color w:val="000000"/>
                <w:sz w:val="18"/>
                <w:szCs w:val="18"/>
                <w:lang w:val="en-US" w:eastAsia="zh-CN"/>
              </w:rPr>
              <w:t>7.</w:t>
            </w:r>
            <w:r>
              <w:rPr>
                <w:rFonts w:hint="eastAsia" w:ascii="新宋体" w:hAnsi="新宋体" w:eastAsia="新宋体" w:cs="新宋体"/>
                <w:color w:val="000000"/>
                <w:sz w:val="18"/>
                <w:szCs w:val="18"/>
              </w:rPr>
              <w:t>坚持严管厚爱，确保队伍风华正茂</w:t>
            </w:r>
            <w:r>
              <w:rPr>
                <w:rFonts w:hint="eastAsia" w:ascii="新宋体" w:hAnsi="新宋体" w:eastAsia="新宋体" w:cs="新宋体"/>
                <w:color w:val="000000"/>
                <w:sz w:val="18"/>
                <w:szCs w:val="18"/>
                <w:lang w:eastAsia="zh-CN"/>
              </w:rPr>
              <w:t>。</w:t>
            </w:r>
          </w:p>
        </w:tc>
      </w:tr>
      <w:tr>
        <w:tblPrEx>
          <w:tblLayout w:type="fixed"/>
          <w:tblCellMar>
            <w:top w:w="0" w:type="dxa"/>
            <w:left w:w="108" w:type="dxa"/>
            <w:bottom w:w="0" w:type="dxa"/>
            <w:right w:w="108" w:type="dxa"/>
          </w:tblCellMar>
        </w:tblPrEx>
        <w:trPr>
          <w:trHeight w:val="850" w:hRule="atLeast"/>
          <w:jc w:val="center"/>
        </w:trPr>
        <w:tc>
          <w:tcPr>
            <w:tcW w:w="109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8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一级</w:t>
            </w:r>
          </w:p>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指标</w:t>
            </w:r>
          </w:p>
        </w:tc>
        <w:tc>
          <w:tcPr>
            <w:tcW w:w="8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二级</w:t>
            </w:r>
          </w:p>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指标</w:t>
            </w:r>
          </w:p>
        </w:tc>
        <w:tc>
          <w:tcPr>
            <w:tcW w:w="11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三级</w:t>
            </w:r>
          </w:p>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指标</w:t>
            </w:r>
          </w:p>
        </w:tc>
        <w:tc>
          <w:tcPr>
            <w:tcW w:w="10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年度</w:t>
            </w:r>
          </w:p>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指标值</w:t>
            </w:r>
          </w:p>
        </w:tc>
        <w:tc>
          <w:tcPr>
            <w:tcW w:w="10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实际</w:t>
            </w:r>
          </w:p>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完成值</w:t>
            </w:r>
          </w:p>
        </w:tc>
        <w:tc>
          <w:tcPr>
            <w:tcW w:w="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分值</w:t>
            </w:r>
          </w:p>
        </w:tc>
        <w:tc>
          <w:tcPr>
            <w:tcW w:w="9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得分</w:t>
            </w:r>
          </w:p>
        </w:tc>
        <w:tc>
          <w:tcPr>
            <w:tcW w:w="1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偏差原因分析及改进措施</w:t>
            </w:r>
          </w:p>
        </w:tc>
      </w:tr>
      <w:tr>
        <w:tblPrEx>
          <w:tblLayout w:type="fixed"/>
          <w:tblCellMar>
            <w:top w:w="0" w:type="dxa"/>
            <w:left w:w="108" w:type="dxa"/>
            <w:bottom w:w="0" w:type="dxa"/>
            <w:right w:w="108" w:type="dxa"/>
          </w:tblCellMar>
        </w:tblPrEx>
        <w:trPr>
          <w:trHeight w:val="462" w:hRule="atLeast"/>
          <w:jc w:val="center"/>
        </w:trPr>
        <w:tc>
          <w:tcPr>
            <w:tcW w:w="1099"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产出</w:t>
            </w:r>
          </w:p>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指标</w:t>
            </w:r>
          </w:p>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(50分)</w:t>
            </w:r>
          </w:p>
        </w:tc>
        <w:tc>
          <w:tcPr>
            <w:tcW w:w="8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质量</w:t>
            </w:r>
          </w:p>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指标</w:t>
            </w:r>
          </w:p>
        </w:tc>
        <w:tc>
          <w:tcPr>
            <w:tcW w:w="11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捍卫政治安全，</w:t>
            </w:r>
            <w:r>
              <w:rPr>
                <w:rFonts w:hint="eastAsia" w:ascii="新宋体" w:hAnsi="新宋体" w:eastAsia="新宋体" w:cs="新宋体"/>
                <w:color w:val="000000"/>
                <w:sz w:val="18"/>
                <w:szCs w:val="18"/>
                <w:lang w:eastAsia="zh-CN"/>
              </w:rPr>
              <w:t>维护社会稳定，</w:t>
            </w:r>
            <w:r>
              <w:rPr>
                <w:rFonts w:hint="eastAsia" w:ascii="新宋体" w:hAnsi="新宋体" w:eastAsia="新宋体" w:cs="新宋体"/>
                <w:color w:val="000000"/>
                <w:sz w:val="18"/>
                <w:szCs w:val="18"/>
              </w:rPr>
              <w:t>确保华容风清气正</w:t>
            </w:r>
          </w:p>
        </w:tc>
        <w:tc>
          <w:tcPr>
            <w:tcW w:w="10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新宋体" w:hAnsi="新宋体" w:eastAsia="新宋体" w:cs="新宋体"/>
                <w:color w:val="000000"/>
                <w:sz w:val="18"/>
                <w:szCs w:val="18"/>
                <w:lang w:val="en-US" w:eastAsia="zh-CN"/>
              </w:rPr>
            </w:pPr>
            <w:r>
              <w:rPr>
                <w:rFonts w:hint="eastAsia" w:ascii="新宋体" w:hAnsi="新宋体" w:eastAsia="新宋体" w:cs="新宋体"/>
                <w:color w:val="000000"/>
                <w:sz w:val="18"/>
                <w:szCs w:val="18"/>
                <w:lang w:val="en-US" w:eastAsia="zh-CN"/>
              </w:rPr>
              <w:t>100</w:t>
            </w:r>
          </w:p>
        </w:tc>
        <w:tc>
          <w:tcPr>
            <w:tcW w:w="10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新宋体" w:hAnsi="新宋体" w:eastAsia="新宋体" w:cs="新宋体"/>
                <w:color w:val="000000"/>
                <w:sz w:val="18"/>
                <w:szCs w:val="18"/>
                <w:lang w:val="en-US" w:eastAsia="zh-CN"/>
              </w:rPr>
            </w:pPr>
            <w:r>
              <w:rPr>
                <w:rFonts w:hint="eastAsia" w:ascii="新宋体" w:hAnsi="新宋体" w:eastAsia="新宋体" w:cs="新宋体"/>
                <w:color w:val="000000"/>
                <w:sz w:val="18"/>
                <w:szCs w:val="18"/>
                <w:lang w:val="en-US" w:eastAsia="zh-CN"/>
              </w:rPr>
              <w:t>92</w:t>
            </w:r>
          </w:p>
        </w:tc>
        <w:tc>
          <w:tcPr>
            <w:tcW w:w="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新宋体" w:hAnsi="新宋体" w:eastAsia="新宋体" w:cs="新宋体"/>
                <w:color w:val="000000"/>
                <w:sz w:val="18"/>
                <w:szCs w:val="18"/>
                <w:lang w:val="en-US" w:eastAsia="zh-CN"/>
              </w:rPr>
            </w:pPr>
            <w:r>
              <w:rPr>
                <w:rFonts w:hint="eastAsia" w:ascii="新宋体" w:hAnsi="新宋体" w:eastAsia="新宋体" w:cs="新宋体"/>
                <w:color w:val="000000"/>
                <w:sz w:val="18"/>
                <w:szCs w:val="18"/>
                <w:lang w:val="en-US" w:eastAsia="zh-CN"/>
              </w:rPr>
              <w:t>12.5</w:t>
            </w:r>
          </w:p>
        </w:tc>
        <w:tc>
          <w:tcPr>
            <w:tcW w:w="9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新宋体" w:hAnsi="新宋体" w:eastAsia="新宋体" w:cs="新宋体"/>
                <w:color w:val="000000"/>
                <w:sz w:val="18"/>
                <w:szCs w:val="18"/>
                <w:lang w:val="en-US" w:eastAsia="zh-CN"/>
              </w:rPr>
            </w:pPr>
            <w:r>
              <w:rPr>
                <w:rFonts w:hint="eastAsia" w:ascii="新宋体" w:hAnsi="新宋体" w:eastAsia="新宋体" w:cs="新宋体"/>
                <w:color w:val="000000"/>
                <w:sz w:val="18"/>
                <w:szCs w:val="18"/>
                <w:lang w:val="en-US" w:eastAsia="zh-CN"/>
              </w:rPr>
              <w:t>11.5</w:t>
            </w:r>
          </w:p>
        </w:tc>
        <w:tc>
          <w:tcPr>
            <w:tcW w:w="1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lang w:eastAsia="zh-CN"/>
              </w:rPr>
            </w:pPr>
            <w:r>
              <w:rPr>
                <w:rFonts w:hint="eastAsia" w:ascii="新宋体" w:hAnsi="新宋体" w:eastAsia="新宋体" w:cs="新宋体"/>
                <w:color w:val="000000"/>
                <w:sz w:val="18"/>
                <w:szCs w:val="18"/>
                <w:lang w:eastAsia="zh-CN"/>
              </w:rPr>
              <w:t>加强治安巡逻，排除安全隐患</w:t>
            </w:r>
          </w:p>
        </w:tc>
      </w:tr>
      <w:tr>
        <w:tblPrEx>
          <w:tblLayout w:type="fixed"/>
          <w:tblCellMar>
            <w:top w:w="0" w:type="dxa"/>
            <w:left w:w="108" w:type="dxa"/>
            <w:bottom w:w="0" w:type="dxa"/>
            <w:right w:w="108" w:type="dxa"/>
          </w:tblCellMar>
        </w:tblPrEx>
        <w:trPr>
          <w:trHeight w:val="462" w:hRule="atLeast"/>
          <w:jc w:val="center"/>
        </w:trPr>
        <w:tc>
          <w:tcPr>
            <w:tcW w:w="1099"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p>
        </w:tc>
        <w:tc>
          <w:tcPr>
            <w:tcW w:w="8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p>
        </w:tc>
        <w:tc>
          <w:tcPr>
            <w:tcW w:w="11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新宋体" w:hAnsi="新宋体" w:eastAsia="新宋体" w:cs="新宋体"/>
                <w:color w:val="000000"/>
                <w:sz w:val="18"/>
                <w:szCs w:val="18"/>
                <w:lang w:val="en-US" w:eastAsia="zh-CN"/>
              </w:rPr>
            </w:pPr>
            <w:r>
              <w:rPr>
                <w:rFonts w:hint="eastAsia" w:ascii="新宋体" w:hAnsi="新宋体" w:eastAsia="新宋体" w:cs="新宋体"/>
                <w:color w:val="000000"/>
                <w:sz w:val="18"/>
                <w:szCs w:val="18"/>
                <w:lang w:eastAsia="zh-CN"/>
              </w:rPr>
              <w:t>民警与警务辅助人员配比率≧</w:t>
            </w:r>
            <w:r>
              <w:rPr>
                <w:rFonts w:hint="eastAsia" w:ascii="新宋体" w:hAnsi="新宋体" w:eastAsia="新宋体" w:cs="新宋体"/>
                <w:color w:val="000000"/>
                <w:sz w:val="18"/>
                <w:szCs w:val="18"/>
                <w:lang w:val="en-US" w:eastAsia="zh-CN"/>
              </w:rPr>
              <w:t>1:1</w:t>
            </w:r>
          </w:p>
        </w:tc>
        <w:tc>
          <w:tcPr>
            <w:tcW w:w="10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新宋体" w:hAnsi="新宋体" w:eastAsia="新宋体" w:cs="新宋体"/>
                <w:color w:val="000000"/>
                <w:sz w:val="18"/>
                <w:szCs w:val="18"/>
                <w:lang w:val="en-US" w:eastAsia="zh-CN"/>
              </w:rPr>
            </w:pPr>
            <w:r>
              <w:rPr>
                <w:rFonts w:hint="eastAsia" w:ascii="新宋体" w:hAnsi="新宋体" w:eastAsia="新宋体" w:cs="新宋体"/>
                <w:color w:val="000000"/>
                <w:sz w:val="18"/>
                <w:szCs w:val="18"/>
                <w:lang w:val="en-US" w:eastAsia="zh-CN"/>
              </w:rPr>
              <w:t>100</w:t>
            </w:r>
          </w:p>
        </w:tc>
        <w:tc>
          <w:tcPr>
            <w:tcW w:w="10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新宋体" w:hAnsi="新宋体" w:eastAsia="新宋体" w:cs="新宋体"/>
                <w:color w:val="000000"/>
                <w:sz w:val="18"/>
                <w:szCs w:val="18"/>
                <w:lang w:val="en-US" w:eastAsia="zh-CN"/>
              </w:rPr>
            </w:pPr>
            <w:r>
              <w:rPr>
                <w:rFonts w:hint="eastAsia" w:ascii="新宋体" w:hAnsi="新宋体" w:eastAsia="新宋体" w:cs="新宋体"/>
                <w:color w:val="000000"/>
                <w:sz w:val="18"/>
                <w:szCs w:val="18"/>
                <w:lang w:val="en-US" w:eastAsia="zh-CN"/>
              </w:rPr>
              <w:t>100</w:t>
            </w:r>
          </w:p>
        </w:tc>
        <w:tc>
          <w:tcPr>
            <w:tcW w:w="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新宋体" w:hAnsi="新宋体" w:eastAsia="新宋体" w:cs="新宋体"/>
                <w:color w:val="000000"/>
                <w:sz w:val="18"/>
                <w:szCs w:val="18"/>
                <w:lang w:val="en-US" w:eastAsia="zh-CN"/>
              </w:rPr>
            </w:pPr>
            <w:r>
              <w:rPr>
                <w:rFonts w:hint="eastAsia" w:ascii="新宋体" w:hAnsi="新宋体" w:eastAsia="新宋体" w:cs="新宋体"/>
                <w:color w:val="000000"/>
                <w:sz w:val="18"/>
                <w:szCs w:val="18"/>
                <w:lang w:val="en-US" w:eastAsia="zh-CN"/>
              </w:rPr>
              <w:t>12.5</w:t>
            </w:r>
          </w:p>
        </w:tc>
        <w:tc>
          <w:tcPr>
            <w:tcW w:w="9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新宋体" w:hAnsi="新宋体" w:eastAsia="新宋体" w:cs="新宋体"/>
                <w:color w:val="000000"/>
                <w:sz w:val="18"/>
                <w:szCs w:val="18"/>
                <w:lang w:val="en-US" w:eastAsia="zh-CN"/>
              </w:rPr>
            </w:pPr>
            <w:r>
              <w:rPr>
                <w:rFonts w:hint="eastAsia" w:ascii="新宋体" w:hAnsi="新宋体" w:eastAsia="新宋体" w:cs="新宋体"/>
                <w:color w:val="000000"/>
                <w:sz w:val="18"/>
                <w:szCs w:val="18"/>
                <w:lang w:val="en-US" w:eastAsia="zh-CN"/>
              </w:rPr>
              <w:t>12.5</w:t>
            </w:r>
          </w:p>
        </w:tc>
        <w:tc>
          <w:tcPr>
            <w:tcW w:w="1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p>
        </w:tc>
      </w:tr>
      <w:tr>
        <w:tblPrEx>
          <w:tblLayout w:type="fixed"/>
          <w:tblCellMar>
            <w:top w:w="0" w:type="dxa"/>
            <w:left w:w="108" w:type="dxa"/>
            <w:bottom w:w="0" w:type="dxa"/>
            <w:right w:w="108" w:type="dxa"/>
          </w:tblCellMar>
        </w:tblPrEx>
        <w:trPr>
          <w:trHeight w:val="462" w:hRule="atLeast"/>
          <w:jc w:val="center"/>
        </w:trPr>
        <w:tc>
          <w:tcPr>
            <w:tcW w:w="1099"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p>
        </w:tc>
        <w:tc>
          <w:tcPr>
            <w:tcW w:w="8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时效</w:t>
            </w:r>
          </w:p>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指标</w:t>
            </w:r>
          </w:p>
        </w:tc>
        <w:tc>
          <w:tcPr>
            <w:tcW w:w="11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年底前完成</w:t>
            </w:r>
          </w:p>
        </w:tc>
        <w:tc>
          <w:tcPr>
            <w:tcW w:w="10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lang w:val="en-US" w:eastAsia="zh-CN"/>
              </w:rPr>
              <w:t>100</w:t>
            </w:r>
          </w:p>
        </w:tc>
        <w:tc>
          <w:tcPr>
            <w:tcW w:w="10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新宋体" w:hAnsi="新宋体" w:eastAsia="新宋体" w:cs="新宋体"/>
                <w:color w:val="000000"/>
                <w:sz w:val="18"/>
                <w:szCs w:val="18"/>
                <w:lang w:val="en-US" w:eastAsia="zh-CN"/>
              </w:rPr>
            </w:pPr>
            <w:r>
              <w:rPr>
                <w:rFonts w:hint="eastAsia" w:ascii="新宋体" w:hAnsi="新宋体" w:eastAsia="新宋体" w:cs="新宋体"/>
                <w:color w:val="000000"/>
                <w:sz w:val="18"/>
                <w:szCs w:val="18"/>
                <w:lang w:val="en-US" w:eastAsia="zh-CN"/>
              </w:rPr>
              <w:t>100</w:t>
            </w:r>
          </w:p>
        </w:tc>
        <w:tc>
          <w:tcPr>
            <w:tcW w:w="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新宋体" w:hAnsi="新宋体" w:eastAsia="新宋体" w:cs="新宋体"/>
                <w:color w:val="000000"/>
                <w:sz w:val="18"/>
                <w:szCs w:val="18"/>
                <w:lang w:val="en-US"/>
              </w:rPr>
            </w:pPr>
            <w:r>
              <w:rPr>
                <w:rFonts w:hint="eastAsia" w:ascii="新宋体" w:hAnsi="新宋体" w:eastAsia="新宋体" w:cs="新宋体"/>
                <w:color w:val="000000"/>
                <w:sz w:val="18"/>
                <w:szCs w:val="18"/>
                <w:lang w:val="en-US" w:eastAsia="zh-CN"/>
              </w:rPr>
              <w:t>12.5</w:t>
            </w:r>
          </w:p>
        </w:tc>
        <w:tc>
          <w:tcPr>
            <w:tcW w:w="9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新宋体" w:hAnsi="新宋体" w:eastAsia="新宋体" w:cs="新宋体"/>
                <w:color w:val="000000"/>
                <w:sz w:val="18"/>
                <w:szCs w:val="18"/>
                <w:lang w:val="en-US"/>
              </w:rPr>
            </w:pPr>
            <w:r>
              <w:rPr>
                <w:rFonts w:hint="eastAsia" w:ascii="新宋体" w:hAnsi="新宋体" w:eastAsia="新宋体" w:cs="新宋体"/>
                <w:color w:val="000000"/>
                <w:sz w:val="18"/>
                <w:szCs w:val="18"/>
                <w:lang w:val="en-US" w:eastAsia="zh-CN"/>
              </w:rPr>
              <w:t>12.5</w:t>
            </w:r>
          </w:p>
        </w:tc>
        <w:tc>
          <w:tcPr>
            <w:tcW w:w="1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p>
        </w:tc>
      </w:tr>
      <w:tr>
        <w:tblPrEx>
          <w:tblLayout w:type="fixed"/>
          <w:tblCellMar>
            <w:top w:w="0" w:type="dxa"/>
            <w:left w:w="108" w:type="dxa"/>
            <w:bottom w:w="0" w:type="dxa"/>
            <w:right w:w="108" w:type="dxa"/>
          </w:tblCellMar>
        </w:tblPrEx>
        <w:trPr>
          <w:trHeight w:val="462" w:hRule="atLeast"/>
          <w:jc w:val="center"/>
        </w:trPr>
        <w:tc>
          <w:tcPr>
            <w:tcW w:w="1099"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p>
        </w:tc>
        <w:tc>
          <w:tcPr>
            <w:tcW w:w="8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成本</w:t>
            </w:r>
          </w:p>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指标</w:t>
            </w:r>
          </w:p>
        </w:tc>
        <w:tc>
          <w:tcPr>
            <w:tcW w:w="11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控制在预算内</w:t>
            </w:r>
          </w:p>
        </w:tc>
        <w:tc>
          <w:tcPr>
            <w:tcW w:w="10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lang w:val="en-US" w:eastAsia="zh-CN"/>
              </w:rPr>
              <w:t>100</w:t>
            </w:r>
          </w:p>
        </w:tc>
        <w:tc>
          <w:tcPr>
            <w:tcW w:w="10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新宋体" w:hAnsi="新宋体" w:eastAsia="新宋体" w:cs="新宋体"/>
                <w:color w:val="000000"/>
                <w:sz w:val="18"/>
                <w:szCs w:val="18"/>
                <w:lang w:val="en-US" w:eastAsia="zh-CN"/>
              </w:rPr>
            </w:pPr>
            <w:r>
              <w:rPr>
                <w:rFonts w:hint="eastAsia" w:ascii="新宋体" w:hAnsi="新宋体" w:eastAsia="新宋体" w:cs="新宋体"/>
                <w:color w:val="000000"/>
                <w:sz w:val="18"/>
                <w:szCs w:val="18"/>
                <w:lang w:val="en-US" w:eastAsia="zh-CN"/>
              </w:rPr>
              <w:t>100</w:t>
            </w:r>
          </w:p>
        </w:tc>
        <w:tc>
          <w:tcPr>
            <w:tcW w:w="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新宋体" w:hAnsi="新宋体" w:eastAsia="新宋体" w:cs="新宋体"/>
                <w:color w:val="000000"/>
                <w:sz w:val="18"/>
                <w:szCs w:val="18"/>
                <w:lang w:val="en-US"/>
              </w:rPr>
            </w:pPr>
            <w:r>
              <w:rPr>
                <w:rFonts w:hint="eastAsia" w:ascii="新宋体" w:hAnsi="新宋体" w:eastAsia="新宋体" w:cs="新宋体"/>
                <w:color w:val="000000"/>
                <w:sz w:val="18"/>
                <w:szCs w:val="18"/>
                <w:lang w:val="en-US" w:eastAsia="zh-CN"/>
              </w:rPr>
              <w:t>12.5</w:t>
            </w:r>
          </w:p>
        </w:tc>
        <w:tc>
          <w:tcPr>
            <w:tcW w:w="9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新宋体" w:hAnsi="新宋体" w:eastAsia="新宋体" w:cs="新宋体"/>
                <w:color w:val="000000"/>
                <w:sz w:val="18"/>
                <w:szCs w:val="18"/>
                <w:lang w:val="en-US"/>
              </w:rPr>
            </w:pPr>
            <w:r>
              <w:rPr>
                <w:rFonts w:hint="eastAsia" w:ascii="新宋体" w:hAnsi="新宋体" w:eastAsia="新宋体" w:cs="新宋体"/>
                <w:color w:val="000000"/>
                <w:sz w:val="18"/>
                <w:szCs w:val="18"/>
                <w:lang w:val="en-US" w:eastAsia="zh-CN"/>
              </w:rPr>
              <w:t>12.5</w:t>
            </w:r>
          </w:p>
        </w:tc>
        <w:tc>
          <w:tcPr>
            <w:tcW w:w="1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p>
        </w:tc>
      </w:tr>
      <w:tr>
        <w:tblPrEx>
          <w:tblLayout w:type="fixed"/>
          <w:tblCellMar>
            <w:top w:w="0" w:type="dxa"/>
            <w:left w:w="108" w:type="dxa"/>
            <w:bottom w:w="0" w:type="dxa"/>
            <w:right w:w="108" w:type="dxa"/>
          </w:tblCellMar>
        </w:tblPrEx>
        <w:trPr>
          <w:trHeight w:val="850" w:hRule="atLeast"/>
          <w:jc w:val="center"/>
        </w:trPr>
        <w:tc>
          <w:tcPr>
            <w:tcW w:w="1099"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8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一级</w:t>
            </w:r>
          </w:p>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指标</w:t>
            </w:r>
          </w:p>
        </w:tc>
        <w:tc>
          <w:tcPr>
            <w:tcW w:w="8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二级</w:t>
            </w:r>
          </w:p>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指标</w:t>
            </w:r>
          </w:p>
        </w:tc>
        <w:tc>
          <w:tcPr>
            <w:tcW w:w="11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三级</w:t>
            </w:r>
          </w:p>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指标</w:t>
            </w:r>
          </w:p>
        </w:tc>
        <w:tc>
          <w:tcPr>
            <w:tcW w:w="10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年度</w:t>
            </w:r>
          </w:p>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指标值</w:t>
            </w:r>
          </w:p>
        </w:tc>
        <w:tc>
          <w:tcPr>
            <w:tcW w:w="10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实际</w:t>
            </w:r>
          </w:p>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完成值</w:t>
            </w:r>
          </w:p>
        </w:tc>
        <w:tc>
          <w:tcPr>
            <w:tcW w:w="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分值</w:t>
            </w:r>
          </w:p>
        </w:tc>
        <w:tc>
          <w:tcPr>
            <w:tcW w:w="9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得分</w:t>
            </w:r>
          </w:p>
        </w:tc>
        <w:tc>
          <w:tcPr>
            <w:tcW w:w="1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偏差原因分析及改进措施</w:t>
            </w:r>
          </w:p>
        </w:tc>
      </w:tr>
      <w:tr>
        <w:tblPrEx>
          <w:tblLayout w:type="fixed"/>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效益</w:t>
            </w:r>
          </w:p>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指标</w:t>
            </w:r>
          </w:p>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（30分）</w:t>
            </w:r>
          </w:p>
        </w:tc>
        <w:tc>
          <w:tcPr>
            <w:tcW w:w="8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经济效</w:t>
            </w:r>
          </w:p>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益指标</w:t>
            </w:r>
          </w:p>
        </w:tc>
        <w:tc>
          <w:tcPr>
            <w:tcW w:w="11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lang w:eastAsia="zh-CN"/>
              </w:rPr>
            </w:pPr>
            <w:r>
              <w:rPr>
                <w:rFonts w:hint="eastAsia" w:ascii="新宋体" w:hAnsi="新宋体" w:eastAsia="新宋体" w:cs="新宋体"/>
                <w:color w:val="000000"/>
                <w:sz w:val="18"/>
                <w:szCs w:val="18"/>
              </w:rPr>
              <w:t>夯实基层基础，</w:t>
            </w:r>
            <w:r>
              <w:rPr>
                <w:rFonts w:hint="eastAsia" w:ascii="新宋体" w:hAnsi="新宋体" w:eastAsia="新宋体" w:cs="新宋体"/>
                <w:color w:val="000000"/>
                <w:sz w:val="18"/>
                <w:szCs w:val="18"/>
                <w:lang w:eastAsia="zh-CN"/>
              </w:rPr>
              <w:t>树立“过紧日子”思想</w:t>
            </w:r>
          </w:p>
        </w:tc>
        <w:tc>
          <w:tcPr>
            <w:tcW w:w="10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lang w:val="en-US" w:eastAsia="zh-CN"/>
              </w:rPr>
              <w:t>100</w:t>
            </w:r>
          </w:p>
        </w:tc>
        <w:tc>
          <w:tcPr>
            <w:tcW w:w="10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新宋体" w:hAnsi="新宋体" w:eastAsia="新宋体" w:cs="新宋体"/>
                <w:color w:val="000000"/>
                <w:sz w:val="18"/>
                <w:szCs w:val="18"/>
                <w:lang w:val="en-US" w:eastAsia="zh-CN"/>
              </w:rPr>
            </w:pPr>
            <w:r>
              <w:rPr>
                <w:rFonts w:hint="eastAsia" w:ascii="新宋体" w:hAnsi="新宋体" w:eastAsia="新宋体" w:cs="新宋体"/>
                <w:color w:val="000000"/>
                <w:sz w:val="18"/>
                <w:szCs w:val="18"/>
                <w:lang w:val="en-US" w:eastAsia="zh-CN"/>
              </w:rPr>
              <w:t>95</w:t>
            </w:r>
          </w:p>
        </w:tc>
        <w:tc>
          <w:tcPr>
            <w:tcW w:w="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lang w:val="en-US" w:eastAsia="zh-CN"/>
              </w:rPr>
            </w:pPr>
            <w:r>
              <w:rPr>
                <w:rFonts w:hint="eastAsia" w:ascii="新宋体" w:hAnsi="新宋体" w:eastAsia="新宋体" w:cs="新宋体"/>
                <w:color w:val="000000"/>
                <w:sz w:val="18"/>
                <w:szCs w:val="18"/>
                <w:lang w:val="en-US" w:eastAsia="zh-CN"/>
              </w:rPr>
              <w:t>6</w:t>
            </w:r>
          </w:p>
        </w:tc>
        <w:tc>
          <w:tcPr>
            <w:tcW w:w="9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新宋体" w:hAnsi="新宋体" w:eastAsia="新宋体" w:cs="新宋体"/>
                <w:color w:val="000000"/>
                <w:sz w:val="18"/>
                <w:szCs w:val="18"/>
                <w:lang w:val="en-US" w:eastAsia="zh-CN"/>
              </w:rPr>
            </w:pPr>
            <w:r>
              <w:rPr>
                <w:rFonts w:hint="eastAsia" w:ascii="新宋体" w:hAnsi="新宋体" w:eastAsia="新宋体" w:cs="新宋体"/>
                <w:color w:val="000000"/>
                <w:sz w:val="18"/>
                <w:szCs w:val="18"/>
                <w:lang w:val="en-US" w:eastAsia="zh-CN"/>
              </w:rPr>
              <w:t>5.7</w:t>
            </w:r>
          </w:p>
        </w:tc>
        <w:tc>
          <w:tcPr>
            <w:tcW w:w="1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lang w:eastAsia="zh-CN"/>
              </w:rPr>
            </w:pPr>
            <w:r>
              <w:rPr>
                <w:rFonts w:hint="eastAsia" w:ascii="新宋体" w:hAnsi="新宋体" w:eastAsia="新宋体" w:cs="新宋体"/>
                <w:color w:val="000000"/>
                <w:sz w:val="18"/>
                <w:szCs w:val="18"/>
                <w:lang w:eastAsia="zh-CN"/>
              </w:rPr>
              <w:t>队伍庞大，经费支出控制有限</w:t>
            </w:r>
          </w:p>
        </w:tc>
      </w:tr>
      <w:tr>
        <w:tblPrEx>
          <w:tblLayout w:type="fixed"/>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p>
        </w:tc>
        <w:tc>
          <w:tcPr>
            <w:tcW w:w="867"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社会效</w:t>
            </w:r>
          </w:p>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益指标</w:t>
            </w:r>
          </w:p>
        </w:tc>
        <w:tc>
          <w:tcPr>
            <w:tcW w:w="1149"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维护社会稳定，</w:t>
            </w:r>
            <w:r>
              <w:rPr>
                <w:rFonts w:hint="eastAsia" w:ascii="新宋体" w:hAnsi="新宋体" w:eastAsia="新宋体" w:cs="新宋体"/>
                <w:color w:val="000000"/>
                <w:sz w:val="18"/>
                <w:szCs w:val="18"/>
                <w:lang w:eastAsia="zh-CN"/>
              </w:rPr>
              <w:t>化解矛盾纠纷，</w:t>
            </w:r>
            <w:r>
              <w:rPr>
                <w:rFonts w:hint="eastAsia" w:ascii="新宋体" w:hAnsi="新宋体" w:eastAsia="新宋体" w:cs="新宋体"/>
                <w:color w:val="000000"/>
                <w:sz w:val="18"/>
                <w:szCs w:val="18"/>
              </w:rPr>
              <w:t>确保县域风平浪静</w:t>
            </w:r>
          </w:p>
        </w:tc>
        <w:tc>
          <w:tcPr>
            <w:tcW w:w="1011"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lang w:val="en-US" w:eastAsia="zh-CN"/>
              </w:rPr>
              <w:t>100</w:t>
            </w:r>
          </w:p>
        </w:tc>
        <w:tc>
          <w:tcPr>
            <w:tcW w:w="1072"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新宋体" w:hAnsi="新宋体" w:eastAsia="新宋体" w:cs="新宋体"/>
                <w:color w:val="000000"/>
                <w:sz w:val="18"/>
                <w:szCs w:val="18"/>
                <w:lang w:val="en-US" w:eastAsia="zh-CN"/>
              </w:rPr>
            </w:pPr>
            <w:r>
              <w:rPr>
                <w:rFonts w:hint="eastAsia" w:ascii="新宋体" w:hAnsi="新宋体" w:eastAsia="新宋体" w:cs="新宋体"/>
                <w:color w:val="000000"/>
                <w:sz w:val="18"/>
                <w:szCs w:val="18"/>
                <w:lang w:val="en-US" w:eastAsia="zh-CN"/>
              </w:rPr>
              <w:t>90</w:t>
            </w:r>
          </w:p>
        </w:tc>
        <w:tc>
          <w:tcPr>
            <w:tcW w:w="670"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lang w:val="en-US" w:eastAsia="zh-CN"/>
              </w:rPr>
            </w:pPr>
            <w:r>
              <w:rPr>
                <w:rFonts w:hint="eastAsia" w:ascii="新宋体" w:hAnsi="新宋体" w:eastAsia="新宋体" w:cs="新宋体"/>
                <w:color w:val="000000"/>
                <w:sz w:val="18"/>
                <w:szCs w:val="18"/>
                <w:lang w:val="en-US" w:eastAsia="zh-CN"/>
              </w:rPr>
              <w:t>6</w:t>
            </w:r>
          </w:p>
        </w:tc>
        <w:tc>
          <w:tcPr>
            <w:tcW w:w="943"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新宋体" w:hAnsi="新宋体" w:eastAsia="新宋体" w:cs="新宋体"/>
                <w:color w:val="000000"/>
                <w:sz w:val="18"/>
                <w:szCs w:val="18"/>
                <w:lang w:val="en-US" w:eastAsia="zh-CN"/>
              </w:rPr>
            </w:pPr>
            <w:r>
              <w:rPr>
                <w:rFonts w:hint="eastAsia" w:ascii="新宋体" w:hAnsi="新宋体" w:eastAsia="新宋体" w:cs="新宋体"/>
                <w:color w:val="000000"/>
                <w:sz w:val="18"/>
                <w:szCs w:val="18"/>
                <w:lang w:val="en-US" w:eastAsia="zh-CN"/>
              </w:rPr>
              <w:t>5.4</w:t>
            </w:r>
          </w:p>
        </w:tc>
        <w:tc>
          <w:tcPr>
            <w:tcW w:w="1594"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lang w:eastAsia="zh-CN"/>
              </w:rPr>
            </w:pPr>
            <w:r>
              <w:rPr>
                <w:rFonts w:hint="eastAsia" w:ascii="新宋体" w:hAnsi="新宋体" w:eastAsia="新宋体" w:cs="新宋体"/>
                <w:color w:val="000000"/>
                <w:sz w:val="18"/>
                <w:szCs w:val="18"/>
                <w:lang w:eastAsia="zh-CN"/>
              </w:rPr>
              <w:t>深化</w:t>
            </w:r>
            <w:r>
              <w:rPr>
                <w:rFonts w:hint="eastAsia" w:ascii="新宋体" w:hAnsi="新宋体" w:eastAsia="新宋体" w:cs="新宋体"/>
                <w:color w:val="000000"/>
                <w:sz w:val="18"/>
                <w:szCs w:val="18"/>
              </w:rPr>
              <w:t>严厉打击各类违法犯罪，维护全县社会治安大局稳定</w:t>
            </w:r>
          </w:p>
        </w:tc>
      </w:tr>
      <w:tr>
        <w:tblPrEx>
          <w:tblLayout w:type="fixed"/>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p>
        </w:tc>
        <w:tc>
          <w:tcPr>
            <w:tcW w:w="867" w:type="dxa"/>
            <w:vMerge w:val="continue"/>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p>
        </w:tc>
        <w:tc>
          <w:tcPr>
            <w:tcW w:w="1149"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全面深化改革，</w:t>
            </w:r>
            <w:r>
              <w:rPr>
                <w:rFonts w:hint="eastAsia" w:ascii="新宋体" w:hAnsi="新宋体" w:eastAsia="新宋体" w:cs="新宋体"/>
                <w:color w:val="000000"/>
                <w:sz w:val="18"/>
                <w:szCs w:val="18"/>
                <w:lang w:eastAsia="zh-CN"/>
              </w:rPr>
              <w:t>深化“简政放权”，</w:t>
            </w:r>
            <w:r>
              <w:rPr>
                <w:rFonts w:hint="eastAsia" w:ascii="新宋体" w:hAnsi="新宋体" w:eastAsia="新宋体" w:cs="新宋体"/>
                <w:color w:val="000000"/>
                <w:sz w:val="18"/>
                <w:szCs w:val="18"/>
              </w:rPr>
              <w:t>确保创新风和日丽</w:t>
            </w:r>
          </w:p>
        </w:tc>
        <w:tc>
          <w:tcPr>
            <w:tcW w:w="1011"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lang w:val="en-US" w:eastAsia="zh-CN"/>
              </w:rPr>
              <w:t>100</w:t>
            </w:r>
          </w:p>
        </w:tc>
        <w:tc>
          <w:tcPr>
            <w:tcW w:w="1072"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新宋体" w:hAnsi="新宋体" w:eastAsia="新宋体" w:cs="新宋体"/>
                <w:color w:val="000000"/>
                <w:sz w:val="18"/>
                <w:szCs w:val="18"/>
                <w:lang w:val="en-US" w:eastAsia="zh-CN"/>
              </w:rPr>
            </w:pPr>
            <w:r>
              <w:rPr>
                <w:rFonts w:hint="eastAsia" w:ascii="新宋体" w:hAnsi="新宋体" w:eastAsia="新宋体" w:cs="新宋体"/>
                <w:color w:val="000000"/>
                <w:sz w:val="18"/>
                <w:szCs w:val="18"/>
                <w:lang w:val="en-US" w:eastAsia="zh-CN"/>
              </w:rPr>
              <w:t>85</w:t>
            </w:r>
          </w:p>
        </w:tc>
        <w:tc>
          <w:tcPr>
            <w:tcW w:w="670"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lang w:val="en-US" w:eastAsia="zh-CN"/>
              </w:rPr>
            </w:pPr>
            <w:r>
              <w:rPr>
                <w:rFonts w:hint="eastAsia" w:ascii="新宋体" w:hAnsi="新宋体" w:eastAsia="新宋体" w:cs="新宋体"/>
                <w:color w:val="000000"/>
                <w:sz w:val="18"/>
                <w:szCs w:val="18"/>
                <w:lang w:val="en-US" w:eastAsia="zh-CN"/>
              </w:rPr>
              <w:t>6</w:t>
            </w:r>
          </w:p>
        </w:tc>
        <w:tc>
          <w:tcPr>
            <w:tcW w:w="943"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新宋体" w:hAnsi="新宋体" w:eastAsia="新宋体" w:cs="新宋体"/>
                <w:color w:val="000000"/>
                <w:sz w:val="18"/>
                <w:szCs w:val="18"/>
                <w:lang w:val="en-US" w:eastAsia="zh-CN"/>
              </w:rPr>
            </w:pPr>
            <w:r>
              <w:rPr>
                <w:rFonts w:hint="eastAsia" w:ascii="新宋体" w:hAnsi="新宋体" w:eastAsia="新宋体" w:cs="新宋体"/>
                <w:color w:val="000000"/>
                <w:sz w:val="18"/>
                <w:szCs w:val="18"/>
                <w:lang w:val="en-US" w:eastAsia="zh-CN"/>
              </w:rPr>
              <w:t>5.1</w:t>
            </w:r>
          </w:p>
        </w:tc>
        <w:tc>
          <w:tcPr>
            <w:tcW w:w="1594"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深入排查安全风险，加强巡逻守护平安</w:t>
            </w:r>
          </w:p>
        </w:tc>
      </w:tr>
      <w:tr>
        <w:tblPrEx>
          <w:tblLayout w:type="fixed"/>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p>
        </w:tc>
        <w:tc>
          <w:tcPr>
            <w:tcW w:w="867" w:type="dxa"/>
            <w:tcBorders>
              <w:top w:val="single" w:color="auto" w:sz="4" w:space="0"/>
              <w:left w:val="nil"/>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生态效</w:t>
            </w:r>
          </w:p>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益指标</w:t>
            </w:r>
          </w:p>
        </w:tc>
        <w:tc>
          <w:tcPr>
            <w:tcW w:w="1149"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lang w:eastAsia="zh-CN"/>
              </w:rPr>
            </w:pPr>
            <w:r>
              <w:rPr>
                <w:rFonts w:hint="eastAsia" w:ascii="新宋体" w:hAnsi="新宋体" w:eastAsia="新宋体" w:cs="新宋体"/>
                <w:color w:val="000000"/>
                <w:sz w:val="18"/>
                <w:szCs w:val="18"/>
              </w:rPr>
              <w:t>坚持严管厚爱，</w:t>
            </w:r>
            <w:r>
              <w:rPr>
                <w:rFonts w:hint="eastAsia" w:ascii="新宋体" w:hAnsi="新宋体" w:eastAsia="新宋体" w:cs="新宋体"/>
                <w:color w:val="000000"/>
                <w:sz w:val="18"/>
                <w:szCs w:val="18"/>
                <w:lang w:eastAsia="zh-CN"/>
              </w:rPr>
              <w:t>从严治警、从优待警</w:t>
            </w:r>
          </w:p>
        </w:tc>
        <w:tc>
          <w:tcPr>
            <w:tcW w:w="1011"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lang w:val="en-US" w:eastAsia="zh-CN"/>
              </w:rPr>
              <w:t>100</w:t>
            </w:r>
          </w:p>
        </w:tc>
        <w:tc>
          <w:tcPr>
            <w:tcW w:w="1072"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新宋体" w:hAnsi="新宋体" w:eastAsia="新宋体" w:cs="新宋体"/>
                <w:color w:val="000000"/>
                <w:sz w:val="18"/>
                <w:szCs w:val="18"/>
                <w:lang w:val="en-US" w:eastAsia="zh-CN"/>
              </w:rPr>
            </w:pPr>
            <w:r>
              <w:rPr>
                <w:rFonts w:hint="eastAsia" w:ascii="新宋体" w:hAnsi="新宋体" w:eastAsia="新宋体" w:cs="新宋体"/>
                <w:color w:val="000000"/>
                <w:sz w:val="18"/>
                <w:szCs w:val="18"/>
                <w:lang w:val="en-US" w:eastAsia="zh-CN"/>
              </w:rPr>
              <w:t>90</w:t>
            </w:r>
          </w:p>
        </w:tc>
        <w:tc>
          <w:tcPr>
            <w:tcW w:w="670"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lang w:val="en-US" w:eastAsia="zh-CN"/>
              </w:rPr>
            </w:pPr>
            <w:r>
              <w:rPr>
                <w:rFonts w:hint="eastAsia" w:ascii="新宋体" w:hAnsi="新宋体" w:eastAsia="新宋体" w:cs="新宋体"/>
                <w:color w:val="000000"/>
                <w:sz w:val="18"/>
                <w:szCs w:val="18"/>
                <w:lang w:val="en-US" w:eastAsia="zh-CN"/>
              </w:rPr>
              <w:t>6</w:t>
            </w:r>
          </w:p>
        </w:tc>
        <w:tc>
          <w:tcPr>
            <w:tcW w:w="943"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新宋体" w:hAnsi="新宋体" w:eastAsia="新宋体" w:cs="新宋体"/>
                <w:color w:val="000000"/>
                <w:sz w:val="18"/>
                <w:szCs w:val="18"/>
                <w:lang w:val="en-US" w:eastAsia="zh-CN"/>
              </w:rPr>
            </w:pPr>
            <w:r>
              <w:rPr>
                <w:rFonts w:hint="eastAsia" w:ascii="新宋体" w:hAnsi="新宋体" w:eastAsia="新宋体" w:cs="新宋体"/>
                <w:color w:val="000000"/>
                <w:sz w:val="18"/>
                <w:szCs w:val="18"/>
                <w:lang w:val="en-US" w:eastAsia="zh-CN"/>
              </w:rPr>
              <w:t>5.4</w:t>
            </w:r>
          </w:p>
        </w:tc>
        <w:tc>
          <w:tcPr>
            <w:tcW w:w="1594"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lang w:eastAsia="zh-CN"/>
              </w:rPr>
              <w:t>将</w:t>
            </w:r>
            <w:r>
              <w:rPr>
                <w:rFonts w:hint="eastAsia" w:ascii="新宋体" w:hAnsi="新宋体" w:eastAsia="新宋体" w:cs="新宋体"/>
                <w:color w:val="000000"/>
                <w:sz w:val="18"/>
                <w:szCs w:val="18"/>
              </w:rPr>
              <w:t>深入开展政法队伍教育整顿活动</w:t>
            </w:r>
          </w:p>
        </w:tc>
      </w:tr>
      <w:tr>
        <w:tblPrEx>
          <w:tblLayout w:type="fixed"/>
          <w:tblCellMar>
            <w:top w:w="0" w:type="dxa"/>
            <w:left w:w="108" w:type="dxa"/>
            <w:bottom w:w="0" w:type="dxa"/>
            <w:right w:w="108" w:type="dxa"/>
          </w:tblCellMar>
        </w:tblPrEx>
        <w:trPr>
          <w:trHeight w:val="1230" w:hRule="atLeast"/>
          <w:jc w:val="center"/>
        </w:trPr>
        <w:tc>
          <w:tcPr>
            <w:tcW w:w="1099"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p>
        </w:tc>
        <w:tc>
          <w:tcPr>
            <w:tcW w:w="8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可持续影响指标</w:t>
            </w:r>
          </w:p>
        </w:tc>
        <w:tc>
          <w:tcPr>
            <w:tcW w:w="11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服务中心大局，</w:t>
            </w:r>
            <w:r>
              <w:rPr>
                <w:rFonts w:hint="eastAsia" w:ascii="新宋体" w:hAnsi="新宋体" w:eastAsia="新宋体" w:cs="新宋体"/>
                <w:color w:val="000000"/>
                <w:sz w:val="18"/>
                <w:szCs w:val="18"/>
                <w:lang w:eastAsia="zh-CN"/>
              </w:rPr>
              <w:t>整治安全问题及隐患</w:t>
            </w:r>
          </w:p>
        </w:tc>
        <w:tc>
          <w:tcPr>
            <w:tcW w:w="10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lang w:val="en-US" w:eastAsia="zh-CN"/>
              </w:rPr>
              <w:t>100</w:t>
            </w:r>
          </w:p>
        </w:tc>
        <w:tc>
          <w:tcPr>
            <w:tcW w:w="10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新宋体" w:hAnsi="新宋体" w:eastAsia="新宋体" w:cs="新宋体"/>
                <w:color w:val="000000"/>
                <w:sz w:val="18"/>
                <w:szCs w:val="18"/>
                <w:lang w:val="en-US" w:eastAsia="zh-CN"/>
              </w:rPr>
            </w:pPr>
            <w:r>
              <w:rPr>
                <w:rFonts w:hint="eastAsia" w:ascii="新宋体" w:hAnsi="新宋体" w:eastAsia="新宋体" w:cs="新宋体"/>
                <w:color w:val="000000"/>
                <w:sz w:val="18"/>
                <w:szCs w:val="18"/>
                <w:lang w:val="en-US" w:eastAsia="zh-CN"/>
              </w:rPr>
              <w:t>90</w:t>
            </w:r>
          </w:p>
        </w:tc>
        <w:tc>
          <w:tcPr>
            <w:tcW w:w="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lang w:val="en-US" w:eastAsia="zh-CN"/>
              </w:rPr>
            </w:pPr>
            <w:r>
              <w:rPr>
                <w:rFonts w:hint="eastAsia" w:ascii="新宋体" w:hAnsi="新宋体" w:eastAsia="新宋体" w:cs="新宋体"/>
                <w:color w:val="000000"/>
                <w:sz w:val="18"/>
                <w:szCs w:val="18"/>
                <w:lang w:val="en-US" w:eastAsia="zh-CN"/>
              </w:rPr>
              <w:t>6</w:t>
            </w:r>
          </w:p>
        </w:tc>
        <w:tc>
          <w:tcPr>
            <w:tcW w:w="9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新宋体" w:hAnsi="新宋体" w:eastAsia="新宋体" w:cs="新宋体"/>
                <w:color w:val="000000"/>
                <w:sz w:val="18"/>
                <w:szCs w:val="18"/>
                <w:lang w:val="en-US" w:eastAsia="zh-CN"/>
              </w:rPr>
            </w:pPr>
            <w:r>
              <w:rPr>
                <w:rFonts w:hint="eastAsia" w:ascii="新宋体" w:hAnsi="新宋体" w:eastAsia="新宋体" w:cs="新宋体"/>
                <w:color w:val="000000"/>
                <w:sz w:val="18"/>
                <w:szCs w:val="18"/>
                <w:lang w:val="en-US" w:eastAsia="zh-CN"/>
              </w:rPr>
              <w:t>5.4</w:t>
            </w:r>
          </w:p>
        </w:tc>
        <w:tc>
          <w:tcPr>
            <w:tcW w:w="1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lang w:eastAsia="zh-CN"/>
              </w:rPr>
            </w:pPr>
            <w:r>
              <w:rPr>
                <w:rFonts w:hint="eastAsia" w:ascii="新宋体" w:hAnsi="新宋体" w:eastAsia="新宋体" w:cs="新宋体"/>
                <w:color w:val="000000"/>
                <w:sz w:val="18"/>
                <w:szCs w:val="18"/>
                <w:lang w:eastAsia="zh-CN"/>
              </w:rPr>
              <w:t>强化服务</w:t>
            </w:r>
          </w:p>
        </w:tc>
      </w:tr>
      <w:tr>
        <w:tblPrEx>
          <w:tblLayout w:type="fixed"/>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tcBorders>
              <w:top w:val="single" w:color="auto" w:sz="4" w:space="0"/>
              <w:left w:val="nil"/>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满意度</w:t>
            </w:r>
          </w:p>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指标</w:t>
            </w:r>
          </w:p>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（10分）</w:t>
            </w:r>
          </w:p>
        </w:tc>
        <w:tc>
          <w:tcPr>
            <w:tcW w:w="867" w:type="dxa"/>
            <w:tcBorders>
              <w:top w:val="single" w:color="auto" w:sz="4" w:space="0"/>
              <w:left w:val="nil"/>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服务对象满意度指标</w:t>
            </w:r>
          </w:p>
        </w:tc>
        <w:tc>
          <w:tcPr>
            <w:tcW w:w="1149"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从严治警，公众评价整体提升。</w:t>
            </w:r>
          </w:p>
        </w:tc>
        <w:tc>
          <w:tcPr>
            <w:tcW w:w="1011"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新宋体" w:hAnsi="新宋体" w:eastAsia="新宋体" w:cs="新宋体"/>
                <w:color w:val="000000"/>
                <w:sz w:val="18"/>
                <w:szCs w:val="18"/>
                <w:lang w:val="en-US" w:eastAsia="zh-CN"/>
              </w:rPr>
            </w:pPr>
            <w:r>
              <w:rPr>
                <w:rFonts w:hint="eastAsia" w:ascii="新宋体" w:hAnsi="新宋体" w:eastAsia="新宋体" w:cs="新宋体"/>
                <w:color w:val="000000"/>
                <w:sz w:val="18"/>
                <w:szCs w:val="18"/>
                <w:lang w:val="en-US" w:eastAsia="zh-CN"/>
              </w:rPr>
              <w:t>100</w:t>
            </w:r>
          </w:p>
        </w:tc>
        <w:tc>
          <w:tcPr>
            <w:tcW w:w="1072"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新宋体" w:hAnsi="新宋体" w:eastAsia="新宋体" w:cs="新宋体"/>
                <w:color w:val="000000"/>
                <w:sz w:val="18"/>
                <w:szCs w:val="18"/>
                <w:lang w:val="en-US" w:eastAsia="zh-CN"/>
              </w:rPr>
            </w:pPr>
            <w:r>
              <w:rPr>
                <w:rFonts w:hint="eastAsia" w:ascii="新宋体" w:hAnsi="新宋体" w:eastAsia="新宋体" w:cs="新宋体"/>
                <w:color w:val="000000"/>
                <w:sz w:val="18"/>
                <w:szCs w:val="18"/>
                <w:lang w:val="en-US" w:eastAsia="zh-CN"/>
              </w:rPr>
              <w:t>100</w:t>
            </w:r>
          </w:p>
        </w:tc>
        <w:tc>
          <w:tcPr>
            <w:tcW w:w="670"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新宋体" w:hAnsi="新宋体" w:eastAsia="新宋体" w:cs="新宋体"/>
                <w:color w:val="000000"/>
                <w:sz w:val="18"/>
                <w:szCs w:val="18"/>
                <w:lang w:val="en-US" w:eastAsia="zh-CN"/>
              </w:rPr>
            </w:pPr>
            <w:r>
              <w:rPr>
                <w:rFonts w:hint="eastAsia" w:ascii="新宋体" w:hAnsi="新宋体" w:eastAsia="新宋体" w:cs="新宋体"/>
                <w:color w:val="000000"/>
                <w:sz w:val="18"/>
                <w:szCs w:val="18"/>
                <w:lang w:val="en-US" w:eastAsia="zh-CN"/>
              </w:rPr>
              <w:t>10</w:t>
            </w:r>
          </w:p>
        </w:tc>
        <w:tc>
          <w:tcPr>
            <w:tcW w:w="943"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新宋体" w:hAnsi="新宋体" w:eastAsia="新宋体" w:cs="新宋体"/>
                <w:color w:val="000000"/>
                <w:sz w:val="18"/>
                <w:szCs w:val="18"/>
                <w:lang w:val="en-US" w:eastAsia="zh-CN"/>
              </w:rPr>
            </w:pPr>
            <w:r>
              <w:rPr>
                <w:rFonts w:hint="eastAsia" w:ascii="新宋体" w:hAnsi="新宋体" w:eastAsia="新宋体" w:cs="新宋体"/>
                <w:color w:val="000000"/>
                <w:sz w:val="18"/>
                <w:szCs w:val="18"/>
                <w:lang w:val="en-US" w:eastAsia="zh-CN"/>
              </w:rPr>
              <w:t>10</w:t>
            </w:r>
          </w:p>
        </w:tc>
        <w:tc>
          <w:tcPr>
            <w:tcW w:w="1594"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p>
        </w:tc>
      </w:tr>
      <w:tr>
        <w:tblPrEx>
          <w:tblLayout w:type="fixed"/>
          <w:tblCellMar>
            <w:top w:w="0" w:type="dxa"/>
            <w:left w:w="108" w:type="dxa"/>
            <w:bottom w:w="0" w:type="dxa"/>
            <w:right w:w="108" w:type="dxa"/>
          </w:tblCellMar>
        </w:tblPrEx>
        <w:trPr>
          <w:trHeight w:val="489" w:hRule="atLeast"/>
          <w:jc w:val="center"/>
        </w:trPr>
        <w:tc>
          <w:tcPr>
            <w:tcW w:w="6079" w:type="dxa"/>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总分</w:t>
            </w:r>
          </w:p>
        </w:tc>
        <w:tc>
          <w:tcPr>
            <w:tcW w:w="670"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100</w:t>
            </w:r>
          </w:p>
        </w:tc>
        <w:tc>
          <w:tcPr>
            <w:tcW w:w="943"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新宋体" w:hAnsi="新宋体" w:eastAsia="新宋体" w:cs="新宋体"/>
                <w:color w:val="000000"/>
                <w:sz w:val="18"/>
                <w:szCs w:val="18"/>
                <w:lang w:val="en-US" w:eastAsia="zh-CN"/>
              </w:rPr>
            </w:pPr>
            <w:r>
              <w:rPr>
                <w:rFonts w:hint="eastAsia" w:ascii="新宋体" w:hAnsi="新宋体" w:eastAsia="新宋体" w:cs="新宋体"/>
                <w:color w:val="000000"/>
                <w:sz w:val="18"/>
                <w:szCs w:val="18"/>
                <w:lang w:val="en-US" w:eastAsia="zh-CN"/>
              </w:rPr>
              <w:t>96</w:t>
            </w:r>
          </w:p>
        </w:tc>
        <w:tc>
          <w:tcPr>
            <w:tcW w:w="1594"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新宋体" w:hAnsi="新宋体" w:eastAsia="新宋体" w:cs="新宋体"/>
                <w:color w:val="000000"/>
                <w:sz w:val="18"/>
                <w:szCs w:val="18"/>
              </w:rPr>
            </w:pPr>
          </w:p>
        </w:tc>
      </w:tr>
    </w:tbl>
    <w:p>
      <w:pPr>
        <w:rPr>
          <w:rFonts w:hint="eastAsia" w:eastAsia="仿宋_GB2312" w:cs="Times New Roman"/>
          <w:sz w:val="22"/>
          <w:lang w:val="en-US" w:eastAsia="zh-CN"/>
        </w:rPr>
      </w:pPr>
      <w:r>
        <w:rPr>
          <w:rFonts w:hint="default" w:ascii="Times New Roman" w:hAnsi="Times New Roman" w:eastAsia="仿宋_GB2312" w:cs="Times New Roman"/>
          <w:sz w:val="22"/>
        </w:rPr>
        <w:t>说明：</w:t>
      </w:r>
      <w:r>
        <w:rPr>
          <w:rFonts w:hint="eastAsia" w:eastAsia="仿宋_GB2312" w:cs="Times New Roman"/>
          <w:sz w:val="22"/>
          <w:lang w:eastAsia="zh-CN"/>
        </w:rPr>
        <w:t>以上数据参照</w:t>
      </w:r>
      <w:r>
        <w:rPr>
          <w:rFonts w:hint="eastAsia" w:eastAsia="仿宋_GB2312" w:cs="Times New Roman"/>
          <w:sz w:val="22"/>
          <w:lang w:val="en-US" w:eastAsia="zh-CN"/>
        </w:rPr>
        <w:t>2022年部门决算报表中的“收入支出决算总表”(财决01表)。</w:t>
      </w:r>
    </w:p>
    <w:p>
      <w:pPr>
        <w:pStyle w:val="2"/>
        <w:rPr>
          <w:rFonts w:hint="default"/>
          <w:lang w:val="en-US" w:eastAsia="zh-CN"/>
        </w:rPr>
      </w:pPr>
    </w:p>
    <w:p>
      <w:pPr>
        <w:rPr>
          <w:rFonts w:hint="eastAsia" w:ascii="黑体" w:hAnsi="黑体" w:eastAsia="黑体" w:cs="黑体"/>
          <w:sz w:val="32"/>
          <w:szCs w:val="32"/>
          <w:lang w:val="en-US" w:eastAsia="zh-CN"/>
        </w:rPr>
      </w:pPr>
      <w:r>
        <w:rPr>
          <w:rFonts w:hint="default" w:ascii="Times New Roman" w:hAnsi="Times New Roman" w:eastAsia="仿宋_GB2312" w:cs="Times New Roman"/>
          <w:sz w:val="22"/>
          <w:szCs w:val="22"/>
        </w:rPr>
        <w:t>填表人：</w:t>
      </w:r>
      <w:r>
        <w:rPr>
          <w:rFonts w:hint="eastAsia" w:eastAsia="仿宋_GB2312" w:cs="Times New Roman"/>
          <w:sz w:val="22"/>
          <w:szCs w:val="22"/>
          <w:lang w:eastAsia="zh-CN"/>
        </w:rPr>
        <w:t>刘崇诚</w:t>
      </w:r>
      <w:r>
        <w:rPr>
          <w:rFonts w:hint="default" w:ascii="Times New Roman" w:hAnsi="Times New Roman" w:eastAsia="仿宋_GB2312" w:cs="Times New Roman"/>
          <w:sz w:val="22"/>
          <w:szCs w:val="22"/>
        </w:rPr>
        <w:t xml:space="preserve"> 填报日期：</w:t>
      </w:r>
      <w:r>
        <w:rPr>
          <w:rFonts w:hint="eastAsia" w:eastAsia="仿宋_GB2312" w:cs="Times New Roman"/>
          <w:sz w:val="22"/>
          <w:szCs w:val="22"/>
          <w:lang w:val="en-US" w:eastAsia="zh-CN"/>
        </w:rPr>
        <w:t>2023.7.4</w:t>
      </w:r>
      <w:r>
        <w:rPr>
          <w:rFonts w:hint="default" w:ascii="Times New Roman" w:hAnsi="Times New Roman" w:eastAsia="仿宋_GB2312" w:cs="Times New Roman"/>
          <w:sz w:val="22"/>
          <w:szCs w:val="22"/>
        </w:rPr>
        <w:t xml:space="preserve"> 联系电话：</w:t>
      </w:r>
      <w:r>
        <w:rPr>
          <w:rFonts w:hint="eastAsia" w:eastAsia="仿宋_GB2312" w:cs="Times New Roman"/>
          <w:sz w:val="22"/>
          <w:szCs w:val="22"/>
          <w:lang w:val="en-US" w:eastAsia="zh-CN"/>
        </w:rPr>
        <w:t>0730-4251027</w:t>
      </w:r>
      <w:r>
        <w:rPr>
          <w:rFonts w:hint="eastAsia" w:ascii="Times New Roman" w:hAnsi="Times New Roman" w:eastAsia="仿宋_GB2312" w:cs="Times New Roman"/>
          <w:sz w:val="22"/>
          <w:szCs w:val="22"/>
          <w:lang w:val="en-US" w:eastAsia="zh-CN"/>
        </w:rPr>
        <w:t xml:space="preserve"> </w:t>
      </w:r>
      <w:r>
        <w:rPr>
          <w:rFonts w:hint="default" w:ascii="Times New Roman" w:hAnsi="Times New Roman" w:eastAsia="仿宋_GB2312" w:cs="Times New Roman"/>
          <w:sz w:val="22"/>
          <w:szCs w:val="22"/>
        </w:rPr>
        <w:t>单位负责人签字：</w:t>
      </w:r>
      <w:r>
        <w:rPr>
          <w:rFonts w:hint="eastAsia" w:eastAsia="仿宋_GB2312" w:cs="Times New Roman"/>
          <w:sz w:val="22"/>
          <w:szCs w:val="22"/>
          <w:lang w:eastAsia="zh-CN"/>
        </w:rPr>
        <w:t>马克金</w:t>
      </w:r>
      <w:r>
        <w:rPr>
          <w:rFonts w:hint="default" w:ascii="Times New Roman" w:hAnsi="Times New Roman" w:eastAsia="仿宋_GB2312" w:cs="Times New Roman"/>
          <w:sz w:val="22"/>
          <w:szCs w:val="22"/>
        </w:rPr>
        <w:br w:type="page"/>
      </w:r>
      <w:r>
        <w:rPr>
          <w:rFonts w:hint="eastAsia" w:ascii="黑体" w:hAnsi="黑体" w:eastAsia="黑体" w:cs="黑体"/>
          <w:sz w:val="32"/>
          <w:szCs w:val="32"/>
        </w:rPr>
        <w:t>附件</w:t>
      </w:r>
      <w:r>
        <w:rPr>
          <w:rFonts w:hint="eastAsia" w:ascii="黑体" w:hAnsi="黑体" w:eastAsia="黑体" w:cs="黑体"/>
          <w:sz w:val="32"/>
          <w:szCs w:val="32"/>
          <w:lang w:val="en-US" w:eastAsia="zh-CN"/>
        </w:rPr>
        <w:t>3</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华容县公安局</w:t>
      </w:r>
      <w:r>
        <w:rPr>
          <w:rFonts w:hint="eastAsia" w:ascii="方正小标宋简体" w:hAnsi="方正小标宋简体" w:eastAsia="方正小标宋简体" w:cs="方正小标宋简体"/>
          <w:sz w:val="44"/>
          <w:szCs w:val="44"/>
        </w:rPr>
        <w:t>整体支出</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rPr>
          <w:rFonts w:hint="default"/>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eastAsia" w:ascii="Times New Roman" w:hAnsi="Times New Roman" w:eastAsia="仿宋_GB2312" w:cs="Times New Roman"/>
          <w:sz w:val="32"/>
          <w:szCs w:val="32"/>
          <w:u w:val="single"/>
          <w:lang w:eastAsia="zh-CN"/>
        </w:rPr>
      </w:pPr>
      <w:r>
        <w:rPr>
          <w:rFonts w:hint="default" w:ascii="Times New Roman" w:hAnsi="Times New Roman" w:eastAsia="仿宋_GB2312" w:cs="Times New Roman"/>
          <w:sz w:val="32"/>
          <w:szCs w:val="32"/>
        </w:rPr>
        <w:t>部门（单位）名称：</w:t>
      </w:r>
      <w:r>
        <w:rPr>
          <w:rFonts w:hint="eastAsia" w:eastAsia="仿宋_GB2312" w:cs="Times New Roman"/>
          <w:sz w:val="32"/>
          <w:szCs w:val="32"/>
          <w:u w:val="single"/>
          <w:lang w:eastAsia="zh-CN"/>
        </w:rPr>
        <w:t>华容县公安局</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2023</w:t>
      </w:r>
      <w:r>
        <w:rPr>
          <w:rFonts w:hint="default" w:ascii="Times New Roman" w:hAnsi="Times New Roman" w:eastAsia="楷体_GB2312" w:cs="Times New Roman"/>
          <w:sz w:val="32"/>
          <w:szCs w:val="32"/>
        </w:rPr>
        <w:t>年</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月</w:t>
      </w:r>
      <w:r>
        <w:rPr>
          <w:rFonts w:hint="eastAsia" w:eastAsia="楷体_GB2312" w:cs="Times New Roman"/>
          <w:sz w:val="32"/>
          <w:szCs w:val="32"/>
          <w:lang w:val="en-US" w:eastAsia="zh-CN"/>
        </w:rPr>
        <w:t>4</w:t>
      </w:r>
      <w:r>
        <w:rPr>
          <w:rFonts w:hint="default" w:ascii="Times New Roman" w:hAnsi="Times New Roman" w:eastAsia="楷体_GB2312" w:cs="Times New Roman"/>
          <w:sz w:val="32"/>
          <w:szCs w:val="32"/>
        </w:rPr>
        <w:t>日</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华容县公安局</w:t>
      </w:r>
      <w:r>
        <w:rPr>
          <w:rFonts w:hint="eastAsia" w:ascii="方正小标宋简体" w:hAnsi="方正小标宋简体" w:eastAsia="方正小标宋简体" w:cs="方正小标宋简体"/>
          <w:sz w:val="44"/>
          <w:szCs w:val="44"/>
        </w:rPr>
        <w:t>整体支出</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keepNext w:val="0"/>
        <w:keepLines w:val="0"/>
        <w:pageBreakBefore w:val="0"/>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numPr>
          <w:ilvl w:val="0"/>
          <w:numId w:val="1"/>
        </w:numPr>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部门（单位）基本情况</w:t>
      </w:r>
    </w:p>
    <w:p>
      <w:pPr>
        <w:keepNext w:val="0"/>
        <w:keepLines w:val="0"/>
        <w:pageBreakBefore w:val="0"/>
        <w:widowControl/>
        <w:kinsoku/>
        <w:wordWrap/>
        <w:overflowPunct/>
        <w:topLinePunct w:val="0"/>
        <w:autoSpaceDE/>
        <w:autoSpaceDN/>
        <w:bidi w:val="0"/>
        <w:adjustRightInd/>
        <w:snapToGrid/>
        <w:spacing w:line="610" w:lineRule="exact"/>
        <w:ind w:firstLine="560" w:firstLineChars="200"/>
        <w:jc w:val="both"/>
        <w:textAlignment w:val="auto"/>
        <w:rPr>
          <w:rFonts w:hint="default"/>
          <w:sz w:val="28"/>
          <w:szCs w:val="28"/>
        </w:rPr>
      </w:pPr>
      <w:r>
        <w:rPr>
          <w:rFonts w:hint="eastAsia" w:ascii="仿宋" w:hAnsi="仿宋" w:eastAsia="仿宋" w:cs="仿宋"/>
          <w:color w:val="000000"/>
          <w:sz w:val="28"/>
          <w:szCs w:val="28"/>
        </w:rPr>
        <w:t>华容县公安局现有行政政法编制316人，实有在职人员</w:t>
      </w:r>
      <w:r>
        <w:rPr>
          <w:rFonts w:hint="eastAsia" w:ascii="仿宋" w:hAnsi="仿宋" w:eastAsia="仿宋" w:cs="仿宋"/>
          <w:color w:val="000000"/>
          <w:sz w:val="28"/>
          <w:szCs w:val="28"/>
          <w:lang w:val="en-US" w:eastAsia="zh-CN"/>
        </w:rPr>
        <w:t>317</w:t>
      </w:r>
      <w:r>
        <w:rPr>
          <w:rFonts w:hint="eastAsia" w:ascii="仿宋" w:hAnsi="仿宋" w:eastAsia="仿宋" w:cs="仿宋"/>
          <w:color w:val="000000"/>
          <w:sz w:val="28"/>
          <w:szCs w:val="28"/>
        </w:rPr>
        <w:t>人，退休人员12</w:t>
      </w: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rPr>
        <w:t>人，遗孀6人,协辅警、一村一辅警及退伍老兵</w:t>
      </w:r>
      <w:r>
        <w:rPr>
          <w:rFonts w:hint="eastAsia" w:ascii="仿宋" w:hAnsi="仿宋" w:eastAsia="仿宋" w:cs="仿宋"/>
          <w:color w:val="000000"/>
          <w:sz w:val="28"/>
          <w:szCs w:val="28"/>
          <w:lang w:val="en-US" w:eastAsia="zh-CN"/>
        </w:rPr>
        <w:t>491</w:t>
      </w:r>
      <w:r>
        <w:rPr>
          <w:rFonts w:hint="eastAsia" w:ascii="仿宋" w:hAnsi="仿宋" w:eastAsia="仿宋" w:cs="仿宋"/>
          <w:color w:val="000000"/>
          <w:sz w:val="28"/>
          <w:szCs w:val="28"/>
        </w:rPr>
        <w:t>人。小车</w:t>
      </w:r>
      <w:r>
        <w:rPr>
          <w:rFonts w:hint="eastAsia" w:ascii="仿宋" w:hAnsi="仿宋" w:eastAsia="仿宋" w:cs="仿宋"/>
          <w:color w:val="000000"/>
          <w:sz w:val="28"/>
          <w:szCs w:val="28"/>
          <w:lang w:val="en-US" w:eastAsia="zh-CN"/>
        </w:rPr>
        <w:t>64</w:t>
      </w:r>
      <w:r>
        <w:rPr>
          <w:rFonts w:hint="eastAsia" w:ascii="仿宋" w:hAnsi="仿宋" w:eastAsia="仿宋" w:cs="仿宋"/>
          <w:color w:val="000000"/>
          <w:sz w:val="28"/>
          <w:szCs w:val="28"/>
        </w:rPr>
        <w:t>台，电动巡逻车9台。公安机关是政府的重要组成部分，是国家的行政机关，同时它又担负着刑事案件的侦查任务，因而它又是国家的司法机关之一。公安机关是政府的一个职能部门，依法管理社会治安，行使国家的行政权，同时公安机关又依法侦查刑事案件，行使国家的司法权。公安机关的性质具有双重性，既有行使性又有司法性。公安机关的职责是：1、预防、制止和侦查违法犯罪</w:t>
      </w:r>
      <w:r>
        <w:rPr>
          <w:rFonts w:hint="eastAsia" w:ascii="仿宋" w:hAnsi="仿宋" w:eastAsia="仿宋" w:cs="仿宋"/>
          <w:color w:val="000000"/>
          <w:sz w:val="28"/>
          <w:szCs w:val="28"/>
          <w:lang w:eastAsia="zh-CN"/>
        </w:rPr>
        <w:t>活动</w:t>
      </w:r>
      <w:r>
        <w:rPr>
          <w:rFonts w:hint="eastAsia" w:ascii="仿宋" w:hAnsi="仿宋" w:eastAsia="仿宋" w:cs="仿宋"/>
          <w:color w:val="000000"/>
          <w:sz w:val="28"/>
          <w:szCs w:val="28"/>
        </w:rPr>
        <w:t>；2、防范、打击恐怖活动；维护社会治安秩序，制止危害社会治安秩序的行为；3、管理交通、消防、危险物品；4、管理户口、公民身份证、国籍、入境事务和外国人在中国境内居留、旅行的有关事务。</w:t>
      </w:r>
      <w:r>
        <w:rPr>
          <w:rFonts w:hint="eastAsia" w:ascii="仿宋" w:hAnsi="仿宋" w:eastAsia="仿宋" w:cs="仿宋"/>
          <w:color w:val="000000"/>
          <w:sz w:val="28"/>
          <w:szCs w:val="28"/>
          <w:lang w:eastAsia="zh-CN"/>
        </w:rPr>
        <w:t>本</w:t>
      </w:r>
      <w:r>
        <w:rPr>
          <w:rFonts w:hint="eastAsia" w:ascii="仿宋" w:hAnsi="仿宋" w:eastAsia="仿宋" w:cs="仿宋"/>
          <w:color w:val="000000"/>
          <w:sz w:val="28"/>
          <w:szCs w:val="28"/>
        </w:rPr>
        <w:t>年度主要工作内容是：</w:t>
      </w: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rPr>
        <w:t>捍卫政治安全，确保华容风清气正</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维护社会稳定，确保县域风平浪静</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3.</w:t>
      </w:r>
      <w:r>
        <w:rPr>
          <w:rFonts w:hint="eastAsia" w:ascii="仿宋" w:hAnsi="仿宋" w:eastAsia="仿宋" w:cs="仿宋"/>
          <w:color w:val="000000"/>
          <w:sz w:val="28"/>
          <w:szCs w:val="28"/>
        </w:rPr>
        <w:t>强化严打整治，确保打击风驰电掣</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4.</w:t>
      </w:r>
      <w:r>
        <w:rPr>
          <w:rFonts w:hint="eastAsia" w:ascii="仿宋" w:hAnsi="仿宋" w:eastAsia="仿宋" w:cs="仿宋"/>
          <w:color w:val="000000"/>
          <w:sz w:val="28"/>
          <w:szCs w:val="28"/>
        </w:rPr>
        <w:t>服务中心大局，确保发展风起云涌</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5.</w:t>
      </w:r>
      <w:r>
        <w:rPr>
          <w:rFonts w:hint="eastAsia" w:ascii="仿宋" w:hAnsi="仿宋" w:eastAsia="仿宋" w:cs="仿宋"/>
          <w:color w:val="000000"/>
          <w:sz w:val="28"/>
          <w:szCs w:val="28"/>
        </w:rPr>
        <w:t>夯实基层基础，确保警营风调雨顺</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6.</w:t>
      </w:r>
      <w:r>
        <w:rPr>
          <w:rFonts w:hint="eastAsia" w:ascii="仿宋" w:hAnsi="仿宋" w:eastAsia="仿宋" w:cs="仿宋"/>
          <w:color w:val="000000"/>
          <w:sz w:val="28"/>
          <w:szCs w:val="28"/>
        </w:rPr>
        <w:t>全面深化改革，确保创新风和日丽</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7.</w:t>
      </w:r>
      <w:r>
        <w:rPr>
          <w:rFonts w:hint="eastAsia" w:ascii="仿宋" w:hAnsi="仿宋" w:eastAsia="仿宋" w:cs="仿宋"/>
          <w:color w:val="000000"/>
          <w:sz w:val="28"/>
          <w:szCs w:val="28"/>
        </w:rPr>
        <w:t>坚持严管厚爱，确保队伍风华正茂</w:t>
      </w:r>
      <w:r>
        <w:rPr>
          <w:rFonts w:hint="eastAsia" w:ascii="仿宋" w:hAnsi="仿宋" w:eastAsia="仿宋" w:cs="仿宋"/>
          <w:color w:val="000000"/>
          <w:sz w:val="28"/>
          <w:szCs w:val="28"/>
          <w:lang w:eastAsia="zh-CN"/>
        </w:rPr>
        <w:t>。</w:t>
      </w:r>
    </w:p>
    <w:p>
      <w:pPr>
        <w:pStyle w:val="12"/>
        <w:keepNext w:val="0"/>
        <w:keepLines w:val="0"/>
        <w:pageBreakBefore w:val="0"/>
        <w:widowControl/>
        <w:numPr>
          <w:ilvl w:val="0"/>
          <w:numId w:val="1"/>
        </w:numPr>
        <w:kinsoku/>
        <w:wordWrap/>
        <w:overflowPunct/>
        <w:topLinePunct w:val="0"/>
        <w:autoSpaceDE/>
        <w:autoSpaceDN/>
        <w:bidi w:val="0"/>
        <w:adjustRightInd/>
        <w:snapToGrid/>
        <w:spacing w:line="610" w:lineRule="exact"/>
        <w:ind w:left="0" w:leftChars="0" w:firstLine="640" w:firstLineChars="200"/>
        <w:jc w:val="both"/>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基本支出情况</w:t>
      </w:r>
    </w:p>
    <w:p>
      <w:pPr>
        <w:ind w:firstLine="560" w:firstLineChars="200"/>
        <w:rPr>
          <w:rFonts w:hint="default" w:ascii="Times New Roman" w:hAnsi="Times New Roman" w:eastAsia="黑体" w:cs="Times New Roman"/>
          <w:kern w:val="2"/>
          <w:sz w:val="28"/>
          <w:szCs w:val="28"/>
          <w:lang w:val="en-US" w:eastAsia="zh-CN" w:bidi="ar-SA"/>
        </w:rPr>
      </w:pPr>
      <w:r>
        <w:rPr>
          <w:rFonts w:hint="eastAsia" w:ascii="仿宋" w:hAnsi="仿宋" w:eastAsia="仿宋" w:cs="仿宋"/>
          <w:color w:val="000000"/>
          <w:sz w:val="28"/>
          <w:szCs w:val="28"/>
        </w:rPr>
        <w:t>202</w:t>
      </w: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年度财政收入总计</w:t>
      </w:r>
      <w:r>
        <w:rPr>
          <w:rFonts w:hint="eastAsia" w:ascii="仿宋" w:hAnsi="仿宋" w:eastAsia="仿宋" w:cs="仿宋"/>
          <w:color w:val="000000"/>
          <w:sz w:val="28"/>
          <w:szCs w:val="28"/>
          <w:lang w:val="en-US" w:eastAsia="zh-CN"/>
        </w:rPr>
        <w:t>10854.08</w:t>
      </w:r>
      <w:r>
        <w:rPr>
          <w:rFonts w:hint="eastAsia" w:ascii="仿宋" w:hAnsi="仿宋" w:eastAsia="仿宋" w:cs="仿宋"/>
          <w:color w:val="000000"/>
          <w:sz w:val="28"/>
          <w:szCs w:val="28"/>
        </w:rPr>
        <w:t>万元，其中一般性公共预算财政拨款</w:t>
      </w:r>
      <w:r>
        <w:rPr>
          <w:rFonts w:hint="eastAsia" w:ascii="仿宋" w:hAnsi="仿宋" w:eastAsia="仿宋" w:cs="仿宋"/>
          <w:color w:val="000000"/>
          <w:sz w:val="28"/>
          <w:szCs w:val="28"/>
          <w:lang w:val="en-US" w:eastAsia="zh-CN"/>
        </w:rPr>
        <w:t>10854.08</w:t>
      </w:r>
      <w:r>
        <w:rPr>
          <w:rFonts w:hint="eastAsia" w:ascii="仿宋" w:hAnsi="仿宋" w:eastAsia="仿宋" w:cs="仿宋"/>
          <w:color w:val="000000"/>
          <w:sz w:val="28"/>
          <w:szCs w:val="28"/>
        </w:rPr>
        <w:t>万元，上年度无结余。支出总计</w:t>
      </w:r>
      <w:r>
        <w:rPr>
          <w:rFonts w:hint="eastAsia" w:ascii="仿宋" w:hAnsi="仿宋" w:eastAsia="仿宋" w:cs="仿宋"/>
          <w:color w:val="000000"/>
          <w:sz w:val="28"/>
          <w:szCs w:val="28"/>
          <w:lang w:val="en-US" w:eastAsia="zh-CN"/>
        </w:rPr>
        <w:t>10841.81</w:t>
      </w:r>
      <w:r>
        <w:rPr>
          <w:rFonts w:hint="eastAsia" w:ascii="仿宋" w:hAnsi="仿宋" w:eastAsia="仿宋" w:cs="仿宋"/>
          <w:color w:val="000000"/>
          <w:sz w:val="28"/>
          <w:szCs w:val="28"/>
        </w:rPr>
        <w:t>万元，其中人员支出</w:t>
      </w:r>
      <w:r>
        <w:rPr>
          <w:rFonts w:hint="eastAsia" w:ascii="仿宋" w:hAnsi="仿宋" w:eastAsia="仿宋" w:cs="仿宋"/>
          <w:color w:val="000000"/>
          <w:sz w:val="28"/>
          <w:szCs w:val="28"/>
          <w:lang w:val="en-US" w:eastAsia="zh-CN"/>
        </w:rPr>
        <w:t>7130.29</w:t>
      </w:r>
      <w:r>
        <w:rPr>
          <w:rFonts w:hint="eastAsia" w:ascii="仿宋" w:hAnsi="仿宋" w:eastAsia="仿宋" w:cs="仿宋"/>
          <w:color w:val="000000"/>
          <w:sz w:val="28"/>
          <w:szCs w:val="28"/>
        </w:rPr>
        <w:t>万元，公用支出</w:t>
      </w:r>
      <w:r>
        <w:rPr>
          <w:rFonts w:hint="eastAsia" w:ascii="仿宋" w:hAnsi="仿宋" w:eastAsia="仿宋" w:cs="仿宋"/>
          <w:color w:val="000000"/>
          <w:sz w:val="28"/>
          <w:szCs w:val="28"/>
          <w:lang w:val="en-US" w:eastAsia="zh-CN"/>
        </w:rPr>
        <w:t>3203.54</w:t>
      </w:r>
      <w:r>
        <w:rPr>
          <w:rFonts w:hint="eastAsia" w:ascii="仿宋" w:hAnsi="仿宋" w:eastAsia="仿宋" w:cs="仿宋"/>
          <w:color w:val="000000"/>
          <w:sz w:val="28"/>
          <w:szCs w:val="28"/>
        </w:rPr>
        <w:t>万元，</w:t>
      </w:r>
      <w:r>
        <w:rPr>
          <w:rFonts w:hint="eastAsia" w:ascii="仿宋" w:hAnsi="仿宋" w:eastAsia="仿宋" w:cs="仿宋"/>
          <w:color w:val="auto"/>
          <w:sz w:val="28"/>
          <w:szCs w:val="28"/>
          <w:lang w:eastAsia="zh-CN"/>
        </w:rPr>
        <w:t>项目支出</w:t>
      </w:r>
      <w:r>
        <w:rPr>
          <w:rFonts w:hint="eastAsia" w:ascii="仿宋" w:hAnsi="仿宋" w:eastAsia="仿宋" w:cs="仿宋"/>
          <w:color w:val="auto"/>
          <w:sz w:val="28"/>
          <w:szCs w:val="28"/>
          <w:lang w:val="en-US" w:eastAsia="zh-CN"/>
        </w:rPr>
        <w:t>507.97万元</w:t>
      </w:r>
      <w:r>
        <w:rPr>
          <w:rFonts w:hint="eastAsia" w:ascii="仿宋" w:hAnsi="仿宋" w:eastAsia="仿宋" w:cs="仿宋"/>
          <w:color w:val="auto"/>
          <w:sz w:val="28"/>
          <w:szCs w:val="28"/>
          <w:lang w:eastAsia="zh-CN"/>
        </w:rPr>
        <w:t>，年度结余</w:t>
      </w:r>
      <w:r>
        <w:rPr>
          <w:rFonts w:hint="eastAsia" w:ascii="仿宋" w:hAnsi="仿宋" w:eastAsia="仿宋" w:cs="仿宋"/>
          <w:color w:val="auto"/>
          <w:sz w:val="28"/>
          <w:szCs w:val="28"/>
          <w:lang w:val="en-US" w:eastAsia="zh-CN"/>
        </w:rPr>
        <w:t>12.27万元</w:t>
      </w:r>
      <w:r>
        <w:rPr>
          <w:rFonts w:hint="eastAsia" w:ascii="仿宋" w:hAnsi="仿宋" w:eastAsia="仿宋" w:cs="仿宋"/>
          <w:color w:val="auto"/>
          <w:sz w:val="28"/>
          <w:szCs w:val="28"/>
        </w:rPr>
        <w:t>。</w:t>
      </w:r>
    </w:p>
    <w:p>
      <w:pPr>
        <w:pStyle w:val="12"/>
        <w:keepNext w:val="0"/>
        <w:keepLines w:val="0"/>
        <w:pageBreakBefore w:val="0"/>
        <w:widowControl/>
        <w:numPr>
          <w:ilvl w:val="0"/>
          <w:numId w:val="1"/>
        </w:numPr>
        <w:kinsoku/>
        <w:wordWrap/>
        <w:overflowPunct/>
        <w:topLinePunct w:val="0"/>
        <w:autoSpaceDE/>
        <w:autoSpaceDN/>
        <w:bidi w:val="0"/>
        <w:adjustRightInd/>
        <w:snapToGrid/>
        <w:spacing w:line="610" w:lineRule="exact"/>
        <w:ind w:left="0" w:leftChars="0" w:firstLine="640" w:firstLineChars="200"/>
        <w:jc w:val="both"/>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项目支出情况</w:t>
      </w:r>
    </w:p>
    <w:p>
      <w:pPr>
        <w:pStyle w:val="12"/>
        <w:keepNext w:val="0"/>
        <w:keepLines w:val="0"/>
        <w:pageBreakBefore w:val="0"/>
        <w:widowControl/>
        <w:numPr>
          <w:ilvl w:val="0"/>
          <w:numId w:val="0"/>
        </w:numPr>
        <w:kinsoku/>
        <w:wordWrap/>
        <w:overflowPunct/>
        <w:topLinePunct w:val="0"/>
        <w:autoSpaceDE/>
        <w:autoSpaceDN/>
        <w:bidi w:val="0"/>
        <w:adjustRightInd/>
        <w:snapToGrid/>
        <w:spacing w:line="610" w:lineRule="exact"/>
        <w:ind w:firstLine="560" w:firstLineChars="200"/>
        <w:jc w:val="both"/>
        <w:textAlignment w:val="auto"/>
        <w:rPr>
          <w:rFonts w:hint="default" w:ascii="仿宋" w:hAnsi="仿宋" w:eastAsia="仿宋" w:cs="仿宋"/>
          <w:color w:val="000000"/>
          <w:kern w:val="2"/>
          <w:sz w:val="32"/>
          <w:szCs w:val="32"/>
          <w:lang w:val="en-US" w:eastAsia="zh-CN" w:bidi="ar-SA"/>
        </w:rPr>
      </w:pPr>
      <w:r>
        <w:rPr>
          <w:rFonts w:hint="eastAsia" w:ascii="仿宋" w:hAnsi="仿宋" w:eastAsia="仿宋" w:cs="仿宋"/>
          <w:color w:val="000000"/>
          <w:kern w:val="2"/>
          <w:sz w:val="28"/>
          <w:szCs w:val="28"/>
          <w:lang w:val="en-US" w:eastAsia="zh-CN" w:bidi="ar-SA"/>
        </w:rPr>
        <w:t>项目支出507.97万元，其中万庾派出所建设5.33万元，公安业务技术用房建设327万元，鲇鱼须派出所建设152.31万元，警犬基地建设工程23.34万元。</w:t>
      </w:r>
    </w:p>
    <w:p>
      <w:pPr>
        <w:keepNext w:val="0"/>
        <w:keepLines w:val="0"/>
        <w:pageBreakBefore w:val="0"/>
        <w:widowControl/>
        <w:numPr>
          <w:ilvl w:val="0"/>
          <w:numId w:val="1"/>
        </w:numPr>
        <w:kinsoku/>
        <w:wordWrap/>
        <w:overflowPunct/>
        <w:topLinePunct w:val="0"/>
        <w:autoSpaceDE/>
        <w:autoSpaceDN/>
        <w:bidi w:val="0"/>
        <w:adjustRightInd/>
        <w:snapToGrid/>
        <w:spacing w:line="610" w:lineRule="exact"/>
        <w:ind w:left="0" w:leftChars="0" w:firstLine="640" w:firstLineChars="20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部门整体支出绩效情况</w:t>
      </w:r>
    </w:p>
    <w:p>
      <w:pPr>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202</w:t>
      </w: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年工作总结如下：</w:t>
      </w:r>
    </w:p>
    <w:p>
      <w:pPr>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（一）捍卫政治安全，确保华容风清气正</w:t>
      </w:r>
    </w:p>
    <w:p>
      <w:pPr>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以“两个维护”为中心，深入排查政治安全风险，高质量完成</w:t>
      </w:r>
      <w:r>
        <w:rPr>
          <w:rFonts w:hint="eastAsia" w:ascii="仿宋" w:hAnsi="仿宋" w:eastAsia="仿宋" w:cs="仿宋"/>
          <w:color w:val="000000"/>
          <w:sz w:val="28"/>
          <w:szCs w:val="28"/>
          <w:lang w:eastAsia="zh-CN"/>
        </w:rPr>
        <w:t>上级</w:t>
      </w:r>
      <w:r>
        <w:rPr>
          <w:rFonts w:hint="eastAsia" w:ascii="仿宋" w:hAnsi="仿宋" w:eastAsia="仿宋" w:cs="仿宋"/>
          <w:color w:val="000000"/>
          <w:sz w:val="28"/>
          <w:szCs w:val="28"/>
        </w:rPr>
        <w:t>交办的</w:t>
      </w:r>
      <w:r>
        <w:rPr>
          <w:rFonts w:hint="eastAsia" w:ascii="仿宋" w:hAnsi="仿宋" w:eastAsia="仿宋" w:cs="仿宋"/>
          <w:color w:val="000000"/>
          <w:sz w:val="28"/>
          <w:szCs w:val="28"/>
          <w:lang w:eastAsia="zh-CN"/>
        </w:rPr>
        <w:t>各项</w:t>
      </w:r>
      <w:r>
        <w:rPr>
          <w:rFonts w:hint="eastAsia" w:ascii="仿宋" w:hAnsi="仿宋" w:eastAsia="仿宋" w:cs="仿宋"/>
          <w:color w:val="000000"/>
          <w:sz w:val="28"/>
          <w:szCs w:val="28"/>
        </w:rPr>
        <w:t>任务。牢牢守住了涉政及暴恐案事件“零发生”的工作底线。</w:t>
      </w:r>
    </w:p>
    <w:p>
      <w:pPr>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（二）维护社会稳定，确保县域风平浪静</w:t>
      </w:r>
    </w:p>
    <w:p>
      <w:pPr>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紧紧围绕党的二十大安保维稳这一主体主线，紧盯2022年度重要节点，深入推进“六大战役”、做实“六大保障”，将情报预警、指挥调度、风险防控等各项工作举措落到了实处，实现了“五个不发生、三个确保”，取得了党的二十大安保维稳工作的最终胜利，确保了“两会”“省运会”“国庆长假”等各个重要节点平稳有序。排查整治各类涉稳风险隐患，化解矛盾纠纷，实现了“华容不出事，华容人不外出滋事”的工作目标</w:t>
      </w:r>
      <w:r>
        <w:rPr>
          <w:rFonts w:hint="eastAsia" w:ascii="仿宋" w:hAnsi="仿宋" w:eastAsia="仿宋" w:cs="仿宋"/>
          <w:color w:val="000000"/>
          <w:sz w:val="28"/>
          <w:szCs w:val="28"/>
          <w:lang w:eastAsia="zh-CN"/>
        </w:rPr>
        <w:t>。</w:t>
      </w:r>
    </w:p>
    <w:p>
      <w:pPr>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w:t>
      </w:r>
      <w:r>
        <w:rPr>
          <w:rFonts w:hint="eastAsia" w:ascii="仿宋" w:hAnsi="仿宋" w:eastAsia="仿宋" w:cs="仿宋"/>
          <w:color w:val="000000"/>
          <w:sz w:val="28"/>
          <w:szCs w:val="28"/>
          <w:lang w:eastAsia="zh-CN"/>
        </w:rPr>
        <w:t>三</w:t>
      </w:r>
      <w:r>
        <w:rPr>
          <w:rFonts w:hint="eastAsia" w:ascii="仿宋" w:hAnsi="仿宋" w:eastAsia="仿宋" w:cs="仿宋"/>
          <w:color w:val="000000"/>
          <w:sz w:val="28"/>
          <w:szCs w:val="28"/>
        </w:rPr>
        <w:t>）强化严打整治，确保打击风驰电掣</w:t>
      </w:r>
    </w:p>
    <w:p>
      <w:pPr>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始终坚持最高标准、最硬措施、最大力度推进严打整治工作，滚动开展“百日行动”“虎啸01”“净风2号”等多个专项整治行动，保持了对电信网络诈骗、“黄赌毒”、“食药环”、“盗抢骗”等重点、热点违法犯罪的严打高压态势，取得了多个专项行动位居全市前列、多个打击项目全额或超额完成</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特别是在大要案件及命案积案侦破上取得了重大突破</w:t>
      </w:r>
      <w:r>
        <w:rPr>
          <w:rFonts w:hint="eastAsia" w:ascii="仿宋" w:hAnsi="仿宋" w:eastAsia="仿宋" w:cs="仿宋"/>
          <w:color w:val="000000"/>
          <w:sz w:val="28"/>
          <w:szCs w:val="28"/>
          <w:lang w:eastAsia="zh-CN"/>
        </w:rPr>
        <w:t>。</w:t>
      </w:r>
    </w:p>
    <w:p>
      <w:pPr>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lang w:eastAsia="zh-CN"/>
        </w:rPr>
        <w:t>（四）</w:t>
      </w:r>
      <w:r>
        <w:rPr>
          <w:rFonts w:hint="eastAsia" w:ascii="仿宋" w:hAnsi="仿宋" w:eastAsia="仿宋" w:cs="仿宋"/>
          <w:color w:val="000000"/>
          <w:sz w:val="28"/>
          <w:szCs w:val="28"/>
        </w:rPr>
        <w:t>服务中心大局，确保发展风起云涌</w:t>
      </w:r>
    </w:p>
    <w:p>
      <w:pPr>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全力护航经济发展。紧扣“六稳”“六保”工作要求，严格落实“公安民警联企”机制，为企业专心创业、放心投资、安心经营创造优良环境。全心助推疫情防控。面对“8.20”输入疫情，全县广大民辅警闻警即动、披装上阵，战风雨、守卡口、护稳定、保循环，各防疫卡口驻守的“警察蓝”成为了疫情防控阻击战的一道风景。在此次疫情防控期间，坚守卡口、隔离观察宾馆，开展流行病学调查和大数据信息核查</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有力维护了疫情防控期间社会大局稳定，充分彰显了华容公安大局为重、扛风挡雨、能征善战的新担当。全面强化基层治理。深入开展“枫桥式派出所”创建和“百万警进千万家”活动</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加大巡逻防控力度，强化“1、3、5”分钟快速反应机制及“护校安园”行动，严格落实定点执勤、高峰勤务、动中备勤和武警联勤的“四项巡逻防控举措”，见警率、管事率明显提升，全县社会治安形势整体可控、趋稳向好。全域整治安全隐患。强力推进重点行业、治安突出问题、枪爆危化物品等专项整治</w:t>
      </w:r>
      <w:r>
        <w:rPr>
          <w:rFonts w:hint="eastAsia" w:ascii="仿宋" w:hAnsi="仿宋" w:eastAsia="仿宋" w:cs="仿宋"/>
          <w:color w:val="000000"/>
          <w:sz w:val="28"/>
          <w:szCs w:val="28"/>
          <w:lang w:eastAsia="zh-CN"/>
        </w:rPr>
        <w:t>。</w:t>
      </w:r>
    </w:p>
    <w:p>
      <w:pPr>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lang w:eastAsia="zh-CN"/>
        </w:rPr>
        <w:t>（五）</w:t>
      </w:r>
      <w:r>
        <w:rPr>
          <w:rFonts w:hint="eastAsia" w:ascii="仿宋" w:hAnsi="仿宋" w:eastAsia="仿宋" w:cs="仿宋"/>
          <w:color w:val="000000"/>
          <w:sz w:val="28"/>
          <w:szCs w:val="28"/>
        </w:rPr>
        <w:t>夯实基层基础，确保警营风调雨顺</w:t>
      </w:r>
    </w:p>
    <w:p>
      <w:pPr>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牢固树立“过紧日子”思想。加强基础设施建设和警务装备配备，“雪亮工程”建设克服诸多不利因素提前完成，民警值班备勤用房及“读书汇”（图书馆）投入使用，县局业务技术用房室外配套附属工程及鲇鱼须派出所建设稳步推进</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坚持厉行节约，严格控制行政运行成本，提高了资金使用效率，稳定了警心、鼓舞了士气。</w:t>
      </w:r>
    </w:p>
    <w:p>
      <w:pPr>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lang w:eastAsia="zh-CN"/>
        </w:rPr>
        <w:t>（六）</w:t>
      </w:r>
      <w:r>
        <w:rPr>
          <w:rFonts w:hint="eastAsia" w:ascii="仿宋" w:hAnsi="仿宋" w:eastAsia="仿宋" w:cs="仿宋"/>
          <w:color w:val="000000"/>
          <w:sz w:val="28"/>
          <w:szCs w:val="28"/>
        </w:rPr>
        <w:t>全面深化改革，确保创新风和日丽</w:t>
      </w:r>
    </w:p>
    <w:p>
      <w:pPr>
        <w:ind w:firstLine="560" w:firstLineChars="200"/>
        <w:rPr>
          <w:rFonts w:hint="eastAsia" w:ascii="仿宋" w:hAnsi="仿宋" w:eastAsia="仿宋" w:cs="仿宋"/>
          <w:color w:val="000000"/>
          <w:sz w:val="28"/>
          <w:szCs w:val="28"/>
          <w:lang w:eastAsia="zh-CN"/>
        </w:rPr>
      </w:pPr>
      <w:r>
        <w:rPr>
          <w:rFonts w:hint="eastAsia" w:ascii="仿宋" w:hAnsi="仿宋" w:eastAsia="仿宋" w:cs="仿宋"/>
          <w:color w:val="000000"/>
          <w:sz w:val="28"/>
          <w:szCs w:val="28"/>
        </w:rPr>
        <w:t>建成了高标准的反电诈中心，强化“雪亮工程”建设应用，实现“情指情舆督”一体化高效运转，有效服务了侦查破案和重点人稳控。强化与检察院的沟通协调，公、检两家“侦审指导机制”得到健全，实现了执法监督的有效提前及案件办理质效的有效提升。狠抓执法顽瘴痼疾整治，召开</w:t>
      </w:r>
      <w:r>
        <w:rPr>
          <w:rFonts w:hint="eastAsia" w:ascii="仿宋" w:hAnsi="仿宋" w:eastAsia="仿宋" w:cs="仿宋"/>
          <w:color w:val="000000"/>
          <w:sz w:val="28"/>
          <w:szCs w:val="28"/>
          <w:lang w:eastAsia="zh-CN"/>
        </w:rPr>
        <w:t>多次</w:t>
      </w:r>
      <w:r>
        <w:rPr>
          <w:rFonts w:hint="eastAsia" w:ascii="仿宋" w:hAnsi="仿宋" w:eastAsia="仿宋" w:cs="仿宋"/>
          <w:color w:val="000000"/>
          <w:sz w:val="28"/>
          <w:szCs w:val="28"/>
        </w:rPr>
        <w:t>会议，出台了多个规范性文件，执法顽瘴痼疾整改率达100%。大力推进“放管服”改革，本年度新增便民利民举措，“互联网+公安政务服务”平台注册、办理两项硬指标排名全市前列。深化“简政放权”，按照“减材料、减环节、减跑动”的要求，对行政审批事项进行减重瘦身</w:t>
      </w:r>
      <w:r>
        <w:rPr>
          <w:rFonts w:hint="eastAsia" w:ascii="仿宋" w:hAnsi="仿宋" w:eastAsia="仿宋" w:cs="仿宋"/>
          <w:color w:val="000000"/>
          <w:sz w:val="28"/>
          <w:szCs w:val="28"/>
          <w:lang w:eastAsia="zh-CN"/>
        </w:rPr>
        <w:t>。</w:t>
      </w:r>
    </w:p>
    <w:p>
      <w:pPr>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lang w:eastAsia="zh-CN"/>
        </w:rPr>
        <w:t>（七）</w:t>
      </w:r>
      <w:r>
        <w:rPr>
          <w:rFonts w:hint="eastAsia" w:ascii="仿宋" w:hAnsi="仿宋" w:eastAsia="仿宋" w:cs="仿宋"/>
          <w:color w:val="000000"/>
          <w:sz w:val="28"/>
          <w:szCs w:val="28"/>
        </w:rPr>
        <w:t>坚持严管厚爱，确保队伍风华正茂</w:t>
      </w:r>
    </w:p>
    <w:p>
      <w:pPr>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以政治建警为统领，坚持从严治警、从优待警相结合，警营凝聚力、向心力明显增强。坚持政治建警，持续开展教育整顿、党史学习等活动，不断强化理论学习，深入推进“全警实战大练兵”，全局民辅警政治素养、体能素质和综合业务水平得到明显提升。坚守纪律规矩，严格执行《华容县公安局中层干部考核管理办法》，按要求落实辅警层级管理，定期开展日常考察和季度考核，有力提升了我局干事创业的氛围。强化谈心谈话、警示教育、铁腕执纪、执法监督等手段的综合运用</w:t>
      </w:r>
      <w:r>
        <w:rPr>
          <w:rFonts w:hint="eastAsia" w:ascii="仿宋" w:hAnsi="仿宋" w:eastAsia="仿宋" w:cs="仿宋"/>
          <w:color w:val="000000"/>
          <w:sz w:val="28"/>
          <w:szCs w:val="28"/>
          <w:lang w:eastAsia="zh-CN"/>
        </w:rPr>
        <w:t>，使</w:t>
      </w:r>
      <w:r>
        <w:rPr>
          <w:rFonts w:hint="eastAsia" w:ascii="仿宋" w:hAnsi="仿宋" w:eastAsia="仿宋" w:cs="仿宋"/>
          <w:color w:val="000000"/>
          <w:sz w:val="28"/>
          <w:szCs w:val="28"/>
        </w:rPr>
        <w:t>民警交往行为、职务行为、执法行为、网络行为得到进一步规范。坚定从优待警，严格落实各项惠警措施，积极培育和推介先典型。</w:t>
      </w:r>
    </w:p>
    <w:p>
      <w:pPr>
        <w:pStyle w:val="12"/>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eastAsia="zh-CN"/>
        </w:rPr>
        <w:t>五</w:t>
      </w:r>
      <w:r>
        <w:rPr>
          <w:rFonts w:hint="default" w:ascii="Times New Roman" w:hAnsi="Times New Roman" w:eastAsia="黑体" w:cs="Times New Roman"/>
          <w:sz w:val="32"/>
          <w:szCs w:val="32"/>
        </w:rPr>
        <w:t>、存在的问题及原因分析</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在预算执行过程中存在执行偏离绩效目标的情况，主要体现在以下几个方面：</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（一）预算完成率有待提高。由于部分项目资金、结余资金下达时间较晚未能及时使用拨付，有关项目工作开展时间较晚、结算支出时间滞后导致预算完成率较低，有待进一步提高。</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二）预算绩效管理工作有待健全。对于预算绩效管理工作重视不够，对于预算绩效管理的计划性不足，我局配套的工作机制还不成熟，相应的预算绩效管理办法还在制定中。在预算执行过程中，绩效管理的参与性不足。</w:t>
      </w:r>
    </w:p>
    <w:p>
      <w:pPr>
        <w:keepNext w:val="0"/>
        <w:keepLines w:val="0"/>
        <w:pageBreakBefore w:val="0"/>
        <w:widowControl/>
        <w:numPr>
          <w:ilvl w:val="0"/>
          <w:numId w:val="0"/>
        </w:numPr>
        <w:kinsoku/>
        <w:wordWrap/>
        <w:overflowPunct/>
        <w:topLinePunct w:val="0"/>
        <w:autoSpaceDE/>
        <w:autoSpaceDN/>
        <w:bidi w:val="0"/>
        <w:adjustRightInd/>
        <w:snapToGrid/>
        <w:spacing w:line="610" w:lineRule="exact"/>
        <w:ind w:leftChars="200"/>
        <w:jc w:val="both"/>
        <w:textAlignment w:val="auto"/>
        <w:rPr>
          <w:rFonts w:hint="default" w:ascii="Times New Roman" w:hAnsi="Times New Roman" w:eastAsia="黑体" w:cs="Times New Roman"/>
          <w:sz w:val="32"/>
          <w:szCs w:val="32"/>
        </w:rPr>
      </w:pPr>
      <w:r>
        <w:rPr>
          <w:rFonts w:hint="eastAsia" w:eastAsia="黑体" w:cs="Times New Roman"/>
          <w:sz w:val="32"/>
          <w:szCs w:val="32"/>
          <w:lang w:eastAsia="zh-CN"/>
        </w:rPr>
        <w:t>六、</w:t>
      </w:r>
      <w:r>
        <w:rPr>
          <w:rFonts w:hint="default" w:ascii="Times New Roman" w:hAnsi="Times New Roman" w:eastAsia="黑体" w:cs="Times New Roman"/>
          <w:sz w:val="32"/>
          <w:szCs w:val="32"/>
        </w:rPr>
        <w:t>下一步改进措施</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0" w:firstLineChars="200"/>
        <w:jc w:val="both"/>
        <w:textAlignment w:val="auto"/>
        <w:rPr>
          <w:rFonts w:hint="default" w:ascii="仿宋" w:hAnsi="仿宋" w:eastAsia="仿宋" w:cs="仿宋"/>
          <w:sz w:val="28"/>
          <w:szCs w:val="28"/>
        </w:rPr>
      </w:pPr>
      <w:r>
        <w:rPr>
          <w:rFonts w:hint="default" w:ascii="仿宋" w:hAnsi="仿宋" w:eastAsia="仿宋" w:cs="仿宋"/>
          <w:sz w:val="28"/>
          <w:szCs w:val="28"/>
        </w:rPr>
        <w:t>一是把预算管理纳入项目管理体系，把预算编制与预算的执行工作贯穿于项目执行的全过程；二是加强与财政部门的沟通衔接，及时了解财政、财务规章制度，约束财经纪律，特别是对与当前财政经济环境不适用的事项，要及时征求财政意见，提供充分理由说服党委暂缓或停止事项；三是对业务类项目要实行深度整合，除财政据实核定项外，根据大类业务设立项目，既确保资金使用，又能应对年中临时新增业务。</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仿宋_GB2312" w:cs="Times New Roman"/>
          <w:sz w:val="32"/>
          <w:szCs w:val="32"/>
        </w:rPr>
      </w:pPr>
      <w:r>
        <w:rPr>
          <w:rFonts w:hint="eastAsia" w:eastAsia="黑体" w:cs="Times New Roman"/>
          <w:sz w:val="32"/>
          <w:szCs w:val="32"/>
          <w:lang w:eastAsia="zh-CN"/>
        </w:rPr>
        <w:t>七</w:t>
      </w:r>
      <w:r>
        <w:rPr>
          <w:rFonts w:hint="default" w:ascii="Times New Roman" w:hAnsi="Times New Roman" w:eastAsia="黑体" w:cs="Times New Roman"/>
          <w:sz w:val="32"/>
          <w:szCs w:val="32"/>
        </w:rPr>
        <w:t>、其他需要说明的情况</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0" w:firstLineChars="200"/>
        <w:jc w:val="both"/>
        <w:textAlignment w:val="auto"/>
        <w:rPr>
          <w:rFonts w:hint="eastAsia" w:ascii="仿宋" w:hAnsi="仿宋" w:eastAsia="仿宋" w:cs="仿宋"/>
          <w:sz w:val="28"/>
          <w:szCs w:val="28"/>
          <w:lang w:val="en-US" w:eastAsia="zh-CN"/>
        </w:rPr>
        <w:sectPr>
          <w:footerReference r:id="rId3" w:type="default"/>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ascii="仿宋" w:hAnsi="仿宋" w:eastAsia="仿宋" w:cs="仿宋"/>
          <w:sz w:val="28"/>
          <w:szCs w:val="28"/>
          <w:lang w:val="en-US" w:eastAsia="zh-CN"/>
        </w:rPr>
        <w:t>无</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lang w:val="en-US" w:eastAsia="zh-CN"/>
        </w:rPr>
      </w:pPr>
      <w:r>
        <w:rPr>
          <w:rFonts w:hint="eastAsia" w:ascii="黑体" w:hAnsi="黑体" w:eastAsia="黑体"/>
          <w:sz w:val="32"/>
          <w:szCs w:val="32"/>
        </w:rPr>
        <w:t>附件</w:t>
      </w:r>
      <w:r>
        <w:rPr>
          <w:rFonts w:hint="eastAsia" w:ascii="黑体" w:hAnsi="黑体" w:eastAsia="黑体"/>
          <w:sz w:val="32"/>
          <w:szCs w:val="32"/>
          <w:lang w:val="en-US" w:eastAsia="zh-CN"/>
        </w:rPr>
        <w:t>4</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项目支出绩效评价</w:t>
      </w:r>
      <w:r>
        <w:rPr>
          <w:rFonts w:hint="eastAsia" w:ascii="方正小标宋简体" w:hAnsi="方正小标宋简体" w:eastAsia="方正小标宋简体" w:cs="方正小标宋简体"/>
          <w:color w:val="000000" w:themeColor="text1"/>
          <w:sz w:val="44"/>
          <w:szCs w:val="44"/>
          <w:lang w:eastAsia="zh-CN"/>
          <w14:textFill>
            <w14:solidFill>
              <w14:schemeClr w14:val="tx1"/>
            </w14:solidFill>
          </w14:textFill>
        </w:rPr>
        <w:t>评分表</w:t>
      </w: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w:t>
      </w:r>
      <w:r>
        <w:rPr>
          <w:rFonts w:hint="eastAsia" w:ascii="方正小标宋简体" w:hAnsi="方正小标宋简体" w:eastAsia="方正小标宋简体" w:cs="方正小标宋简体"/>
          <w:color w:val="000000" w:themeColor="text1"/>
          <w:sz w:val="44"/>
          <w:szCs w:val="44"/>
          <w:lang w:eastAsia="zh-CN"/>
          <w14:textFill>
            <w14:solidFill>
              <w14:schemeClr w14:val="tx1"/>
            </w14:solidFill>
          </w14:textFill>
        </w:rPr>
        <w:t>共性</w:t>
      </w: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w:t>
      </w:r>
    </w:p>
    <w:p>
      <w:pPr>
        <w:pStyle w:val="2"/>
        <w:rPr>
          <w:rFonts w:hint="eastAsia"/>
        </w:rPr>
      </w:pPr>
    </w:p>
    <w:tbl>
      <w:tblPr>
        <w:tblStyle w:val="8"/>
        <w:tblW w:w="9820" w:type="dxa"/>
        <w:jc w:val="center"/>
        <w:tblInd w:w="0" w:type="dxa"/>
        <w:tblLayout w:type="fixed"/>
        <w:tblCellMar>
          <w:top w:w="0" w:type="dxa"/>
          <w:left w:w="108" w:type="dxa"/>
          <w:bottom w:w="0" w:type="dxa"/>
          <w:right w:w="108" w:type="dxa"/>
        </w:tblCellMar>
      </w:tblPr>
      <w:tblGrid>
        <w:gridCol w:w="702"/>
        <w:gridCol w:w="540"/>
        <w:gridCol w:w="703"/>
        <w:gridCol w:w="540"/>
        <w:gridCol w:w="803"/>
        <w:gridCol w:w="550"/>
        <w:gridCol w:w="2407"/>
        <w:gridCol w:w="2772"/>
        <w:gridCol w:w="803"/>
      </w:tblGrid>
      <w:tr>
        <w:tblPrEx>
          <w:tblLayout w:type="fixed"/>
          <w:tblCellMar>
            <w:top w:w="0" w:type="dxa"/>
            <w:left w:w="108" w:type="dxa"/>
            <w:bottom w:w="0" w:type="dxa"/>
            <w:right w:w="108" w:type="dxa"/>
          </w:tblCellMar>
        </w:tblPrEx>
        <w:trPr>
          <w:trHeight w:val="582" w:hRule="atLeast"/>
          <w:tblHeader/>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一级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7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二级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8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三级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5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2407"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具体指标</w:t>
            </w:r>
          </w:p>
        </w:tc>
        <w:tc>
          <w:tcPr>
            <w:tcW w:w="2772"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评价标准</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rPr>
            </w:pPr>
            <w:r>
              <w:rPr>
                <w:rFonts w:hint="eastAsia" w:ascii="仿宋_GB2312" w:hAnsi="宋体" w:eastAsia="仿宋_GB2312" w:cs="宋体"/>
                <w:b/>
                <w:bCs/>
                <w:kern w:val="0"/>
                <w:sz w:val="18"/>
                <w:szCs w:val="18"/>
              </w:rPr>
              <w:t>自评</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24"/>
              </w:rPr>
            </w:pPr>
            <w:r>
              <w:rPr>
                <w:rFonts w:hint="eastAsia" w:ascii="仿宋_GB2312" w:hAnsi="宋体" w:eastAsia="仿宋_GB2312" w:cs="宋体"/>
                <w:b/>
                <w:bCs/>
                <w:kern w:val="0"/>
                <w:sz w:val="18"/>
                <w:szCs w:val="18"/>
              </w:rPr>
              <w:t>得分</w:t>
            </w:r>
          </w:p>
        </w:tc>
      </w:tr>
      <w:tr>
        <w:tblPrEx>
          <w:tblLayout w:type="fixed"/>
          <w:tblCellMar>
            <w:top w:w="0" w:type="dxa"/>
            <w:left w:w="108" w:type="dxa"/>
            <w:bottom w:w="0" w:type="dxa"/>
            <w:right w:w="108" w:type="dxa"/>
          </w:tblCellMar>
        </w:tblPrEx>
        <w:trPr>
          <w:trHeight w:val="967" w:hRule="atLeast"/>
          <w:jc w:val="center"/>
        </w:trPr>
        <w:tc>
          <w:tcPr>
            <w:tcW w:w="702" w:type="dxa"/>
            <w:vMerge w:val="restart"/>
            <w:tcBorders>
              <w:top w:val="nil"/>
              <w:left w:val="single" w:color="000000" w:sz="4" w:space="0"/>
              <w:bottom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项目决策</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20</w:t>
            </w:r>
          </w:p>
        </w:tc>
        <w:tc>
          <w:tcPr>
            <w:tcW w:w="703" w:type="dxa"/>
            <w:tcBorders>
              <w:top w:val="nil"/>
              <w:left w:val="nil"/>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项目目标</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目标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内容</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设立了项目绩效目标；目标明确；目标细化；目标量化</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①设有目标（1分）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②目标明确（1分）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③目标细化（1分）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④目标量化（1分）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Layout w:type="fixed"/>
          <w:tblCellMar>
            <w:top w:w="0" w:type="dxa"/>
            <w:left w:w="108" w:type="dxa"/>
            <w:bottom w:w="0" w:type="dxa"/>
            <w:right w:w="108" w:type="dxa"/>
          </w:tblCellMar>
        </w:tblPrEx>
        <w:trPr>
          <w:trHeight w:val="127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决策过程</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依据</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有关法律法规的明确规定；某一经济社会发展规划；某部门年度工作计划；某一实际问题和需求</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①符合法律法规（1分）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②符合经济社会发展规划（1分）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③部门年度工作计划（1分）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6"/>
                <w:kern w:val="0"/>
                <w:sz w:val="18"/>
                <w:szCs w:val="18"/>
                <w:lang w:eastAsia="zh-CN"/>
              </w:rPr>
            </w:pPr>
            <w:r>
              <w:rPr>
                <w:rFonts w:hint="eastAsia" w:ascii="仿宋_GB2312" w:hAnsi="宋体" w:eastAsia="仿宋_GB2312" w:cs="宋体"/>
                <w:spacing w:val="-6"/>
                <w:kern w:val="0"/>
                <w:sz w:val="18"/>
                <w:szCs w:val="18"/>
              </w:rPr>
              <w:t>④针对某一实际问题和需求（1分）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以上③需提供佐证资料。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Layout w:type="fixed"/>
          <w:tblCellMar>
            <w:top w:w="0" w:type="dxa"/>
            <w:left w:w="108" w:type="dxa"/>
            <w:bottom w:w="0" w:type="dxa"/>
            <w:right w:w="108" w:type="dxa"/>
          </w:tblCellMar>
        </w:tblPrEx>
        <w:trPr>
          <w:trHeight w:val="983"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程序</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项目符合申报条件；申报、批复程序符合相关管理办法；项目调整履行了相应手续</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①符合申报条件（2分）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②项目申报、批复程序符合管理办法（1分）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③项目调整履行了相应手续（1分）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Layout w:type="fixed"/>
          <w:tblCellMar>
            <w:top w:w="0" w:type="dxa"/>
            <w:left w:w="108" w:type="dxa"/>
            <w:bottom w:w="0" w:type="dxa"/>
            <w:right w:w="108" w:type="dxa"/>
          </w:tblCellMar>
        </w:tblPrEx>
        <w:trPr>
          <w:trHeight w:val="96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办法</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根据需要制定的相关资金管理办法；管理办法中有明确资金分配办法；资金分配因素全面、合理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①有相应的资金管理办法（1分）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②办法健全、规范（1分）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③因素全面合理（1分）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Layout w:type="fixed"/>
          <w:tblCellMar>
            <w:top w:w="0" w:type="dxa"/>
            <w:left w:w="108" w:type="dxa"/>
            <w:bottom w:w="0" w:type="dxa"/>
            <w:right w:w="108" w:type="dxa"/>
          </w:tblCellMar>
        </w:tblPrEx>
        <w:trPr>
          <w:trHeight w:val="758"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结果</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资金分配符合相关管理办法；分配结果公平合理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①符合分配办法（2分）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②分配公平合理（3分）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此项需提供相应的资金分配方案。</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Layout w:type="fixed"/>
          <w:tblCellMar>
            <w:top w:w="0" w:type="dxa"/>
            <w:left w:w="108" w:type="dxa"/>
            <w:bottom w:w="0" w:type="dxa"/>
            <w:right w:w="108" w:type="dxa"/>
          </w:tblCellMar>
        </w:tblPrEx>
        <w:trPr>
          <w:trHeight w:val="438" w:hRule="atLeast"/>
          <w:jc w:val="center"/>
        </w:trPr>
        <w:tc>
          <w:tcPr>
            <w:tcW w:w="702" w:type="dxa"/>
            <w:vMerge w:val="restart"/>
            <w:tcBorders>
              <w:top w:val="nil"/>
              <w:left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firstLine="2520" w:firstLineChars="1400"/>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r>
              <w:rPr>
                <w:rFonts w:hint="eastAsia" w:ascii="仿宋_GB2312" w:hAnsi="宋体" w:eastAsia="仿宋_GB2312" w:cs="宋体"/>
                <w:kern w:val="0"/>
                <w:sz w:val="18"/>
                <w:szCs w:val="18"/>
                <w:lang w:eastAsia="zh-CN"/>
              </w:rPr>
              <w:t>管理</w:t>
            </w:r>
          </w:p>
        </w:tc>
        <w:tc>
          <w:tcPr>
            <w:tcW w:w="540" w:type="dxa"/>
            <w:vMerge w:val="restart"/>
            <w:tcBorders>
              <w:top w:val="nil"/>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25</w:t>
            </w:r>
          </w:p>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资金到位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 w:val="18"/>
                <w:szCs w:val="18"/>
                <w14:textFill>
                  <w14:solidFill>
                    <w14:schemeClr w14:val="tx1"/>
                  </w14:solidFill>
                </w14:textFill>
              </w:rPr>
            </w:pPr>
            <w:r>
              <w:rPr>
                <w:rFonts w:hint="eastAsia" w:ascii="仿宋_GB2312" w:hAnsi="宋体" w:eastAsia="仿宋_GB2312" w:cs="宋体"/>
                <w:color w:val="000000" w:themeColor="text1"/>
                <w:kern w:val="0"/>
                <w:sz w:val="18"/>
                <w:szCs w:val="18"/>
                <w14:textFill>
                  <w14:solidFill>
                    <w14:schemeClr w14:val="tx1"/>
                  </w14:solidFill>
                </w14:textFill>
              </w:rPr>
              <w:t>到位率</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 w:val="18"/>
                <w:szCs w:val="18"/>
                <w14:textFill>
                  <w14:solidFill>
                    <w14:schemeClr w14:val="tx1"/>
                  </w14:solidFill>
                </w14:textFill>
              </w:rPr>
            </w:pPr>
            <w:r>
              <w:rPr>
                <w:rFonts w:hint="eastAsia" w:ascii="仿宋_GB2312" w:hAnsi="宋体" w:eastAsia="仿宋_GB2312" w:cs="宋体"/>
                <w:color w:val="000000" w:themeColor="text1"/>
                <w:kern w:val="0"/>
                <w:sz w:val="18"/>
                <w:szCs w:val="18"/>
                <w14:textFill>
                  <w14:solidFill>
                    <w14:schemeClr w14:val="tx1"/>
                  </w14:solidFill>
                </w14:textFill>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themeColor="text1"/>
                <w:kern w:val="0"/>
                <w:sz w:val="18"/>
                <w:szCs w:val="18"/>
                <w14:textFill>
                  <w14:solidFill>
                    <w14:schemeClr w14:val="tx1"/>
                  </w14:solidFill>
                </w14:textFill>
              </w:rPr>
            </w:pPr>
            <w:r>
              <w:rPr>
                <w:rFonts w:hint="eastAsia" w:ascii="仿宋_GB2312" w:hAnsi="宋体" w:eastAsia="仿宋_GB2312" w:cs="宋体"/>
                <w:color w:val="000000" w:themeColor="text1"/>
                <w:kern w:val="0"/>
                <w:sz w:val="18"/>
                <w:szCs w:val="18"/>
                <w14:textFill>
                  <w14:solidFill>
                    <w14:schemeClr w14:val="tx1"/>
                  </w14:solidFill>
                </w14:textFill>
              </w:rPr>
              <w:t>实际到位/计划到位*100%</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themeColor="text1"/>
                <w:kern w:val="0"/>
                <w:sz w:val="18"/>
                <w:szCs w:val="18"/>
                <w14:textFill>
                  <w14:solidFill>
                    <w14:schemeClr w14:val="tx1"/>
                  </w14:solidFill>
                </w14:textFill>
              </w:rPr>
            </w:pPr>
            <w:r>
              <w:rPr>
                <w:rFonts w:hint="eastAsia" w:ascii="仿宋_GB2312" w:hAnsi="宋体" w:eastAsia="仿宋_GB2312" w:cs="宋体"/>
                <w:color w:val="000000" w:themeColor="text1"/>
                <w:kern w:val="0"/>
                <w:sz w:val="18"/>
                <w:szCs w:val="18"/>
                <w14:textFill>
                  <w14:solidFill>
                    <w14:schemeClr w14:val="tx1"/>
                  </w14:solidFill>
                </w14:textFill>
              </w:rPr>
              <w:t>根据项目资金的实际到位率计算得分（3分）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000000" w:themeColor="text1"/>
                <w:kern w:val="0"/>
                <w:sz w:val="24"/>
                <w:lang w:val="en-US" w:eastAsia="zh-CN"/>
                <w14:textFill>
                  <w14:solidFill>
                    <w14:schemeClr w14:val="tx1"/>
                  </w14:solidFill>
                </w14:textFill>
              </w:rPr>
            </w:pPr>
            <w:r>
              <w:rPr>
                <w:rFonts w:hint="eastAsia" w:ascii="仿宋_GB2312" w:hAnsi="宋体" w:eastAsia="仿宋_GB2312" w:cs="宋体"/>
                <w:color w:val="000000" w:themeColor="text1"/>
                <w:kern w:val="0"/>
                <w:sz w:val="24"/>
                <w:lang w:val="en-US" w:eastAsia="zh-CN"/>
                <w14:textFill>
                  <w14:solidFill>
                    <w14:schemeClr w14:val="tx1"/>
                  </w14:solidFill>
                </w14:textFill>
              </w:rPr>
              <w:t>1</w:t>
            </w:r>
          </w:p>
        </w:tc>
      </w:tr>
      <w:tr>
        <w:tblPrEx>
          <w:tblLayout w:type="fixed"/>
          <w:tblCellMar>
            <w:top w:w="0" w:type="dxa"/>
            <w:left w:w="108" w:type="dxa"/>
            <w:bottom w:w="0" w:type="dxa"/>
            <w:right w:w="108" w:type="dxa"/>
          </w:tblCellMar>
        </w:tblPrEx>
        <w:trPr>
          <w:trHeight w:val="744"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000000" w:themeColor="text1"/>
                <w:kern w:val="0"/>
                <w:sz w:val="18"/>
                <w:szCs w:val="18"/>
                <w:lang w:eastAsia="zh-CN"/>
                <w14:textFill>
                  <w14:solidFill>
                    <w14:schemeClr w14:val="tx1"/>
                  </w14:solidFill>
                </w14:textFill>
              </w:rPr>
            </w:pPr>
            <w:r>
              <w:rPr>
                <w:rFonts w:hint="eastAsia" w:ascii="仿宋_GB2312" w:hAnsi="宋体" w:eastAsia="仿宋_GB2312" w:cs="宋体"/>
                <w:color w:val="000000" w:themeColor="text1"/>
                <w:kern w:val="0"/>
                <w:sz w:val="18"/>
                <w:szCs w:val="18"/>
                <w14:textFill>
                  <w14:solidFill>
                    <w14:schemeClr w14:val="tx1"/>
                  </w14:solidFill>
                </w14:textFill>
              </w:rPr>
              <w:t>到位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 w:val="18"/>
                <w:szCs w:val="18"/>
                <w14:textFill>
                  <w14:solidFill>
                    <w14:schemeClr w14:val="tx1"/>
                  </w14:solidFill>
                </w14:textFill>
              </w:rPr>
            </w:pPr>
            <w:r>
              <w:rPr>
                <w:rFonts w:hint="eastAsia" w:ascii="仿宋_GB2312" w:hAnsi="宋体" w:eastAsia="仿宋_GB2312" w:cs="宋体"/>
                <w:color w:val="000000" w:themeColor="text1"/>
                <w:kern w:val="0"/>
                <w:sz w:val="18"/>
                <w:szCs w:val="18"/>
                <w14:textFill>
                  <w14:solidFill>
                    <w14:schemeClr w14:val="tx1"/>
                  </w14:solidFill>
                </w14:textFill>
              </w:rPr>
              <w:t>时效</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 w:val="18"/>
                <w:szCs w:val="18"/>
                <w14:textFill>
                  <w14:solidFill>
                    <w14:schemeClr w14:val="tx1"/>
                  </w14:solidFill>
                </w14:textFill>
              </w:rPr>
            </w:pPr>
            <w:r>
              <w:rPr>
                <w:rFonts w:hint="eastAsia" w:ascii="仿宋_GB2312" w:hAnsi="宋体" w:eastAsia="仿宋_GB2312" w:cs="宋体"/>
                <w:color w:val="000000" w:themeColor="text1"/>
                <w:kern w:val="0"/>
                <w:sz w:val="18"/>
                <w:szCs w:val="18"/>
                <w14:textFill>
                  <w14:solidFill>
                    <w14:schemeClr w14:val="tx1"/>
                  </w14:solidFill>
                </w14:textFill>
              </w:rPr>
              <w:t>2</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themeColor="text1"/>
                <w:kern w:val="0"/>
                <w:sz w:val="18"/>
                <w:szCs w:val="18"/>
                <w14:textFill>
                  <w14:solidFill>
                    <w14:schemeClr w14:val="tx1"/>
                  </w14:solidFill>
                </w14:textFill>
              </w:rPr>
            </w:pPr>
            <w:r>
              <w:rPr>
                <w:rFonts w:hint="eastAsia" w:ascii="仿宋_GB2312" w:hAnsi="宋体" w:eastAsia="仿宋_GB2312" w:cs="宋体"/>
                <w:color w:val="000000" w:themeColor="text1"/>
                <w:kern w:val="0"/>
                <w:sz w:val="18"/>
                <w:szCs w:val="18"/>
                <w14:textFill>
                  <w14:solidFill>
                    <w14:schemeClr w14:val="tx1"/>
                  </w14:solidFill>
                </w14:textFill>
              </w:rPr>
              <w:t>资金及时到位；若未及时到位，是否影响项目进度</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000000" w:themeColor="text1"/>
                <w:kern w:val="0"/>
                <w:sz w:val="18"/>
                <w:szCs w:val="18"/>
                <w:lang w:eastAsia="zh-CN"/>
                <w14:textFill>
                  <w14:solidFill>
                    <w14:schemeClr w14:val="tx1"/>
                  </w14:solidFill>
                </w14:textFill>
              </w:rPr>
            </w:pPr>
            <w:r>
              <w:rPr>
                <w:rFonts w:hint="eastAsia" w:ascii="仿宋_GB2312" w:hAnsi="宋体" w:eastAsia="仿宋_GB2312" w:cs="宋体"/>
                <w:color w:val="000000" w:themeColor="text1"/>
                <w:kern w:val="0"/>
                <w:sz w:val="18"/>
                <w:szCs w:val="18"/>
                <w14:textFill>
                  <w14:solidFill>
                    <w14:schemeClr w14:val="tx1"/>
                  </w14:solidFill>
                </w14:textFill>
              </w:rPr>
              <w:t>①到位及时（2分）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000000" w:themeColor="text1"/>
                <w:spacing w:val="-10"/>
                <w:kern w:val="0"/>
                <w:sz w:val="18"/>
                <w:szCs w:val="18"/>
                <w:lang w:eastAsia="zh-CN"/>
                <w14:textFill>
                  <w14:solidFill>
                    <w14:schemeClr w14:val="tx1"/>
                  </w14:solidFill>
                </w14:textFill>
              </w:rPr>
            </w:pPr>
            <w:r>
              <w:rPr>
                <w:rFonts w:hint="eastAsia" w:ascii="仿宋_GB2312" w:hAnsi="宋体" w:eastAsia="仿宋_GB2312" w:cs="宋体"/>
                <w:color w:val="000000" w:themeColor="text1"/>
                <w:spacing w:val="-10"/>
                <w:kern w:val="0"/>
                <w:sz w:val="18"/>
                <w:szCs w:val="18"/>
                <w14:textFill>
                  <w14:solidFill>
                    <w14:schemeClr w14:val="tx1"/>
                  </w14:solidFill>
                </w14:textFill>
              </w:rPr>
              <w:t>②不及时但未影响项目进度 （1分）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themeColor="text1"/>
                <w:kern w:val="0"/>
                <w:sz w:val="18"/>
                <w:szCs w:val="18"/>
                <w14:textFill>
                  <w14:solidFill>
                    <w14:schemeClr w14:val="tx1"/>
                  </w14:solidFill>
                </w14:textFill>
              </w:rPr>
            </w:pPr>
            <w:r>
              <w:rPr>
                <w:rFonts w:hint="eastAsia" w:ascii="仿宋_GB2312" w:hAnsi="宋体" w:eastAsia="仿宋_GB2312" w:cs="宋体"/>
                <w:color w:val="000000" w:themeColor="text1"/>
                <w:spacing w:val="-6"/>
                <w:kern w:val="0"/>
                <w:sz w:val="18"/>
                <w:szCs w:val="18"/>
                <w14:textFill>
                  <w14:solidFill>
                    <w14:schemeClr w14:val="tx1"/>
                  </w14:solidFill>
                </w14:textFill>
              </w:rPr>
              <w:t>③不及时并影响项目进度（0.5分）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000000" w:themeColor="text1"/>
                <w:kern w:val="0"/>
                <w:sz w:val="24"/>
                <w:lang w:val="en-US" w:eastAsia="zh-CN"/>
                <w14:textFill>
                  <w14:solidFill>
                    <w14:schemeClr w14:val="tx1"/>
                  </w14:solidFill>
                </w14:textFill>
              </w:rPr>
            </w:pPr>
            <w:r>
              <w:rPr>
                <w:rFonts w:hint="eastAsia" w:ascii="仿宋_GB2312" w:hAnsi="宋体" w:eastAsia="仿宋_GB2312" w:cs="宋体"/>
                <w:color w:val="000000" w:themeColor="text1"/>
                <w:kern w:val="0"/>
                <w:sz w:val="24"/>
                <w:lang w:val="en-US" w:eastAsia="zh-CN"/>
                <w14:textFill>
                  <w14:solidFill>
                    <w14:schemeClr w14:val="tx1"/>
                  </w14:solidFill>
                </w14:textFill>
              </w:rPr>
              <w:t>1</w:t>
            </w:r>
          </w:p>
        </w:tc>
      </w:tr>
      <w:tr>
        <w:tblPrEx>
          <w:tblLayout w:type="fixed"/>
          <w:tblCellMar>
            <w:top w:w="0" w:type="dxa"/>
            <w:left w:w="108" w:type="dxa"/>
            <w:bottom w:w="0" w:type="dxa"/>
            <w:right w:w="108" w:type="dxa"/>
          </w:tblCellMar>
        </w:tblPrEx>
        <w:trPr>
          <w:trHeight w:val="1168"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资金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使用</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7</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支出依据合规，无虚列项目支出情况；无截留挤占挪用情况；无超标准开支情况；无超预算情况</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 xml:space="preserve">①虚列套取扣4-7分 </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②依据不合规扣2分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③截留、挤占、挪用扣3-6分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④超标准开支扣2-5分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⑤超预算扣2-5分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r>
      <w:tr>
        <w:tblPrEx>
          <w:tblLayout w:type="fixed"/>
          <w:tblCellMar>
            <w:top w:w="0" w:type="dxa"/>
            <w:left w:w="108" w:type="dxa"/>
            <w:bottom w:w="0" w:type="dxa"/>
            <w:right w:w="108" w:type="dxa"/>
          </w:tblCellMar>
        </w:tblPrEx>
        <w:trPr>
          <w:trHeight w:val="871"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财务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管理</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资金管理、费用支出等制度健全；制度执行严格；会计核算规范</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①财务制度健全（1分）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②严格执行制度（1分）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③会计核算规范（1分）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Layout w:type="fixed"/>
          <w:tblCellMar>
            <w:top w:w="0" w:type="dxa"/>
            <w:left w:w="108" w:type="dxa"/>
            <w:bottom w:w="0" w:type="dxa"/>
            <w:right w:w="108" w:type="dxa"/>
          </w:tblCellMar>
        </w:tblPrEx>
        <w:trPr>
          <w:trHeight w:val="532" w:hRule="atLeast"/>
          <w:jc w:val="center"/>
        </w:trPr>
        <w:tc>
          <w:tcPr>
            <w:tcW w:w="702" w:type="dxa"/>
            <w:vMerge w:val="continue"/>
            <w:tcBorders>
              <w:left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组织实施</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组织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机构健全、分工明确</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①机构健全、分工明确  （1分）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Layout w:type="fixed"/>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支撑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条件</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项目实施单位是否提供或具备了必备的人员、场地和设备等条件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具备人员、场地、设备条件（1分）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Layout w:type="fixed"/>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实施</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项目按计划开工；按计划进度开展；按计划完工</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①按计划开工（1分）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②按计划开展（1分）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③按计划完工（1分）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Layout w:type="fixed"/>
          <w:tblCellMar>
            <w:top w:w="0" w:type="dxa"/>
            <w:left w:w="108" w:type="dxa"/>
            <w:bottom w:w="0" w:type="dxa"/>
            <w:right w:w="108" w:type="dxa"/>
          </w:tblCellMar>
        </w:tblPrEx>
        <w:trPr>
          <w:trHeight w:val="745" w:hRule="atLeast"/>
          <w:jc w:val="center"/>
        </w:trPr>
        <w:tc>
          <w:tcPr>
            <w:tcW w:w="702"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管理</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制度</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项目管理制度健全；严格执行相关管理制度</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①管理制度健全（2分）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②制度执行严格（3分）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Layout w:type="fixed"/>
          <w:tblCellMar>
            <w:top w:w="0" w:type="dxa"/>
            <w:left w:w="108" w:type="dxa"/>
            <w:bottom w:w="0" w:type="dxa"/>
            <w:right w:w="108" w:type="dxa"/>
          </w:tblCellMar>
        </w:tblPrEx>
        <w:trPr>
          <w:trHeight w:val="1134" w:hRule="atLeast"/>
          <w:jc w:val="center"/>
        </w:trPr>
        <w:tc>
          <w:tcPr>
            <w:tcW w:w="702"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项目绩效</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55</w:t>
            </w:r>
          </w:p>
        </w:tc>
        <w:tc>
          <w:tcPr>
            <w:tcW w:w="703"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15</w:t>
            </w:r>
          </w:p>
        </w:tc>
        <w:tc>
          <w:tcPr>
            <w:tcW w:w="803"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数量</w:t>
            </w:r>
          </w:p>
        </w:tc>
        <w:tc>
          <w:tcPr>
            <w:tcW w:w="550"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目标完成率=目标完成数/预定目标数×100%</w:t>
            </w:r>
          </w:p>
        </w:tc>
        <w:tc>
          <w:tcPr>
            <w:tcW w:w="2772"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完成绩效目标100%得5分，未完成100%的同比例扣减。</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Layout w:type="fixed"/>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质量</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目标完成质量=实际达到的效果/预定目标×100%</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项目产出质量达到绩效目标100%得4分，未完成100%的同比例扣减。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Layout w:type="fixed"/>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项目资金使用的预定目标是否如期完成，未完成的理由是否充分</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项目产出时效达到绩效目标得3分，未如期完成且无充分理由的扣3分。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Layout w:type="fixed"/>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成本</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项目产出成本是否按绩效目标控制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项目产出成本按绩效目标控制得3分，未完成的，按超支比例扣减。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Layout w:type="fixed"/>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项目效果</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经济</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项目实施对经济发展所带来的直接或间接影响情况。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完成绩效目标设定的经济效益得8分，未完成的，按完成情况酌情扣分。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 xml:space="preserve">8 </w:t>
            </w:r>
          </w:p>
        </w:tc>
      </w:tr>
      <w:tr>
        <w:tblPrEx>
          <w:tblLayout w:type="fixed"/>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社会</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项目实施对社会发展所带来的直接或间接影响情况。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完成绩效目标设定的社会效益得8分，未完成的，按完成情况酌情扣分。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r>
      <w:tr>
        <w:tblPrEx>
          <w:tblLayout w:type="fixed"/>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生态</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项目实施对生态环境所带来的直接或间接影响情况。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完成绩效目标设定的积极的环境效益得8分，未完成的，按完成情况酌情扣分。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Layout w:type="fixed"/>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可持续</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影响</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项目后续运行及成效发挥的可持续影响情况。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完成绩效设定目标的得8分，未完成的，按完成情况酌情扣分。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Layout w:type="fixed"/>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服务</w:t>
            </w:r>
          </w:p>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对象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满意度</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服务对象满意率=项目区被调查人数中表示满意的人数(户数)/ 被调查人数(户数)×100%</w:t>
            </w: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满意率达90%（含）以上的得8分，80%（含）-90%得6分，70%（含）-80%得4分，60%（含）-70%得2分，60%以下不得分。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kern w:val="0"/>
                <w:sz w:val="24"/>
                <w:lang w:val="en-US" w:eastAsia="zh-CN"/>
              </w:rPr>
            </w:pPr>
            <w:r>
              <w:rPr>
                <w:rFonts w:hint="eastAsia" w:ascii="仿宋_GB2312" w:hAnsi="宋体" w:eastAsia="仿宋_GB2312" w:cs="宋体"/>
                <w:kern w:val="0"/>
                <w:sz w:val="24"/>
                <w:lang w:val="en-US" w:eastAsia="zh-CN"/>
              </w:rPr>
              <w:t>8</w:t>
            </w:r>
          </w:p>
        </w:tc>
      </w:tr>
      <w:tr>
        <w:tblPrEx>
          <w:tblLayout w:type="fixed"/>
          <w:tblCellMar>
            <w:top w:w="0" w:type="dxa"/>
            <w:left w:w="108" w:type="dxa"/>
            <w:bottom w:w="0" w:type="dxa"/>
            <w:right w:w="108" w:type="dxa"/>
          </w:tblCellMar>
        </w:tblPrEx>
        <w:trPr>
          <w:trHeight w:val="860" w:hRule="atLeast"/>
          <w:jc w:val="center"/>
        </w:trPr>
        <w:tc>
          <w:tcPr>
            <w:tcW w:w="702"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总分</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7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b/>
                <w:bCs/>
                <w:kern w:val="0"/>
                <w:sz w:val="24"/>
                <w:lang w:val="en-US" w:eastAsia="zh-CN"/>
              </w:rPr>
            </w:pPr>
            <w:r>
              <w:rPr>
                <w:rFonts w:hint="eastAsia" w:ascii="宋体" w:hAnsi="宋体" w:cs="宋体"/>
                <w:b/>
                <w:bCs/>
                <w:kern w:val="0"/>
                <w:sz w:val="24"/>
                <w:lang w:val="en-US" w:eastAsia="zh-CN"/>
              </w:rPr>
              <w:t>96</w:t>
            </w:r>
          </w:p>
        </w:tc>
      </w:tr>
    </w:tbl>
    <w:p>
      <w:pPr>
        <w:adjustRightInd w:val="0"/>
        <w:snapToGrid w:val="0"/>
        <w:spacing w:before="156" w:beforeLines="50"/>
        <w:ind w:left="840" w:hanging="840" w:hangingChars="400"/>
        <w:contextualSpacing/>
        <w:rPr>
          <w:rFonts w:hint="eastAsia" w:ascii="仿宋_GB2312" w:eastAsia="仿宋_GB2312"/>
        </w:rPr>
      </w:pPr>
      <w:r>
        <w:rPr>
          <w:rFonts w:hint="eastAsia" w:ascii="仿宋_GB2312" w:eastAsia="仿宋_GB2312"/>
        </w:rPr>
        <w:t>备注：</w:t>
      </w:r>
      <w:r>
        <w:rPr>
          <w:rFonts w:hint="eastAsia" w:ascii="仿宋_GB2312" w:eastAsia="仿宋_GB2312"/>
          <w:lang w:val="en-US" w:eastAsia="zh-CN"/>
        </w:rPr>
        <w:t>1、</w:t>
      </w:r>
      <w:r>
        <w:rPr>
          <w:rFonts w:hint="eastAsia" w:ascii="仿宋_GB2312" w:eastAsia="仿宋_GB2312"/>
        </w:rPr>
        <w:t>部门（单位）根据项目实际，在《项目支出绩效评价指标</w:t>
      </w:r>
      <w:r>
        <w:rPr>
          <w:rFonts w:hint="eastAsia" w:ascii="仿宋_GB2312" w:eastAsia="仿宋_GB2312"/>
          <w:lang w:eastAsia="zh-CN"/>
        </w:rPr>
        <w:t>评分表</w:t>
      </w:r>
      <w:r>
        <w:rPr>
          <w:rFonts w:hint="eastAsia" w:ascii="仿宋_GB2312" w:eastAsia="仿宋_GB2312"/>
        </w:rPr>
        <w:t>（</w:t>
      </w:r>
      <w:r>
        <w:rPr>
          <w:rFonts w:hint="eastAsia" w:ascii="仿宋_GB2312" w:eastAsia="仿宋_GB2312"/>
          <w:lang w:eastAsia="zh-CN"/>
        </w:rPr>
        <w:t>共性</w:t>
      </w:r>
      <w:r>
        <w:rPr>
          <w:rFonts w:hint="eastAsia" w:ascii="仿宋_GB2312" w:eastAsia="仿宋_GB2312"/>
        </w:rPr>
        <w:t>）》上进一步完善、量化、细化个性指标，形成本项目的指标体系。</w:t>
      </w:r>
    </w:p>
    <w:p>
      <w:pPr>
        <w:adjustRightInd w:val="0"/>
        <w:snapToGrid w:val="0"/>
        <w:spacing w:before="156" w:beforeLines="50"/>
        <w:ind w:firstLine="630" w:firstLineChars="300"/>
        <w:contextualSpacing/>
        <w:rPr>
          <w:rFonts w:hint="eastAsia" w:eastAsia="仿宋_GB2312"/>
          <w:sz w:val="32"/>
          <w:lang w:eastAsia="zh-CN"/>
        </w:rPr>
      </w:pPr>
      <w:r>
        <w:rPr>
          <w:rFonts w:hint="eastAsia" w:ascii="仿宋_GB2312" w:eastAsia="仿宋_GB2312"/>
          <w:lang w:val="en-US" w:eastAsia="zh-CN"/>
        </w:rPr>
        <w:t>2、</w:t>
      </w:r>
      <w:r>
        <w:rPr>
          <w:rFonts w:hint="eastAsia" w:ascii="仿宋_GB2312" w:eastAsia="仿宋_GB2312"/>
          <w:lang w:eastAsia="zh-CN"/>
        </w:rPr>
        <w:t>一个一级项目一张表。</w:t>
      </w:r>
    </w:p>
    <w:p/>
    <w:p>
      <w:pPr>
        <w:pStyle w:val="2"/>
        <w:rPr>
          <w:rFonts w:hint="eastAsia"/>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spacing w:line="240" w:lineRule="auto"/>
        <w:ind w:firstLine="0" w:firstLineChars="0"/>
        <w:jc w:val="left"/>
        <w:outlineLvl w:val="0"/>
        <w:rPr>
          <w:rFonts w:hint="eastAsia" w:ascii="Times New Roman" w:hAnsi="Times New Roman" w:eastAsia="黑体" w:cs="Times New Roman"/>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5</w:t>
      </w:r>
    </w:p>
    <w:p>
      <w:pPr>
        <w:widowControl/>
        <w:spacing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w:t>
      </w:r>
      <w:r>
        <w:rPr>
          <w:rFonts w:hint="eastAsia" w:ascii="方正小标宋简体" w:hAnsi="方正小标宋简体" w:eastAsia="方正小标宋简体" w:cs="方正小标宋简体"/>
          <w:color w:val="000000"/>
          <w:sz w:val="44"/>
          <w:szCs w:val="44"/>
          <w:lang w:val="en-US" w:eastAsia="zh-CN"/>
        </w:rPr>
        <w:t>2</w:t>
      </w:r>
      <w:r>
        <w:rPr>
          <w:rFonts w:hint="eastAsia" w:ascii="方正小标宋简体" w:hAnsi="方正小标宋简体" w:eastAsia="方正小标宋简体" w:cs="方正小标宋简体"/>
          <w:color w:val="000000"/>
          <w:sz w:val="44"/>
          <w:szCs w:val="44"/>
        </w:rPr>
        <w:t>年度项目支出绩效自评表</w:t>
      </w:r>
    </w:p>
    <w:tbl>
      <w:tblPr>
        <w:tblStyle w:val="8"/>
        <w:tblW w:w="9851" w:type="dxa"/>
        <w:jc w:val="center"/>
        <w:tblInd w:w="0" w:type="dxa"/>
        <w:tblLayout w:type="fixed"/>
        <w:tblCellMar>
          <w:top w:w="0" w:type="dxa"/>
          <w:left w:w="108" w:type="dxa"/>
          <w:bottom w:w="0" w:type="dxa"/>
          <w:right w:w="108" w:type="dxa"/>
        </w:tblCellMar>
      </w:tblPr>
      <w:tblGrid>
        <w:gridCol w:w="1080"/>
        <w:gridCol w:w="1080"/>
        <w:gridCol w:w="1080"/>
        <w:gridCol w:w="1224"/>
        <w:gridCol w:w="1134"/>
        <w:gridCol w:w="1134"/>
        <w:gridCol w:w="828"/>
        <w:gridCol w:w="873"/>
        <w:gridCol w:w="1418"/>
      </w:tblGrid>
      <w:tr>
        <w:tblPrEx>
          <w:tblLayout w:type="fixed"/>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公安业务技术用房</w:t>
            </w:r>
            <w:r>
              <w:rPr>
                <w:rFonts w:hint="eastAsia" w:eastAsia="仿宋_GB2312" w:cs="Times New Roman"/>
                <w:color w:val="000000"/>
                <w:sz w:val="20"/>
                <w:szCs w:val="20"/>
                <w:lang w:eastAsia="zh-CN"/>
              </w:rPr>
              <w:t>、鲇鱼须派出所建设项目</w:t>
            </w:r>
          </w:p>
        </w:tc>
      </w:tr>
      <w:tr>
        <w:tblPrEx>
          <w:tblLayout w:type="fixed"/>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Layout w:type="fixed"/>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项目资金</w:t>
            </w:r>
            <w:r>
              <w:rPr>
                <w:rFonts w:hint="default" w:ascii="Times New Roman" w:hAnsi="Times New Roman" w:eastAsia="仿宋_GB2312" w:cs="Times New Roman"/>
                <w:color w:val="000000"/>
                <w:sz w:val="20"/>
                <w:szCs w:val="20"/>
              </w:rPr>
              <w:br w:type="textWrapping"/>
            </w:r>
            <w:r>
              <w:rPr>
                <w:rFonts w:hint="default" w:ascii="Times New Roman" w:hAnsi="Times New Roman" w:eastAsia="仿宋_GB2312" w:cs="Times New Roman"/>
                <w:color w:val="000000"/>
                <w:sz w:val="20"/>
                <w:szCs w:val="20"/>
              </w:rPr>
              <w:t>（万元）</w:t>
            </w: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年初</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全年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执行数</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执行率</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得分</w:t>
            </w:r>
          </w:p>
        </w:tc>
      </w:tr>
      <w:tr>
        <w:tblPrEx>
          <w:tblLayout w:type="fixed"/>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年度资金总额</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479</w:t>
            </w:r>
            <w:r>
              <w:rPr>
                <w:rFonts w:hint="eastAsia" w:eastAsia="仿宋_GB2312" w:cs="Times New Roman"/>
                <w:color w:val="000000"/>
                <w:sz w:val="20"/>
                <w:szCs w:val="20"/>
                <w:lang w:val="en-US" w:eastAsia="zh-CN"/>
              </w:rPr>
              <w:t>.</w:t>
            </w:r>
            <w:r>
              <w:rPr>
                <w:rFonts w:hint="default" w:ascii="Times New Roman" w:hAnsi="Times New Roman" w:eastAsia="仿宋_GB2312" w:cs="Times New Roman"/>
                <w:color w:val="000000"/>
                <w:sz w:val="20"/>
                <w:szCs w:val="20"/>
              </w:rPr>
              <w:t>31</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479</w:t>
            </w:r>
            <w:r>
              <w:rPr>
                <w:rFonts w:hint="eastAsia" w:eastAsia="仿宋_GB2312" w:cs="Times New Roman"/>
                <w:color w:val="000000"/>
                <w:sz w:val="20"/>
                <w:szCs w:val="20"/>
                <w:lang w:val="en-US" w:eastAsia="zh-CN"/>
              </w:rPr>
              <w:t>.</w:t>
            </w:r>
            <w:r>
              <w:rPr>
                <w:rFonts w:hint="default" w:ascii="Times New Roman" w:hAnsi="Times New Roman" w:eastAsia="仿宋_GB2312" w:cs="Times New Roman"/>
                <w:color w:val="000000"/>
                <w:sz w:val="20"/>
                <w:szCs w:val="20"/>
              </w:rPr>
              <w:t>31</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479</w:t>
            </w:r>
            <w:r>
              <w:rPr>
                <w:rFonts w:hint="eastAsia" w:eastAsia="仿宋_GB2312" w:cs="Times New Roman"/>
                <w:color w:val="000000"/>
                <w:sz w:val="20"/>
                <w:szCs w:val="20"/>
                <w:lang w:val="en-US" w:eastAsia="zh-CN"/>
              </w:rPr>
              <w:t>.</w:t>
            </w:r>
            <w:r>
              <w:rPr>
                <w:rFonts w:hint="default" w:ascii="Times New Roman" w:hAnsi="Times New Roman" w:eastAsia="仿宋_GB2312" w:cs="Times New Roman"/>
                <w:color w:val="000000"/>
                <w:sz w:val="20"/>
                <w:szCs w:val="20"/>
              </w:rPr>
              <w:t>31</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w:t>
            </w:r>
          </w:p>
        </w:tc>
      </w:tr>
      <w:tr>
        <w:tblPrEx>
          <w:tblLayout w:type="fixed"/>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其中：当年财政拨款</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Layout w:type="fixed"/>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上年结转资金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Layout w:type="fixed"/>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其他资金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Layout w:type="fixed"/>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实际完成情况　</w:t>
            </w:r>
          </w:p>
        </w:tc>
      </w:tr>
      <w:tr>
        <w:tblPrEx>
          <w:tblLayout w:type="fixed"/>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Layout w:type="fixed"/>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一级指标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二级指标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三级指标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指标值</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完成值</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得分</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偏差原因分析及改进措施</w:t>
            </w:r>
          </w:p>
        </w:tc>
      </w:tr>
      <w:tr>
        <w:tblPrEx>
          <w:tblLayout w:type="fixed"/>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产出指标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(50分)</w:t>
            </w:r>
          </w:p>
        </w:tc>
        <w:tc>
          <w:tcPr>
            <w:tcW w:w="10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数量指标</w:t>
            </w:r>
          </w:p>
        </w:tc>
        <w:tc>
          <w:tcPr>
            <w:tcW w:w="122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基建设施全面完善，主责主业取得新成效</w:t>
            </w:r>
          </w:p>
        </w:tc>
        <w:tc>
          <w:tcPr>
            <w:tcW w:w="113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100</w:t>
            </w:r>
          </w:p>
        </w:tc>
        <w:tc>
          <w:tcPr>
            <w:tcW w:w="113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eastAsia="仿宋_GB2312" w:cs="Times New Roman"/>
                <w:color w:val="000000"/>
                <w:sz w:val="20"/>
                <w:szCs w:val="20"/>
                <w:lang w:val="en-US" w:eastAsia="zh-CN"/>
              </w:rPr>
            </w:pPr>
            <w:r>
              <w:rPr>
                <w:rFonts w:hint="eastAsia" w:eastAsia="仿宋_GB2312" w:cs="Times New Roman"/>
                <w:color w:val="000000"/>
                <w:sz w:val="20"/>
                <w:szCs w:val="20"/>
                <w:lang w:val="en-US" w:eastAsia="zh-CN"/>
              </w:rPr>
              <w:t>96</w:t>
            </w:r>
          </w:p>
        </w:tc>
        <w:tc>
          <w:tcPr>
            <w:tcW w:w="82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12.5</w:t>
            </w:r>
          </w:p>
        </w:tc>
        <w:tc>
          <w:tcPr>
            <w:tcW w:w="87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12</w:t>
            </w:r>
          </w:p>
        </w:tc>
        <w:tc>
          <w:tcPr>
            <w:tcW w:w="141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eastAsia="zh-CN"/>
              </w:rPr>
              <w:t>尚未完工，</w:t>
            </w:r>
            <w:r>
              <w:rPr>
                <w:rFonts w:hint="default" w:ascii="Times New Roman" w:hAnsi="Times New Roman" w:eastAsia="仿宋_GB2312" w:cs="Times New Roman"/>
                <w:color w:val="000000"/>
                <w:sz w:val="20"/>
                <w:szCs w:val="20"/>
              </w:rPr>
              <w:t>主要采用工作量化和时间节点完成情况进行评价</w:t>
            </w:r>
          </w:p>
        </w:tc>
      </w:tr>
      <w:tr>
        <w:tblPrEx>
          <w:tblLayout w:type="fixed"/>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质量指标</w:t>
            </w:r>
          </w:p>
        </w:tc>
        <w:tc>
          <w:tcPr>
            <w:tcW w:w="122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eastAsia="zh-CN"/>
              </w:rPr>
              <w:t>基础建设项目</w:t>
            </w:r>
            <w:r>
              <w:rPr>
                <w:rFonts w:hint="eastAsia" w:ascii="Times New Roman" w:hAnsi="Times New Roman" w:eastAsia="仿宋_GB2312" w:cs="Times New Roman"/>
                <w:color w:val="000000"/>
                <w:sz w:val="20"/>
                <w:szCs w:val="20"/>
                <w:lang w:eastAsia="zh-CN"/>
              </w:rPr>
              <w:t>质量</w:t>
            </w:r>
            <w:r>
              <w:rPr>
                <w:rFonts w:hint="eastAsia" w:ascii="Times New Roman" w:hAnsi="Times New Roman" w:eastAsia="仿宋_GB2312" w:cs="Times New Roman"/>
                <w:color w:val="000000"/>
                <w:sz w:val="20"/>
                <w:szCs w:val="20"/>
              </w:rPr>
              <w:t>提升，保驾富美华容</w:t>
            </w:r>
          </w:p>
        </w:tc>
        <w:tc>
          <w:tcPr>
            <w:tcW w:w="113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100</w:t>
            </w:r>
          </w:p>
        </w:tc>
        <w:tc>
          <w:tcPr>
            <w:tcW w:w="113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eastAsia="仿宋_GB2312" w:cs="Times New Roman"/>
                <w:color w:val="000000"/>
                <w:sz w:val="20"/>
                <w:szCs w:val="20"/>
                <w:lang w:val="en-US" w:eastAsia="zh-CN"/>
              </w:rPr>
            </w:pPr>
            <w:r>
              <w:rPr>
                <w:rFonts w:hint="eastAsia" w:eastAsia="仿宋_GB2312" w:cs="Times New Roman"/>
                <w:color w:val="000000"/>
                <w:sz w:val="20"/>
                <w:szCs w:val="20"/>
                <w:lang w:val="en-US" w:eastAsia="zh-CN"/>
              </w:rPr>
              <w:t>92</w:t>
            </w:r>
          </w:p>
        </w:tc>
        <w:tc>
          <w:tcPr>
            <w:tcW w:w="82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12.5</w:t>
            </w:r>
          </w:p>
        </w:tc>
        <w:tc>
          <w:tcPr>
            <w:tcW w:w="87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rPr>
            </w:pPr>
            <w:r>
              <w:rPr>
                <w:rFonts w:hint="eastAsia" w:eastAsia="仿宋_GB2312" w:cs="Times New Roman"/>
                <w:color w:val="000000"/>
                <w:sz w:val="20"/>
                <w:szCs w:val="20"/>
                <w:lang w:val="en-US" w:eastAsia="zh-CN"/>
              </w:rPr>
              <w:t>11.5</w:t>
            </w:r>
          </w:p>
        </w:tc>
        <w:tc>
          <w:tcPr>
            <w:tcW w:w="141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eastAsia="zh-CN"/>
              </w:rPr>
              <w:t>尚未完工，</w:t>
            </w:r>
            <w:r>
              <w:rPr>
                <w:rFonts w:hint="default" w:ascii="Times New Roman" w:hAnsi="Times New Roman" w:eastAsia="仿宋_GB2312" w:cs="Times New Roman"/>
                <w:color w:val="000000"/>
                <w:sz w:val="20"/>
                <w:szCs w:val="20"/>
              </w:rPr>
              <w:t>主要采用工作量化和时间节点完成情况进行评价</w:t>
            </w:r>
          </w:p>
        </w:tc>
      </w:tr>
      <w:tr>
        <w:tblPrEx>
          <w:tblLayout w:type="fixed"/>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时效指标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rPr>
              <w:t>按合同及时支付</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eastAsia="仿宋_GB2312" w:cs="Times New Roman"/>
                <w:color w:val="000000"/>
                <w:sz w:val="20"/>
                <w:szCs w:val="20"/>
                <w:lang w:val="en-US" w:eastAsia="zh-CN"/>
              </w:rPr>
            </w:pPr>
            <w:r>
              <w:rPr>
                <w:rFonts w:hint="eastAsia" w:eastAsia="仿宋_GB2312" w:cs="Times New Roman"/>
                <w:color w:val="000000"/>
                <w:sz w:val="20"/>
                <w:szCs w:val="20"/>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12.5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12.5</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Layout w:type="fixed"/>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成本指标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rPr>
              <w:t>控制在预算内</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eastAsia="仿宋_GB2312" w:cs="Times New Roman"/>
                <w:color w:val="000000"/>
                <w:sz w:val="20"/>
                <w:szCs w:val="20"/>
                <w:lang w:val="en-US" w:eastAsia="zh-CN"/>
              </w:rPr>
            </w:pPr>
            <w:r>
              <w:rPr>
                <w:rFonts w:hint="eastAsia" w:eastAsia="仿宋_GB2312" w:cs="Times New Roman"/>
                <w:color w:val="000000"/>
                <w:sz w:val="20"/>
                <w:szCs w:val="20"/>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12.5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12.5</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Layout w:type="fixed"/>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效益指标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（30分）</w:t>
            </w:r>
          </w:p>
        </w:tc>
        <w:tc>
          <w:tcPr>
            <w:tcW w:w="108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rPr>
              <w:t>维护全县大局稳定，推进建设平安华容，经济、法治华容</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eastAsia="仿宋_GB2312" w:cs="Times New Roman"/>
                <w:color w:val="000000"/>
                <w:sz w:val="20"/>
                <w:szCs w:val="20"/>
                <w:lang w:val="en-US" w:eastAsia="zh-CN"/>
              </w:rPr>
            </w:pPr>
            <w:r>
              <w:rPr>
                <w:rFonts w:hint="eastAsia" w:eastAsia="仿宋_GB2312" w:cs="Times New Roman"/>
                <w:color w:val="000000"/>
                <w:sz w:val="20"/>
                <w:szCs w:val="20"/>
                <w:lang w:val="en-US" w:eastAsia="zh-CN"/>
              </w:rPr>
              <w:t>90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6</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5.4</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lang w:eastAsia="zh-CN"/>
              </w:rPr>
              <w:t>尚未完工，</w:t>
            </w:r>
            <w:r>
              <w:rPr>
                <w:rFonts w:hint="default" w:ascii="Times New Roman" w:hAnsi="Times New Roman" w:eastAsia="仿宋_GB2312" w:cs="Times New Roman"/>
                <w:color w:val="000000"/>
                <w:sz w:val="20"/>
                <w:szCs w:val="20"/>
              </w:rPr>
              <w:t>主要采用工作量化和时间节点完成情况进行评价</w:t>
            </w:r>
          </w:p>
        </w:tc>
      </w:tr>
      <w:tr>
        <w:tblPrEx>
          <w:tblLayout w:type="fixed"/>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rPr>
            </w:pPr>
            <w:r>
              <w:rPr>
                <w:rFonts w:hint="eastAsia" w:eastAsia="仿宋_GB2312" w:cs="Times New Roman"/>
                <w:color w:val="000000"/>
                <w:sz w:val="20"/>
                <w:szCs w:val="20"/>
                <w:lang w:eastAsia="zh-CN"/>
              </w:rPr>
              <w:t>厉行节约，</w:t>
            </w:r>
            <w:r>
              <w:rPr>
                <w:rFonts w:hint="eastAsia" w:ascii="Times New Roman" w:hAnsi="Times New Roman" w:eastAsia="仿宋_GB2312" w:cs="Times New Roman"/>
                <w:color w:val="000000"/>
                <w:sz w:val="20"/>
                <w:szCs w:val="20"/>
                <w:lang w:eastAsia="zh-CN"/>
              </w:rPr>
              <w:t>树立“过紧日子”思想</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eastAsia="仿宋_GB2312" w:cs="Times New Roman"/>
                <w:color w:val="000000"/>
                <w:sz w:val="20"/>
                <w:szCs w:val="20"/>
                <w:lang w:val="en-US" w:eastAsia="zh-CN"/>
              </w:rPr>
            </w:pP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eastAsia="仿宋_GB2312" w:cs="Times New Roman"/>
                <w:color w:val="000000"/>
                <w:sz w:val="20"/>
                <w:szCs w:val="20"/>
                <w:lang w:val="en-US" w:eastAsia="zh-CN"/>
              </w:rPr>
            </w:pPr>
            <w:r>
              <w:rPr>
                <w:rFonts w:hint="eastAsia" w:eastAsia="仿宋_GB2312" w:cs="Times New Roman"/>
                <w:color w:val="000000"/>
                <w:sz w:val="20"/>
                <w:szCs w:val="20"/>
                <w:lang w:val="en-US" w:eastAsia="zh-CN"/>
              </w:rPr>
              <w:t>95</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6</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5.7</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因公安特殊性，特殊设备已指定型号，无法采用市场竞价</w:t>
            </w:r>
          </w:p>
        </w:tc>
      </w:tr>
      <w:tr>
        <w:tblPrEx>
          <w:tblLayout w:type="fixed"/>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rPr>
              <w:t>侦查违法犯罪活动、维护社会治安秩序，制止危害社会治安秩序的行为</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eastAsia="仿宋_GB2312" w:cs="Times New Roman"/>
                <w:color w:val="000000"/>
                <w:sz w:val="20"/>
                <w:szCs w:val="20"/>
                <w:lang w:val="en-US" w:eastAsia="zh-CN"/>
              </w:rPr>
            </w:pPr>
            <w:r>
              <w:rPr>
                <w:rFonts w:hint="eastAsia" w:eastAsia="仿宋_GB2312" w:cs="Times New Roman"/>
                <w:color w:val="000000"/>
                <w:sz w:val="20"/>
                <w:szCs w:val="20"/>
                <w:lang w:val="en-US" w:eastAsia="zh-CN"/>
              </w:rPr>
              <w:t>95</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6</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5.7</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eastAsia="zh-CN"/>
              </w:rPr>
              <w:t>尚未完工，</w:t>
            </w:r>
            <w:r>
              <w:rPr>
                <w:rFonts w:hint="default" w:ascii="Times New Roman" w:hAnsi="Times New Roman" w:eastAsia="仿宋_GB2312" w:cs="Times New Roman"/>
                <w:color w:val="000000"/>
                <w:sz w:val="20"/>
                <w:szCs w:val="20"/>
              </w:rPr>
              <w:t>主要采用工作量化和时间节点完成情况进行评价</w:t>
            </w:r>
          </w:p>
        </w:tc>
      </w:tr>
      <w:tr>
        <w:tblPrEx>
          <w:tblLayout w:type="fixed"/>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严控成本，厉行环保节约</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eastAsia="仿宋_GB2312" w:cs="Times New Roman"/>
                <w:color w:val="000000"/>
                <w:sz w:val="20"/>
                <w:szCs w:val="20"/>
                <w:lang w:val="en-US" w:eastAsia="zh-CN"/>
              </w:rPr>
            </w:pPr>
            <w:r>
              <w:rPr>
                <w:rFonts w:hint="eastAsia" w:eastAsia="仿宋_GB2312" w:cs="Times New Roman"/>
                <w:color w:val="000000"/>
                <w:sz w:val="20"/>
                <w:szCs w:val="20"/>
                <w:lang w:val="en-US" w:eastAsia="zh-CN"/>
              </w:rPr>
              <w:t>95</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6</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5.7</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eastAsia="zh-CN"/>
              </w:rPr>
              <w:t>尚未完工，</w:t>
            </w:r>
            <w:r>
              <w:rPr>
                <w:rFonts w:hint="default" w:ascii="Times New Roman" w:hAnsi="Times New Roman" w:eastAsia="仿宋_GB2312" w:cs="Times New Roman"/>
                <w:color w:val="000000"/>
                <w:sz w:val="20"/>
                <w:szCs w:val="20"/>
              </w:rPr>
              <w:t>主要采用工作量化和时间节点完成情况进行评价</w:t>
            </w:r>
          </w:p>
        </w:tc>
      </w:tr>
      <w:tr>
        <w:tblPrEx>
          <w:tblLayout w:type="fixed"/>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可持续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影响指标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lang w:eastAsia="zh-CN"/>
              </w:rPr>
              <w:t>整体形象提升，更好实施工作</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100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eastAsia="仿宋_GB2312" w:cs="Times New Roman"/>
                <w:color w:val="000000"/>
                <w:sz w:val="20"/>
                <w:szCs w:val="20"/>
                <w:lang w:val="en-US" w:eastAsia="zh-CN"/>
              </w:rPr>
            </w:pPr>
            <w:r>
              <w:rPr>
                <w:rFonts w:hint="eastAsia" w:eastAsia="仿宋_GB2312" w:cs="Times New Roman"/>
                <w:color w:val="000000"/>
                <w:sz w:val="20"/>
                <w:szCs w:val="20"/>
                <w:lang w:val="en-US" w:eastAsia="zh-CN"/>
              </w:rPr>
              <w:t>90</w:t>
            </w: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6</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5.4</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尚未完工，</w:t>
            </w:r>
            <w:r>
              <w:rPr>
                <w:rFonts w:hint="default" w:ascii="Times New Roman" w:hAnsi="Times New Roman" w:eastAsia="仿宋_GB2312" w:cs="Times New Roman"/>
                <w:color w:val="000000"/>
                <w:sz w:val="20"/>
                <w:szCs w:val="20"/>
              </w:rPr>
              <w:t>主要采用工作量化和时间节点完成情况进行评价</w:t>
            </w:r>
          </w:p>
        </w:tc>
      </w:tr>
      <w:tr>
        <w:tblPrEx>
          <w:tblLayout w:type="fixed"/>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tcBorders>
              <w:top w:val="single" w:color="auto" w:sz="4" w:space="0"/>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（10分）</w:t>
            </w:r>
          </w:p>
        </w:tc>
        <w:tc>
          <w:tcPr>
            <w:tcW w:w="1080" w:type="dxa"/>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服务对象满意度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rPr>
              <w:t>侦查力度提升，便民设施完善，公众评价整体</w:t>
            </w:r>
            <w:r>
              <w:rPr>
                <w:rFonts w:hint="eastAsia" w:eastAsia="仿宋_GB2312" w:cs="Times New Roman"/>
                <w:color w:val="000000"/>
                <w:sz w:val="20"/>
                <w:szCs w:val="20"/>
                <w:lang w:eastAsia="zh-CN"/>
              </w:rPr>
              <w:t>满意度评价</w:t>
            </w: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Layout w:type="fixed"/>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总分</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96.4</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bl>
    <w:p>
      <w:pPr>
        <w:rPr>
          <w:rFonts w:hint="eastAsia" w:ascii="新宋体" w:hAnsi="新宋体" w:eastAsia="新宋体" w:cs="新宋体"/>
          <w:sz w:val="21"/>
          <w:szCs w:val="21"/>
          <w:lang w:eastAsia="zh-CN"/>
        </w:rPr>
      </w:pPr>
      <w:r>
        <w:rPr>
          <w:rFonts w:hint="eastAsia" w:ascii="新宋体" w:hAnsi="新宋体" w:eastAsia="新宋体" w:cs="新宋体"/>
          <w:sz w:val="21"/>
          <w:szCs w:val="21"/>
        </w:rPr>
        <w:t>备注：一个一级项目支出一张表。</w:t>
      </w:r>
      <w:r>
        <w:rPr>
          <w:rFonts w:hint="eastAsia" w:ascii="新宋体" w:hAnsi="新宋体" w:eastAsia="新宋体" w:cs="新宋体"/>
          <w:sz w:val="21"/>
          <w:szCs w:val="21"/>
          <w:lang w:eastAsia="zh-CN"/>
        </w:rPr>
        <w:t>如，</w:t>
      </w:r>
      <w:r>
        <w:rPr>
          <w:rFonts w:hint="eastAsia" w:ascii="新宋体" w:hAnsi="新宋体" w:eastAsia="新宋体" w:cs="新宋体"/>
          <w:sz w:val="21"/>
          <w:szCs w:val="21"/>
        </w:rPr>
        <w:t>业务工作经费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运行维护经费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lang w:val="en-US" w:eastAsia="zh-CN"/>
        </w:rPr>
        <w:t>XX项目</w:t>
      </w:r>
      <w:r>
        <w:rPr>
          <w:rFonts w:hint="eastAsia" w:ascii="新宋体" w:hAnsi="新宋体" w:eastAsia="新宋体" w:cs="新宋体"/>
          <w:sz w:val="21"/>
          <w:szCs w:val="21"/>
          <w:lang w:eastAsia="zh-CN"/>
        </w:rPr>
        <w:t>资金…各一张表。</w:t>
      </w:r>
    </w:p>
    <w:p>
      <w:pPr>
        <w:pStyle w:val="2"/>
        <w:rPr>
          <w:rFonts w:hint="eastAsia"/>
        </w:rPr>
      </w:pPr>
    </w:p>
    <w:p>
      <w:pPr>
        <w:rPr>
          <w:rFonts w:hint="eastAsia"/>
        </w:rPr>
      </w:pPr>
    </w:p>
    <w:p>
      <w:pPr>
        <w:jc w:val="left"/>
        <w:rPr>
          <w:rFonts w:hint="eastAsia" w:ascii="新宋体" w:hAnsi="新宋体" w:eastAsia="新宋体" w:cs="新宋体"/>
          <w:sz w:val="21"/>
          <w:szCs w:val="21"/>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ascii="新宋体" w:hAnsi="新宋体" w:eastAsia="新宋体" w:cs="新宋体"/>
          <w:sz w:val="21"/>
          <w:szCs w:val="21"/>
        </w:rPr>
        <w:t>填表人：</w:t>
      </w:r>
      <w:r>
        <w:rPr>
          <w:rFonts w:hint="eastAsia" w:ascii="新宋体" w:hAnsi="新宋体" w:eastAsia="新宋体" w:cs="新宋体"/>
          <w:sz w:val="21"/>
          <w:szCs w:val="21"/>
          <w:lang w:eastAsia="zh-CN"/>
        </w:rPr>
        <w:t>刘崇诚</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填报日期：</w:t>
      </w:r>
      <w:r>
        <w:rPr>
          <w:rFonts w:hint="eastAsia" w:ascii="新宋体" w:hAnsi="新宋体" w:eastAsia="新宋体" w:cs="新宋体"/>
          <w:sz w:val="21"/>
          <w:szCs w:val="21"/>
          <w:lang w:val="en-US" w:eastAsia="zh-CN"/>
        </w:rPr>
        <w:t xml:space="preserve">2023.7.4   </w:t>
      </w:r>
      <w:r>
        <w:rPr>
          <w:rFonts w:hint="eastAsia" w:ascii="新宋体" w:hAnsi="新宋体" w:eastAsia="新宋体" w:cs="新宋体"/>
          <w:sz w:val="21"/>
          <w:szCs w:val="21"/>
        </w:rPr>
        <w:t>联系电话：</w:t>
      </w:r>
      <w:r>
        <w:rPr>
          <w:rFonts w:hint="eastAsia" w:ascii="新宋体" w:hAnsi="新宋体" w:eastAsia="新宋体" w:cs="新宋体"/>
          <w:sz w:val="21"/>
          <w:szCs w:val="21"/>
          <w:lang w:val="en-US" w:eastAsia="zh-CN"/>
        </w:rPr>
        <w:t xml:space="preserve">0730-4251027   </w:t>
      </w:r>
      <w:r>
        <w:rPr>
          <w:rFonts w:hint="eastAsia" w:ascii="新宋体" w:hAnsi="新宋体" w:eastAsia="新宋体" w:cs="新宋体"/>
          <w:sz w:val="21"/>
          <w:szCs w:val="21"/>
        </w:rPr>
        <w:t>单位负责人签字：</w:t>
      </w:r>
      <w:r>
        <w:rPr>
          <w:rFonts w:hint="eastAsia" w:ascii="新宋体" w:hAnsi="新宋体" w:eastAsia="新宋体" w:cs="新宋体"/>
          <w:sz w:val="21"/>
          <w:szCs w:val="21"/>
          <w:lang w:val="en-US" w:eastAsia="zh-CN"/>
        </w:rPr>
        <w:t>马克金</w:t>
      </w:r>
    </w:p>
    <w:p>
      <w:pPr>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6</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华容县公安局业务技术用房、鲇鱼须派出所建设项目</w:t>
      </w:r>
      <w:r>
        <w:rPr>
          <w:rFonts w:hint="eastAsia" w:ascii="方正小标宋简体" w:hAnsi="方正小标宋简体" w:eastAsia="方正小标宋简体" w:cs="方正小标宋简体"/>
          <w:sz w:val="44"/>
          <w:szCs w:val="44"/>
        </w:rPr>
        <w:t>支出绩效自评报告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pStyle w:val="2"/>
        <w:rPr>
          <w:rFonts w:hint="default" w:ascii="Times New Roman" w:hAnsi="Times New Roman" w:eastAsia="黑体" w:cs="Times New Roman"/>
          <w:sz w:val="32"/>
          <w:szCs w:val="32"/>
        </w:rPr>
      </w:pPr>
    </w:p>
    <w:p>
      <w:pPr>
        <w:rPr>
          <w:rFonts w:hint="default" w:ascii="Times New Roman" w:hAnsi="Times New Roman" w:eastAsia="黑体" w:cs="Times New Roman"/>
          <w:sz w:val="32"/>
          <w:szCs w:val="32"/>
        </w:rPr>
      </w:pPr>
    </w:p>
    <w:p>
      <w:pPr>
        <w:pStyle w:val="2"/>
        <w:rPr>
          <w:rFonts w:hint="default" w:ascii="Times New Roman" w:hAnsi="Times New Roman" w:eastAsia="黑体" w:cs="Times New Roman"/>
          <w:sz w:val="32"/>
          <w:szCs w:val="32"/>
        </w:rPr>
      </w:pPr>
    </w:p>
    <w:p>
      <w:pPr>
        <w:rPr>
          <w:rFonts w:hint="default" w:ascii="Times New Roman" w:hAnsi="Times New Roman" w:eastAsia="黑体" w:cs="Times New Roman"/>
          <w:sz w:val="32"/>
          <w:szCs w:val="32"/>
        </w:rPr>
      </w:pPr>
    </w:p>
    <w:p>
      <w:pPr>
        <w:pStyle w:val="2"/>
        <w:rPr>
          <w:rFonts w:hint="default" w:ascii="Times New Roman" w:hAnsi="Times New Roman" w:eastAsia="黑体" w:cs="Times New Roman"/>
          <w:sz w:val="32"/>
          <w:szCs w:val="32"/>
        </w:rPr>
      </w:pPr>
    </w:p>
    <w:p>
      <w:pPr>
        <w:pStyle w:val="2"/>
        <w:rPr>
          <w:rFonts w:hint="default"/>
        </w:rPr>
      </w:pPr>
    </w:p>
    <w:p>
      <w:pPr>
        <w:spacing w:line="600" w:lineRule="exact"/>
        <w:jc w:val="center"/>
        <w:rPr>
          <w:rFonts w:hint="eastAsia" w:ascii="Times New Roman" w:hAnsi="Times New Roman" w:eastAsia="仿宋_GB2312" w:cs="Times New Roman"/>
          <w:sz w:val="32"/>
          <w:szCs w:val="32"/>
          <w:u w:val="single"/>
          <w:lang w:eastAsia="zh-CN"/>
        </w:rPr>
      </w:pPr>
      <w:r>
        <w:rPr>
          <w:rFonts w:hint="default" w:ascii="Times New Roman" w:hAnsi="Times New Roman" w:eastAsia="仿宋_GB2312" w:cs="Times New Roman"/>
          <w:sz w:val="32"/>
          <w:szCs w:val="32"/>
        </w:rPr>
        <w:t>部门（单位）名称：</w:t>
      </w:r>
      <w:r>
        <w:rPr>
          <w:rFonts w:hint="eastAsia" w:eastAsia="仿宋_GB2312" w:cs="Times New Roman"/>
          <w:sz w:val="32"/>
          <w:szCs w:val="32"/>
          <w:u w:val="single"/>
          <w:lang w:eastAsia="zh-CN"/>
        </w:rPr>
        <w:t>华容县公安局</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2023</w:t>
      </w:r>
      <w:r>
        <w:rPr>
          <w:rFonts w:hint="default" w:ascii="Times New Roman" w:hAnsi="Times New Roman" w:eastAsia="楷体_GB2312" w:cs="Times New Roman"/>
          <w:sz w:val="32"/>
          <w:szCs w:val="32"/>
        </w:rPr>
        <w:t>年</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月</w:t>
      </w:r>
      <w:r>
        <w:rPr>
          <w:rFonts w:hint="eastAsia" w:eastAsia="楷体_GB2312" w:cs="Times New Roman"/>
          <w:sz w:val="32"/>
          <w:szCs w:val="32"/>
          <w:lang w:val="en-US" w:eastAsia="zh-CN"/>
        </w:rPr>
        <w:t>4</w:t>
      </w:r>
      <w:r>
        <w:rPr>
          <w:rFonts w:hint="default" w:ascii="Times New Roman" w:hAnsi="Times New Roman" w:eastAsia="楷体_GB2312" w:cs="Times New Roman"/>
          <w:sz w:val="32"/>
          <w:szCs w:val="32"/>
        </w:rPr>
        <w:t>日</w:t>
      </w:r>
    </w:p>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华容县公安局公安业务技术用房、鲇鱼须派出所建设项目</w:t>
      </w:r>
      <w:r>
        <w:rPr>
          <w:rFonts w:hint="eastAsia" w:ascii="方正小标宋简体" w:hAnsi="方正小标宋简体" w:eastAsia="方正小标宋简体" w:cs="方正小标宋简体"/>
          <w:sz w:val="44"/>
          <w:szCs w:val="44"/>
        </w:rPr>
        <w:t>支出绩效自评报告</w:t>
      </w:r>
    </w:p>
    <w:p>
      <w:pPr>
        <w:keepNext w:val="0"/>
        <w:keepLines w:val="0"/>
        <w:pageBreakBefore w:val="0"/>
        <w:kinsoku/>
        <w:wordWrap/>
        <w:overflowPunct/>
        <w:topLinePunct w:val="0"/>
        <w:autoSpaceDE/>
        <w:autoSpaceDN/>
        <w:bidi w:val="0"/>
        <w:adjustRightInd/>
        <w:snapToGrid/>
        <w:spacing w:line="610" w:lineRule="exact"/>
        <w:ind w:firstLine="560" w:firstLineChars="200"/>
        <w:textAlignment w:val="auto"/>
        <w:rPr>
          <w:rFonts w:hint="eastAsia" w:ascii="仿宋" w:hAnsi="仿宋" w:eastAsia="仿宋" w:cs="仿宋"/>
          <w:sz w:val="28"/>
          <w:szCs w:val="28"/>
        </w:rPr>
      </w:pPr>
      <w:r>
        <w:rPr>
          <w:rFonts w:hint="eastAsia" w:ascii="仿宋" w:hAnsi="仿宋" w:eastAsia="仿宋" w:cs="仿宋"/>
          <w:color w:val="333333"/>
          <w:kern w:val="0"/>
          <w:sz w:val="28"/>
          <w:szCs w:val="28"/>
        </w:rPr>
        <w:t xml:space="preserve"> 按照《华容县财政局关于做好202</w:t>
      </w:r>
      <w:r>
        <w:rPr>
          <w:rFonts w:hint="eastAsia" w:ascii="仿宋" w:hAnsi="仿宋" w:eastAsia="仿宋" w:cs="仿宋"/>
          <w:color w:val="333333"/>
          <w:kern w:val="0"/>
          <w:sz w:val="28"/>
          <w:szCs w:val="28"/>
          <w:lang w:val="en-US" w:eastAsia="zh-CN"/>
        </w:rPr>
        <w:t>2</w:t>
      </w:r>
      <w:r>
        <w:rPr>
          <w:rFonts w:hint="eastAsia" w:ascii="仿宋" w:hAnsi="仿宋" w:eastAsia="仿宋" w:cs="仿宋"/>
          <w:color w:val="333333"/>
          <w:kern w:val="0"/>
          <w:sz w:val="28"/>
          <w:szCs w:val="28"/>
        </w:rPr>
        <w:t>年部门预算绩效管理有关工作的通知》要求，我局公安业务技术用房建设项目、</w:t>
      </w:r>
      <w:r>
        <w:rPr>
          <w:rFonts w:hint="eastAsia" w:ascii="仿宋" w:hAnsi="仿宋" w:eastAsia="仿宋" w:cs="仿宋"/>
          <w:color w:val="333333"/>
          <w:kern w:val="0"/>
          <w:sz w:val="28"/>
          <w:szCs w:val="28"/>
          <w:lang w:eastAsia="zh-CN"/>
        </w:rPr>
        <w:t>鲇鱼须</w:t>
      </w:r>
      <w:r>
        <w:rPr>
          <w:rFonts w:hint="eastAsia" w:ascii="仿宋" w:hAnsi="仿宋" w:eastAsia="仿宋" w:cs="仿宋"/>
          <w:color w:val="333333"/>
          <w:kern w:val="0"/>
          <w:sz w:val="28"/>
          <w:szCs w:val="28"/>
        </w:rPr>
        <w:t>派出所建设项目合并为基建专项列为202</w:t>
      </w:r>
      <w:r>
        <w:rPr>
          <w:rFonts w:hint="eastAsia" w:ascii="仿宋" w:hAnsi="仿宋" w:eastAsia="仿宋" w:cs="仿宋"/>
          <w:color w:val="333333"/>
          <w:kern w:val="0"/>
          <w:sz w:val="28"/>
          <w:szCs w:val="28"/>
          <w:lang w:val="en-US" w:eastAsia="zh-CN"/>
        </w:rPr>
        <w:t>2</w:t>
      </w:r>
      <w:r>
        <w:rPr>
          <w:rFonts w:hint="eastAsia" w:ascii="仿宋" w:hAnsi="仿宋" w:eastAsia="仿宋" w:cs="仿宋"/>
          <w:color w:val="333333"/>
          <w:kern w:val="0"/>
          <w:sz w:val="28"/>
          <w:szCs w:val="28"/>
        </w:rPr>
        <w:t>年财政支出绩效评价项目。我局通过自查，对照评价内容，项目自评96</w:t>
      </w:r>
      <w:r>
        <w:rPr>
          <w:rFonts w:hint="eastAsia" w:ascii="仿宋" w:hAnsi="仿宋" w:eastAsia="仿宋" w:cs="仿宋"/>
          <w:color w:val="333333"/>
          <w:kern w:val="0"/>
          <w:sz w:val="28"/>
          <w:szCs w:val="28"/>
          <w:lang w:val="en-US" w:eastAsia="zh-CN"/>
        </w:rPr>
        <w:t>.4</w:t>
      </w:r>
      <w:r>
        <w:rPr>
          <w:rFonts w:hint="eastAsia" w:ascii="仿宋" w:hAnsi="仿宋" w:eastAsia="仿宋" w:cs="仿宋"/>
          <w:color w:val="333333"/>
          <w:kern w:val="0"/>
          <w:sz w:val="28"/>
          <w:szCs w:val="28"/>
        </w:rPr>
        <w:t>分，自评优秀等级。现将本项目支出绩效自评情况报告如下：</w:t>
      </w:r>
    </w:p>
    <w:p>
      <w:pPr>
        <w:keepNext w:val="0"/>
        <w:keepLines w:val="0"/>
        <w:pageBreakBefore w:val="0"/>
        <w:kinsoku/>
        <w:wordWrap/>
        <w:overflowPunct/>
        <w:topLinePunct w:val="0"/>
        <w:autoSpaceDE/>
        <w:autoSpaceDN/>
        <w:bidi w:val="0"/>
        <w:adjustRightInd/>
        <w:snapToGrid/>
        <w:spacing w:line="61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一、基本情况</w:t>
      </w:r>
    </w:p>
    <w:p>
      <w:pPr>
        <w:widowControl/>
        <w:shd w:val="clear" w:color="auto" w:fill="FFFFFF"/>
        <w:spacing w:line="480" w:lineRule="auto"/>
        <w:ind w:firstLine="560" w:firstLineChars="200"/>
        <w:jc w:val="left"/>
        <w:rPr>
          <w:rFonts w:hint="eastAsia" w:ascii="仿宋" w:hAnsi="仿宋" w:eastAsia="仿宋" w:cs="仿宋"/>
          <w:color w:val="333333"/>
          <w:kern w:val="0"/>
          <w:sz w:val="28"/>
          <w:szCs w:val="28"/>
        </w:rPr>
      </w:pPr>
      <w:r>
        <w:rPr>
          <w:rFonts w:hint="eastAsia" w:ascii="仿宋" w:hAnsi="仿宋" w:eastAsia="仿宋" w:cs="仿宋"/>
          <w:color w:val="333333"/>
          <w:kern w:val="0"/>
          <w:sz w:val="28"/>
          <w:szCs w:val="28"/>
        </w:rPr>
        <w:t>公安机关担负着巩固党的执政地位，维护国家长治久安，保障人民安居乐业的重大政治和社会责任。为切实提升公安机关的防范管理、控制、打击和服务能力，依法打击各类经济犯罪活动，维护市场经济秩序，切实满足新时期对公安工作快速高度指挥和合成综合作战的能力要求，为华容县经济快速发展保驾护航，公安基础设施建设需要不断升级完善。</w:t>
      </w:r>
    </w:p>
    <w:p>
      <w:pPr>
        <w:widowControl/>
        <w:shd w:val="clear" w:color="auto" w:fill="FFFFFF"/>
        <w:spacing w:line="480" w:lineRule="auto"/>
        <w:ind w:firstLine="560" w:firstLineChars="200"/>
        <w:jc w:val="left"/>
        <w:rPr>
          <w:rFonts w:hint="eastAsia" w:ascii="仿宋" w:hAnsi="仿宋" w:eastAsia="仿宋" w:cs="仿宋"/>
          <w:sz w:val="28"/>
          <w:szCs w:val="28"/>
        </w:rPr>
      </w:pPr>
      <w:r>
        <w:rPr>
          <w:rFonts w:hint="eastAsia" w:ascii="仿宋" w:hAnsi="仿宋" w:eastAsia="仿宋" w:cs="仿宋"/>
          <w:color w:val="333333"/>
          <w:kern w:val="0"/>
          <w:sz w:val="28"/>
          <w:szCs w:val="28"/>
        </w:rPr>
        <w:t>1.华容县公安局业务技术用房建设项目概况</w:t>
      </w:r>
    </w:p>
    <w:p>
      <w:pPr>
        <w:widowControl/>
        <w:shd w:val="clear" w:color="auto" w:fill="FFFFFF"/>
        <w:spacing w:line="480" w:lineRule="auto"/>
        <w:ind w:firstLine="560"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color w:val="333333"/>
          <w:kern w:val="0"/>
          <w:sz w:val="28"/>
          <w:szCs w:val="28"/>
        </w:rPr>
        <w:t>该项目于2011年</w:t>
      </w:r>
      <w:bookmarkStart w:id="0" w:name="_GoBack"/>
      <w:r>
        <w:rPr>
          <w:rFonts w:hint="eastAsia" w:ascii="仿宋" w:hAnsi="仿宋" w:eastAsia="仿宋" w:cs="仿宋"/>
          <w:color w:val="333333"/>
          <w:kern w:val="0"/>
          <w:sz w:val="28"/>
          <w:szCs w:val="28"/>
        </w:rPr>
        <w:t>5月立项，国家批准建设面积为15369平方米，其中业务用房14364平方米，附属用房1005平方米；2014年通过选址和</w:t>
      </w:r>
      <w:r>
        <w:rPr>
          <w:rFonts w:hint="eastAsia" w:ascii="仿宋" w:hAnsi="仿宋" w:eastAsia="仿宋" w:cs="仿宋"/>
          <w:color w:val="auto"/>
          <w:kern w:val="0"/>
          <w:sz w:val="28"/>
          <w:szCs w:val="28"/>
        </w:rPr>
        <w:t>规划方案；2015年完成设计造价和财政评审工作；2016年3月动工开建；2019年11月竣工并投入使用；2021年1月竣工验收完成。</w:t>
      </w:r>
      <w:r>
        <w:rPr>
          <w:rFonts w:hint="eastAsia" w:ascii="仿宋" w:hAnsi="仿宋" w:eastAsia="仿宋" w:cs="仿宋"/>
          <w:color w:val="auto"/>
          <w:kern w:val="0"/>
          <w:sz w:val="28"/>
          <w:szCs w:val="28"/>
          <w:lang w:val="en-US" w:eastAsia="zh-CN"/>
        </w:rPr>
        <w:t>2022年支出用于室内装修及配套实施建设尾款。</w:t>
      </w:r>
    </w:p>
    <w:bookmarkEnd w:id="0"/>
    <w:p>
      <w:pPr>
        <w:widowControl/>
        <w:shd w:val="clear" w:color="auto" w:fill="FFFFFF"/>
        <w:spacing w:line="48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2.鲇鱼须</w:t>
      </w:r>
      <w:r>
        <w:rPr>
          <w:rFonts w:hint="eastAsia" w:ascii="仿宋" w:hAnsi="仿宋" w:eastAsia="仿宋" w:cs="仿宋"/>
          <w:color w:val="auto"/>
          <w:kern w:val="0"/>
          <w:sz w:val="28"/>
          <w:szCs w:val="28"/>
        </w:rPr>
        <w:t>派出所建设项目概况</w:t>
      </w:r>
    </w:p>
    <w:p>
      <w:pPr>
        <w:widowControl/>
        <w:shd w:val="clear" w:color="auto" w:fill="FFFFFF"/>
        <w:spacing w:line="480" w:lineRule="auto"/>
        <w:ind w:firstLine="560" w:firstLineChars="200"/>
        <w:jc w:val="left"/>
        <w:rPr>
          <w:rFonts w:hint="eastAsia" w:ascii="仿宋" w:hAnsi="仿宋" w:eastAsia="仿宋" w:cs="仿宋"/>
          <w:sz w:val="32"/>
          <w:szCs w:val="32"/>
        </w:rPr>
      </w:pPr>
      <w:r>
        <w:rPr>
          <w:rFonts w:hint="eastAsia" w:ascii="仿宋" w:hAnsi="仿宋" w:eastAsia="仿宋" w:cs="仿宋"/>
          <w:color w:val="auto"/>
          <w:kern w:val="0"/>
          <w:sz w:val="28"/>
          <w:szCs w:val="28"/>
        </w:rPr>
        <w:t>该项目</w:t>
      </w:r>
      <w:r>
        <w:rPr>
          <w:rFonts w:hint="eastAsia" w:ascii="仿宋" w:hAnsi="仿宋" w:eastAsia="仿宋" w:cs="仿宋"/>
          <w:color w:val="auto"/>
          <w:kern w:val="0"/>
          <w:sz w:val="28"/>
          <w:szCs w:val="28"/>
          <w:lang w:eastAsia="zh-CN"/>
        </w:rPr>
        <w:t>规划建设用地</w:t>
      </w:r>
      <w:r>
        <w:rPr>
          <w:rFonts w:hint="eastAsia" w:ascii="仿宋" w:hAnsi="仿宋" w:eastAsia="仿宋" w:cs="仿宋"/>
          <w:color w:val="auto"/>
          <w:kern w:val="0"/>
          <w:sz w:val="28"/>
          <w:szCs w:val="28"/>
        </w:rPr>
        <w:t>面积</w:t>
      </w:r>
      <w:r>
        <w:rPr>
          <w:rFonts w:hint="eastAsia" w:ascii="仿宋" w:hAnsi="仿宋" w:eastAsia="仿宋" w:cs="仿宋"/>
          <w:color w:val="auto"/>
          <w:kern w:val="0"/>
          <w:sz w:val="28"/>
          <w:szCs w:val="28"/>
          <w:lang w:val="en-US" w:eastAsia="zh-CN"/>
        </w:rPr>
        <w:t>4010.75</w:t>
      </w:r>
      <w:r>
        <w:rPr>
          <w:rFonts w:hint="eastAsia" w:ascii="仿宋" w:hAnsi="仿宋" w:eastAsia="仿宋" w:cs="仿宋"/>
          <w:color w:val="auto"/>
          <w:kern w:val="0"/>
          <w:sz w:val="28"/>
          <w:szCs w:val="28"/>
        </w:rPr>
        <w:t>平方米，</w:t>
      </w:r>
      <w:r>
        <w:rPr>
          <w:rFonts w:hint="eastAsia" w:ascii="仿宋" w:hAnsi="仿宋" w:eastAsia="仿宋" w:cs="仿宋"/>
          <w:color w:val="auto"/>
          <w:kern w:val="0"/>
          <w:sz w:val="28"/>
          <w:szCs w:val="28"/>
          <w:lang w:eastAsia="zh-CN"/>
        </w:rPr>
        <w:t>规划总</w:t>
      </w:r>
      <w:r>
        <w:rPr>
          <w:rFonts w:hint="eastAsia" w:ascii="仿宋" w:hAnsi="仿宋" w:eastAsia="仿宋" w:cs="仿宋"/>
          <w:color w:val="auto"/>
          <w:kern w:val="0"/>
          <w:sz w:val="28"/>
          <w:szCs w:val="28"/>
        </w:rPr>
        <w:t>建筑面积</w:t>
      </w:r>
      <w:r>
        <w:rPr>
          <w:rFonts w:hint="eastAsia" w:ascii="仿宋" w:hAnsi="仿宋" w:eastAsia="仿宋" w:cs="仿宋"/>
          <w:color w:val="auto"/>
          <w:kern w:val="0"/>
          <w:sz w:val="28"/>
          <w:szCs w:val="28"/>
          <w:lang w:val="en-US" w:eastAsia="zh-CN"/>
        </w:rPr>
        <w:t>1112.19</w:t>
      </w:r>
      <w:r>
        <w:rPr>
          <w:rFonts w:hint="eastAsia" w:ascii="仿宋" w:hAnsi="仿宋" w:eastAsia="仿宋" w:cs="仿宋"/>
          <w:color w:val="auto"/>
          <w:kern w:val="0"/>
          <w:sz w:val="28"/>
          <w:szCs w:val="28"/>
        </w:rPr>
        <w:t>平方米，</w:t>
      </w:r>
      <w:r>
        <w:rPr>
          <w:rFonts w:hint="eastAsia" w:ascii="仿宋" w:hAnsi="仿宋" w:eastAsia="仿宋" w:cs="仿宋"/>
          <w:color w:val="auto"/>
          <w:kern w:val="0"/>
          <w:sz w:val="28"/>
          <w:szCs w:val="28"/>
          <w:lang w:eastAsia="zh-CN"/>
        </w:rPr>
        <w:t>建设地址位于华容县鲇鱼须镇湘北村九组。</w:t>
      </w:r>
      <w:r>
        <w:rPr>
          <w:rFonts w:hint="eastAsia" w:ascii="仿宋" w:hAnsi="仿宋" w:eastAsia="仿宋" w:cs="仿宋"/>
          <w:color w:val="auto"/>
          <w:kern w:val="0"/>
          <w:sz w:val="28"/>
          <w:szCs w:val="28"/>
        </w:rPr>
        <w:t>主要</w:t>
      </w:r>
      <w:r>
        <w:rPr>
          <w:rFonts w:hint="eastAsia" w:ascii="仿宋" w:hAnsi="仿宋" w:eastAsia="仿宋" w:cs="仿宋"/>
          <w:color w:val="auto"/>
          <w:kern w:val="0"/>
          <w:sz w:val="28"/>
          <w:szCs w:val="28"/>
          <w:lang w:eastAsia="zh-CN"/>
        </w:rPr>
        <w:t>新建一栋三层业务楼建筑面积约</w:t>
      </w:r>
      <w:r>
        <w:rPr>
          <w:rFonts w:hint="eastAsia" w:ascii="仿宋" w:hAnsi="仿宋" w:eastAsia="仿宋" w:cs="仿宋"/>
          <w:color w:val="auto"/>
          <w:kern w:val="0"/>
          <w:sz w:val="28"/>
          <w:szCs w:val="28"/>
          <w:lang w:val="en-US" w:eastAsia="zh-CN"/>
        </w:rPr>
        <w:t>567.14平方米，新建一栋三层综合楼（含食堂）建筑面积约520.96平方米，新建连廊24.09平方米，停车位28个，并配套给排水、绿化、围墙、道路、电气等公用工程</w:t>
      </w:r>
      <w:r>
        <w:rPr>
          <w:rFonts w:hint="eastAsia" w:ascii="仿宋" w:hAnsi="仿宋" w:eastAsia="仿宋" w:cs="仿宋"/>
          <w:color w:val="auto"/>
          <w:kern w:val="0"/>
          <w:sz w:val="28"/>
          <w:szCs w:val="28"/>
        </w:rPr>
        <w:t>。</w:t>
      </w:r>
      <w:r>
        <w:rPr>
          <w:rFonts w:hint="eastAsia" w:ascii="仿宋" w:hAnsi="仿宋" w:eastAsia="仿宋" w:cs="仿宋"/>
          <w:color w:val="auto"/>
          <w:kern w:val="0"/>
          <w:sz w:val="28"/>
          <w:szCs w:val="28"/>
          <w:lang w:val="en-US" w:eastAsia="zh-CN"/>
        </w:rPr>
        <w:t>本项目建设工期14个月（含报建审批阶段），项目</w:t>
      </w:r>
      <w:r>
        <w:rPr>
          <w:rFonts w:hint="eastAsia" w:ascii="仿宋" w:hAnsi="仿宋" w:eastAsia="仿宋" w:cs="仿宋"/>
          <w:color w:val="auto"/>
          <w:kern w:val="0"/>
          <w:sz w:val="28"/>
          <w:szCs w:val="28"/>
          <w:lang w:eastAsia="zh-CN"/>
        </w:rPr>
        <w:t>概算总投资</w:t>
      </w:r>
      <w:r>
        <w:rPr>
          <w:rFonts w:hint="eastAsia" w:ascii="仿宋" w:hAnsi="仿宋" w:eastAsia="仿宋" w:cs="仿宋"/>
          <w:color w:val="auto"/>
          <w:kern w:val="0"/>
          <w:sz w:val="28"/>
          <w:szCs w:val="28"/>
          <w:lang w:val="en-US" w:eastAsia="zh-CN"/>
        </w:rPr>
        <w:t>732.68万元，EPC招标控制价560.5万元。</w:t>
      </w:r>
    </w:p>
    <w:p>
      <w:pPr>
        <w:keepNext w:val="0"/>
        <w:keepLines w:val="0"/>
        <w:pageBreakBefore w:val="0"/>
        <w:kinsoku/>
        <w:wordWrap/>
        <w:overflowPunct/>
        <w:topLinePunct w:val="0"/>
        <w:autoSpaceDE/>
        <w:autoSpaceDN/>
        <w:bidi w:val="0"/>
        <w:adjustRightInd/>
        <w:snapToGrid/>
        <w:spacing w:line="61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二、绩效评价工作开展情况</w:t>
      </w:r>
    </w:p>
    <w:p>
      <w:pPr>
        <w:widowControl/>
        <w:shd w:val="clear" w:color="auto" w:fill="FFFFFF"/>
        <w:spacing w:line="480" w:lineRule="auto"/>
        <w:ind w:firstLine="560" w:firstLineChars="200"/>
        <w:jc w:val="left"/>
        <w:rPr>
          <w:rFonts w:hint="eastAsia" w:ascii="仿宋" w:hAnsi="仿宋" w:eastAsia="仿宋" w:cs="仿宋"/>
          <w:color w:val="333333"/>
          <w:kern w:val="0"/>
          <w:sz w:val="28"/>
          <w:szCs w:val="28"/>
        </w:rPr>
      </w:pPr>
      <w:r>
        <w:rPr>
          <w:rFonts w:hint="eastAsia" w:ascii="仿宋" w:hAnsi="仿宋" w:eastAsia="仿宋" w:cs="仿宋"/>
          <w:color w:val="333333"/>
          <w:kern w:val="0"/>
          <w:sz w:val="28"/>
          <w:szCs w:val="28"/>
        </w:rPr>
        <w:t>选用的评价指标和评价方法 </w:t>
      </w:r>
    </w:p>
    <w:p>
      <w:pPr>
        <w:widowControl/>
        <w:shd w:val="clear" w:color="auto" w:fill="FFFFFF"/>
        <w:spacing w:line="480" w:lineRule="auto"/>
        <w:ind w:firstLine="560" w:firstLineChars="200"/>
        <w:jc w:val="left"/>
        <w:rPr>
          <w:rFonts w:hint="eastAsia" w:ascii="仿宋" w:hAnsi="仿宋" w:eastAsia="仿宋" w:cs="仿宋"/>
          <w:color w:val="333333"/>
          <w:kern w:val="0"/>
          <w:sz w:val="28"/>
          <w:szCs w:val="28"/>
        </w:rPr>
      </w:pPr>
      <w:r>
        <w:rPr>
          <w:rFonts w:hint="eastAsia" w:ascii="仿宋" w:hAnsi="仿宋" w:eastAsia="仿宋" w:cs="仿宋"/>
          <w:color w:val="333333"/>
          <w:kern w:val="0"/>
          <w:sz w:val="28"/>
          <w:szCs w:val="28"/>
        </w:rPr>
        <w:t>我局针对项目单一性、阶段性特点，考虑可持续影响效益评价较困难，本次评价主要采用工作量化和时间节点完成情况进行评价。 </w:t>
      </w:r>
    </w:p>
    <w:p>
      <w:pPr>
        <w:keepNext w:val="0"/>
        <w:keepLines w:val="0"/>
        <w:pageBreakBefore w:val="0"/>
        <w:kinsoku/>
        <w:wordWrap/>
        <w:overflowPunct/>
        <w:topLinePunct w:val="0"/>
        <w:autoSpaceDE/>
        <w:autoSpaceDN/>
        <w:bidi w:val="0"/>
        <w:adjustRightInd/>
        <w:snapToGrid/>
        <w:spacing w:line="61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三、</w:t>
      </w:r>
      <w:r>
        <w:rPr>
          <w:rFonts w:hint="eastAsia" w:ascii="黑体" w:hAnsi="黑体" w:eastAsia="黑体" w:cs="黑体"/>
          <w:sz w:val="32"/>
          <w:szCs w:val="32"/>
        </w:rPr>
        <w:t xml:space="preserve">综合评价情况及评价结论 </w:t>
      </w:r>
    </w:p>
    <w:p>
      <w:pPr>
        <w:keepNext w:val="0"/>
        <w:keepLines w:val="0"/>
        <w:pageBreakBefore w:val="0"/>
        <w:numPr>
          <w:ilvl w:val="0"/>
          <w:numId w:val="0"/>
        </w:numPr>
        <w:kinsoku/>
        <w:wordWrap/>
        <w:overflowPunct/>
        <w:topLinePunct w:val="0"/>
        <w:autoSpaceDE/>
        <w:autoSpaceDN/>
        <w:bidi w:val="0"/>
        <w:adjustRightInd/>
        <w:snapToGrid/>
        <w:spacing w:line="610" w:lineRule="exact"/>
        <w:ind w:firstLine="643" w:firstLineChars="200"/>
        <w:textAlignment w:val="auto"/>
        <w:rPr>
          <w:rFonts w:hint="eastAsia" w:ascii="仿宋" w:hAnsi="仿宋" w:eastAsia="仿宋" w:cs="仿宋"/>
          <w:color w:val="333333"/>
          <w:kern w:val="0"/>
          <w:sz w:val="32"/>
          <w:szCs w:val="32"/>
        </w:rPr>
      </w:pPr>
      <w:r>
        <w:rPr>
          <w:rFonts w:hint="eastAsia" w:ascii="仿宋" w:hAnsi="仿宋" w:eastAsia="仿宋" w:cs="仿宋"/>
          <w:b/>
          <w:bCs/>
          <w:color w:val="333333"/>
          <w:kern w:val="0"/>
          <w:sz w:val="32"/>
          <w:szCs w:val="32"/>
        </w:rPr>
        <w:t>（一）项目组织管理情况</w:t>
      </w:r>
      <w:r>
        <w:rPr>
          <w:rFonts w:hint="eastAsia" w:ascii="仿宋" w:hAnsi="仿宋" w:eastAsia="仿宋" w:cs="仿宋"/>
          <w:color w:val="333333"/>
          <w:kern w:val="0"/>
          <w:sz w:val="32"/>
          <w:szCs w:val="32"/>
        </w:rPr>
        <w:t> </w:t>
      </w:r>
    </w:p>
    <w:p>
      <w:pPr>
        <w:widowControl/>
        <w:shd w:val="clear" w:color="auto" w:fill="FFFFFF"/>
        <w:spacing w:line="480" w:lineRule="auto"/>
        <w:jc w:val="left"/>
        <w:rPr>
          <w:rFonts w:hint="eastAsia" w:ascii="仿宋" w:hAnsi="仿宋" w:eastAsia="仿宋" w:cs="仿宋"/>
          <w:color w:val="333333"/>
          <w:kern w:val="0"/>
          <w:sz w:val="32"/>
          <w:szCs w:val="32"/>
        </w:rPr>
      </w:pPr>
      <w:r>
        <w:rPr>
          <w:rFonts w:hint="eastAsia" w:ascii="仿宋" w:hAnsi="仿宋" w:eastAsia="仿宋" w:cs="仿宋"/>
          <w:color w:val="333333"/>
          <w:kern w:val="0"/>
          <w:sz w:val="32"/>
          <w:szCs w:val="32"/>
        </w:rPr>
        <w:t>　　</w:t>
      </w:r>
      <w:r>
        <w:rPr>
          <w:rFonts w:hint="eastAsia" w:ascii="仿宋" w:hAnsi="仿宋" w:eastAsia="仿宋" w:cs="仿宋"/>
          <w:b/>
          <w:bCs/>
          <w:color w:val="333333"/>
          <w:kern w:val="0"/>
          <w:sz w:val="32"/>
          <w:szCs w:val="32"/>
        </w:rPr>
        <w:t>1．合理编制绩效目标</w:t>
      </w:r>
      <w:r>
        <w:rPr>
          <w:rFonts w:hint="eastAsia" w:ascii="仿宋" w:hAnsi="仿宋" w:eastAsia="仿宋" w:cs="仿宋"/>
          <w:color w:val="333333"/>
          <w:kern w:val="0"/>
          <w:sz w:val="32"/>
          <w:szCs w:val="32"/>
        </w:rPr>
        <w:t> </w:t>
      </w:r>
    </w:p>
    <w:p>
      <w:pPr>
        <w:widowControl/>
        <w:shd w:val="clear" w:color="auto" w:fill="FFFFFF"/>
        <w:spacing w:line="480" w:lineRule="auto"/>
        <w:jc w:val="left"/>
        <w:rPr>
          <w:rFonts w:hint="eastAsia" w:ascii="仿宋" w:hAnsi="仿宋" w:eastAsia="仿宋" w:cs="仿宋"/>
          <w:color w:val="333333"/>
          <w:kern w:val="0"/>
          <w:sz w:val="28"/>
          <w:szCs w:val="28"/>
        </w:rPr>
      </w:pPr>
      <w:r>
        <w:rPr>
          <w:rFonts w:hint="eastAsia" w:ascii="仿宋" w:hAnsi="仿宋" w:eastAsia="仿宋" w:cs="仿宋"/>
          <w:color w:val="333333"/>
          <w:kern w:val="0"/>
          <w:sz w:val="32"/>
          <w:szCs w:val="32"/>
        </w:rPr>
        <w:t xml:space="preserve">　  </w:t>
      </w:r>
      <w:r>
        <w:rPr>
          <w:rFonts w:hint="eastAsia" w:ascii="仿宋" w:hAnsi="仿宋" w:eastAsia="仿宋" w:cs="仿宋"/>
          <w:color w:val="333333"/>
          <w:kern w:val="0"/>
          <w:sz w:val="28"/>
          <w:szCs w:val="28"/>
        </w:rPr>
        <w:t>我局根据办公楼用房建设标准及长远发展需求，在科学论证的基础上，制定了切合实际、可量化、可考评的年度绩效目标。保证绩效目标与项目年度计划数和预算确定的项目投资额相匹配。 </w:t>
      </w:r>
    </w:p>
    <w:p>
      <w:pPr>
        <w:widowControl/>
        <w:shd w:val="clear" w:color="auto" w:fill="FFFFFF"/>
        <w:spacing w:line="480" w:lineRule="auto"/>
        <w:jc w:val="left"/>
        <w:rPr>
          <w:rFonts w:hint="eastAsia" w:ascii="仿宋" w:hAnsi="仿宋" w:eastAsia="仿宋" w:cs="仿宋"/>
          <w:color w:val="333333"/>
          <w:kern w:val="0"/>
          <w:sz w:val="32"/>
          <w:szCs w:val="32"/>
        </w:rPr>
      </w:pPr>
      <w:r>
        <w:rPr>
          <w:rFonts w:hint="eastAsia" w:ascii="仿宋" w:hAnsi="仿宋" w:eastAsia="仿宋" w:cs="仿宋"/>
          <w:color w:val="333333"/>
          <w:kern w:val="0"/>
          <w:sz w:val="32"/>
          <w:szCs w:val="32"/>
        </w:rPr>
        <w:t>　　</w:t>
      </w:r>
      <w:r>
        <w:rPr>
          <w:rFonts w:hint="eastAsia" w:ascii="仿宋" w:hAnsi="仿宋" w:eastAsia="仿宋" w:cs="仿宋"/>
          <w:b/>
          <w:bCs/>
          <w:color w:val="333333"/>
          <w:kern w:val="0"/>
          <w:sz w:val="32"/>
          <w:szCs w:val="32"/>
        </w:rPr>
        <w:t>2．严格审批规范运作</w:t>
      </w:r>
      <w:r>
        <w:rPr>
          <w:rFonts w:hint="eastAsia" w:ascii="仿宋" w:hAnsi="仿宋" w:eastAsia="仿宋" w:cs="仿宋"/>
          <w:color w:val="333333"/>
          <w:kern w:val="0"/>
          <w:sz w:val="32"/>
          <w:szCs w:val="32"/>
        </w:rPr>
        <w:t> </w:t>
      </w:r>
    </w:p>
    <w:p>
      <w:pPr>
        <w:widowControl/>
        <w:shd w:val="clear" w:color="auto" w:fill="FFFFFF"/>
        <w:spacing w:line="480" w:lineRule="auto"/>
        <w:jc w:val="left"/>
        <w:rPr>
          <w:rFonts w:hint="eastAsia" w:ascii="仿宋" w:hAnsi="仿宋" w:eastAsia="仿宋" w:cs="仿宋"/>
          <w:color w:val="333333"/>
          <w:kern w:val="0"/>
          <w:sz w:val="32"/>
          <w:szCs w:val="32"/>
          <w:lang w:val="en-US" w:eastAsia="zh-CN"/>
        </w:rPr>
      </w:pPr>
      <w:r>
        <w:rPr>
          <w:rFonts w:hint="eastAsia" w:ascii="仿宋" w:hAnsi="仿宋" w:eastAsia="仿宋" w:cs="仿宋"/>
          <w:color w:val="333333"/>
          <w:kern w:val="0"/>
          <w:sz w:val="32"/>
          <w:szCs w:val="32"/>
        </w:rPr>
        <w:t>　　</w:t>
      </w:r>
      <w:r>
        <w:rPr>
          <w:rFonts w:hint="eastAsia" w:ascii="仿宋" w:hAnsi="仿宋" w:eastAsia="仿宋" w:cs="仿宋"/>
          <w:color w:val="333333"/>
          <w:kern w:val="0"/>
          <w:sz w:val="28"/>
          <w:szCs w:val="28"/>
        </w:rPr>
        <w:t>大楼的装修、智能、空调暖通等项目的设计、造价、招投标等环节，我局均严格按程序经局党组集体研究决定，组织专家论证，按法定程序招投标，坚决制止未批先建或违反程序擅自违规操作。同时成立华容县公安局基建领导小组，局长为组长，下设办公室依托在警务保障室，负责进行协调、跟踪、监督、报送绩效材料等。</w:t>
      </w:r>
      <w:r>
        <w:rPr>
          <w:rFonts w:hint="eastAsia" w:ascii="仿宋" w:hAnsi="仿宋" w:eastAsia="仿宋" w:cs="仿宋"/>
          <w:color w:val="333333"/>
          <w:kern w:val="0"/>
          <w:sz w:val="32"/>
          <w:szCs w:val="32"/>
        </w:rPr>
        <w:t> </w:t>
      </w:r>
      <w:r>
        <w:rPr>
          <w:rFonts w:hint="eastAsia" w:ascii="仿宋" w:hAnsi="仿宋" w:eastAsia="仿宋" w:cs="仿宋"/>
          <w:color w:val="333333"/>
          <w:kern w:val="0"/>
          <w:sz w:val="32"/>
          <w:szCs w:val="32"/>
          <w:lang w:val="en-US" w:eastAsia="zh-CN"/>
        </w:rPr>
        <w:t xml:space="preserve">  </w:t>
      </w:r>
    </w:p>
    <w:p>
      <w:pPr>
        <w:widowControl/>
        <w:shd w:val="clear" w:color="auto" w:fill="FFFFFF"/>
        <w:spacing w:line="480" w:lineRule="auto"/>
        <w:jc w:val="left"/>
        <w:rPr>
          <w:rFonts w:hint="eastAsia" w:ascii="仿宋" w:hAnsi="仿宋" w:eastAsia="仿宋" w:cs="仿宋"/>
          <w:color w:val="333333"/>
          <w:kern w:val="0"/>
          <w:sz w:val="32"/>
          <w:szCs w:val="32"/>
        </w:rPr>
      </w:pPr>
      <w:r>
        <w:rPr>
          <w:rFonts w:hint="eastAsia" w:ascii="仿宋" w:hAnsi="仿宋" w:eastAsia="仿宋" w:cs="仿宋"/>
          <w:color w:val="333333"/>
          <w:kern w:val="0"/>
          <w:sz w:val="32"/>
          <w:szCs w:val="32"/>
        </w:rPr>
        <w:t>　　</w:t>
      </w:r>
      <w:r>
        <w:rPr>
          <w:rFonts w:hint="eastAsia" w:ascii="仿宋" w:hAnsi="仿宋" w:eastAsia="仿宋" w:cs="仿宋"/>
          <w:b/>
          <w:bCs/>
          <w:color w:val="333333"/>
          <w:kern w:val="0"/>
          <w:sz w:val="32"/>
          <w:szCs w:val="32"/>
        </w:rPr>
        <w:t>3．加强项目运行管理</w:t>
      </w:r>
      <w:r>
        <w:rPr>
          <w:rFonts w:hint="eastAsia" w:ascii="仿宋" w:hAnsi="仿宋" w:eastAsia="仿宋" w:cs="仿宋"/>
          <w:color w:val="333333"/>
          <w:kern w:val="0"/>
          <w:sz w:val="32"/>
          <w:szCs w:val="32"/>
        </w:rPr>
        <w:t> </w:t>
      </w:r>
    </w:p>
    <w:p>
      <w:pPr>
        <w:widowControl/>
        <w:shd w:val="clear" w:color="auto" w:fill="FFFFFF"/>
        <w:spacing w:line="480" w:lineRule="auto"/>
        <w:jc w:val="left"/>
        <w:rPr>
          <w:rFonts w:hint="eastAsia" w:ascii="仿宋" w:hAnsi="仿宋" w:eastAsia="仿宋" w:cs="仿宋"/>
          <w:color w:val="333333"/>
          <w:kern w:val="0"/>
          <w:sz w:val="28"/>
          <w:szCs w:val="28"/>
        </w:rPr>
      </w:pPr>
      <w:r>
        <w:rPr>
          <w:rFonts w:hint="eastAsia" w:ascii="仿宋" w:hAnsi="仿宋" w:eastAsia="仿宋" w:cs="仿宋"/>
          <w:color w:val="333333"/>
          <w:kern w:val="0"/>
          <w:sz w:val="32"/>
          <w:szCs w:val="32"/>
        </w:rPr>
        <w:t>　</w:t>
      </w:r>
      <w:r>
        <w:rPr>
          <w:rFonts w:hint="eastAsia" w:ascii="仿宋" w:hAnsi="仿宋" w:eastAsia="仿宋" w:cs="仿宋"/>
          <w:b/>
          <w:bCs/>
          <w:color w:val="333333"/>
          <w:kern w:val="0"/>
          <w:sz w:val="32"/>
          <w:szCs w:val="32"/>
        </w:rPr>
        <w:t xml:space="preserve">  </w:t>
      </w:r>
      <w:r>
        <w:rPr>
          <w:rFonts w:hint="eastAsia" w:ascii="仿宋" w:hAnsi="仿宋" w:eastAsia="仿宋" w:cs="仿宋"/>
          <w:color w:val="333333"/>
          <w:kern w:val="0"/>
          <w:sz w:val="28"/>
          <w:szCs w:val="28"/>
        </w:rPr>
        <w:t>为保证新建办公楼建设工程质量，我局抽调专职人员负责工程，由副局长</w:t>
      </w:r>
      <w:r>
        <w:rPr>
          <w:rFonts w:hint="eastAsia" w:ascii="仿宋" w:hAnsi="仿宋" w:eastAsia="仿宋" w:cs="仿宋"/>
          <w:color w:val="333333"/>
          <w:kern w:val="0"/>
          <w:sz w:val="28"/>
          <w:szCs w:val="28"/>
          <w:lang w:eastAsia="zh-CN"/>
        </w:rPr>
        <w:t>马克金</w:t>
      </w:r>
      <w:r>
        <w:rPr>
          <w:rFonts w:hint="eastAsia" w:ascii="仿宋" w:hAnsi="仿宋" w:eastAsia="仿宋" w:cs="仿宋"/>
          <w:color w:val="333333"/>
          <w:kern w:val="0"/>
          <w:sz w:val="28"/>
          <w:szCs w:val="28"/>
        </w:rPr>
        <w:t>负责项目，警务保障室主任白尊红具体负责。工程项目委托专业咨询公司分别对各基建项目开展全程监理，负责项目质量监督管理，从产品质量到施工技术，都能做到严格把关。 </w:t>
      </w:r>
    </w:p>
    <w:p>
      <w:pPr>
        <w:widowControl/>
        <w:shd w:val="clear" w:color="auto" w:fill="FFFFFF"/>
        <w:spacing w:line="480" w:lineRule="auto"/>
        <w:jc w:val="left"/>
        <w:rPr>
          <w:rFonts w:hint="eastAsia" w:ascii="仿宋" w:hAnsi="仿宋" w:eastAsia="仿宋" w:cs="仿宋"/>
          <w:color w:val="333333"/>
          <w:kern w:val="0"/>
          <w:sz w:val="32"/>
          <w:szCs w:val="32"/>
        </w:rPr>
      </w:pPr>
      <w:r>
        <w:rPr>
          <w:rFonts w:hint="eastAsia" w:ascii="仿宋" w:hAnsi="仿宋" w:eastAsia="仿宋" w:cs="仿宋"/>
          <w:color w:val="333333"/>
          <w:kern w:val="0"/>
          <w:sz w:val="32"/>
          <w:szCs w:val="32"/>
        </w:rPr>
        <w:t>　　</w:t>
      </w:r>
      <w:r>
        <w:rPr>
          <w:rFonts w:hint="eastAsia" w:ascii="仿宋" w:hAnsi="仿宋" w:eastAsia="仿宋" w:cs="仿宋"/>
          <w:b/>
          <w:bCs/>
          <w:color w:val="333333"/>
          <w:kern w:val="0"/>
          <w:sz w:val="32"/>
          <w:szCs w:val="32"/>
        </w:rPr>
        <w:t>4．开展绩效动态监控</w:t>
      </w:r>
      <w:r>
        <w:rPr>
          <w:rFonts w:hint="eastAsia" w:ascii="仿宋" w:hAnsi="仿宋" w:eastAsia="仿宋" w:cs="仿宋"/>
          <w:color w:val="333333"/>
          <w:kern w:val="0"/>
          <w:sz w:val="32"/>
          <w:szCs w:val="32"/>
        </w:rPr>
        <w:t> </w:t>
      </w:r>
    </w:p>
    <w:p>
      <w:pPr>
        <w:widowControl/>
        <w:shd w:val="clear" w:color="auto" w:fill="FFFFFF"/>
        <w:spacing w:line="480" w:lineRule="auto"/>
        <w:jc w:val="left"/>
        <w:rPr>
          <w:rFonts w:hint="eastAsia" w:ascii="仿宋" w:hAnsi="仿宋" w:eastAsia="仿宋" w:cs="仿宋"/>
          <w:color w:val="333333"/>
          <w:kern w:val="0"/>
          <w:sz w:val="28"/>
          <w:szCs w:val="28"/>
        </w:rPr>
      </w:pPr>
      <w:r>
        <w:rPr>
          <w:rFonts w:hint="eastAsia" w:ascii="仿宋" w:hAnsi="仿宋" w:eastAsia="仿宋" w:cs="仿宋"/>
          <w:color w:val="333333"/>
          <w:kern w:val="0"/>
          <w:sz w:val="32"/>
          <w:szCs w:val="32"/>
        </w:rPr>
        <w:t>　　</w:t>
      </w:r>
      <w:r>
        <w:rPr>
          <w:rFonts w:hint="eastAsia" w:ascii="仿宋" w:hAnsi="仿宋" w:eastAsia="仿宋" w:cs="仿宋"/>
          <w:color w:val="333333"/>
          <w:kern w:val="0"/>
          <w:sz w:val="28"/>
          <w:szCs w:val="28"/>
        </w:rPr>
        <w:t>我局按季度开展项目支出绩效监控工作，及时掌握季度目标完成情况，发现偏差，及时采取有效措施加以改进，确保阶段性任务能够按计划完成，全年性任务能够按时序进度执行，保证了年度目标任务按值或超额完成。 </w:t>
      </w:r>
    </w:p>
    <w:p>
      <w:pPr>
        <w:widowControl/>
        <w:shd w:val="clear" w:color="auto" w:fill="FFFFFF"/>
        <w:spacing w:line="480" w:lineRule="auto"/>
        <w:jc w:val="left"/>
        <w:rPr>
          <w:rFonts w:hint="eastAsia" w:ascii="仿宋" w:hAnsi="仿宋" w:eastAsia="仿宋" w:cs="仿宋"/>
          <w:color w:val="333333"/>
          <w:kern w:val="0"/>
          <w:sz w:val="32"/>
          <w:szCs w:val="32"/>
        </w:rPr>
      </w:pPr>
      <w:r>
        <w:rPr>
          <w:rFonts w:hint="eastAsia" w:ascii="仿宋" w:hAnsi="仿宋" w:eastAsia="仿宋" w:cs="仿宋"/>
          <w:color w:val="333333"/>
          <w:kern w:val="0"/>
          <w:sz w:val="32"/>
          <w:szCs w:val="32"/>
        </w:rPr>
        <w:t>　　</w:t>
      </w:r>
      <w:r>
        <w:rPr>
          <w:rFonts w:hint="eastAsia" w:ascii="仿宋" w:hAnsi="仿宋" w:eastAsia="仿宋" w:cs="仿宋"/>
          <w:b/>
          <w:bCs/>
          <w:color w:val="333333"/>
          <w:kern w:val="0"/>
          <w:sz w:val="32"/>
          <w:szCs w:val="32"/>
        </w:rPr>
        <w:t>（二）项目财务管理状况</w:t>
      </w:r>
      <w:r>
        <w:rPr>
          <w:rFonts w:hint="eastAsia" w:ascii="仿宋" w:hAnsi="仿宋" w:eastAsia="仿宋" w:cs="仿宋"/>
          <w:color w:val="333333"/>
          <w:kern w:val="0"/>
          <w:sz w:val="32"/>
          <w:szCs w:val="32"/>
        </w:rPr>
        <w:t> </w:t>
      </w:r>
    </w:p>
    <w:p>
      <w:pPr>
        <w:widowControl/>
        <w:shd w:val="clear" w:color="auto" w:fill="FFFFFF"/>
        <w:spacing w:line="480" w:lineRule="auto"/>
        <w:jc w:val="left"/>
        <w:rPr>
          <w:rFonts w:hint="eastAsia" w:ascii="仿宋" w:hAnsi="仿宋" w:eastAsia="仿宋" w:cs="仿宋"/>
          <w:sz w:val="32"/>
          <w:szCs w:val="32"/>
        </w:rPr>
      </w:pPr>
      <w:r>
        <w:rPr>
          <w:rFonts w:hint="eastAsia" w:ascii="仿宋" w:hAnsi="仿宋" w:eastAsia="仿宋" w:cs="仿宋"/>
          <w:color w:val="333333"/>
          <w:kern w:val="0"/>
          <w:sz w:val="32"/>
          <w:szCs w:val="32"/>
        </w:rPr>
        <w:t>　　</w:t>
      </w:r>
      <w:r>
        <w:rPr>
          <w:rFonts w:hint="eastAsia" w:ascii="仿宋" w:hAnsi="仿宋" w:eastAsia="仿宋" w:cs="仿宋"/>
          <w:color w:val="333333"/>
          <w:kern w:val="0"/>
          <w:sz w:val="28"/>
          <w:szCs w:val="28"/>
        </w:rPr>
        <w:t>总体上看，我局项目资金使用符合国家财经法规和财务管理制度以及有关专项资金管理办法的规定，使用资金审批规范，手续完整。基建项目资金使用能够做到按照年度预算批复的用途使用。固定资产管理规范，警务保障室设置专职固定资产管理员，科所队设置兼职固定资产管理员，资产增减都要登录《华容县公安固定资产管理系统》进行登记录入，否则，不予核销。 </w:t>
      </w:r>
      <w:r>
        <w:rPr>
          <w:rFonts w:hint="eastAsia" w:ascii="仿宋" w:hAnsi="仿宋" w:eastAsia="仿宋" w:cs="仿宋"/>
          <w:color w:val="333333"/>
          <w:kern w:val="0"/>
          <w:sz w:val="32"/>
          <w:szCs w:val="32"/>
        </w:rPr>
        <w:t>  </w:t>
      </w:r>
    </w:p>
    <w:p>
      <w:pPr>
        <w:keepNext w:val="0"/>
        <w:keepLines w:val="0"/>
        <w:pageBreakBefore w:val="0"/>
        <w:numPr>
          <w:ilvl w:val="0"/>
          <w:numId w:val="0"/>
        </w:numPr>
        <w:kinsoku/>
        <w:wordWrap/>
        <w:overflowPunct/>
        <w:topLinePunct w:val="0"/>
        <w:autoSpaceDE/>
        <w:autoSpaceDN/>
        <w:bidi w:val="0"/>
        <w:adjustRightInd/>
        <w:snapToGrid/>
        <w:spacing w:line="610" w:lineRule="exact"/>
        <w:ind w:leftChars="200" w:firstLine="320" w:firstLineChars="100"/>
        <w:textAlignment w:val="auto"/>
        <w:rPr>
          <w:rFonts w:hint="eastAsia" w:ascii="黑体" w:hAnsi="黑体" w:eastAsia="黑体" w:cs="黑体"/>
          <w:color w:val="333333"/>
          <w:kern w:val="0"/>
          <w:sz w:val="32"/>
          <w:szCs w:val="32"/>
          <w:lang w:eastAsia="zh-CN"/>
        </w:rPr>
      </w:pPr>
      <w:r>
        <w:rPr>
          <w:rFonts w:hint="eastAsia" w:ascii="黑体" w:hAnsi="黑体" w:eastAsia="黑体" w:cs="黑体"/>
          <w:color w:val="auto"/>
          <w:sz w:val="32"/>
          <w:szCs w:val="32"/>
          <w:lang w:eastAsia="zh-CN"/>
        </w:rPr>
        <w:t>四、</w:t>
      </w:r>
      <w:r>
        <w:rPr>
          <w:rFonts w:hint="eastAsia" w:ascii="黑体" w:hAnsi="黑体" w:eastAsia="黑体" w:cs="黑体"/>
          <w:color w:val="auto"/>
          <w:sz w:val="32"/>
          <w:szCs w:val="32"/>
        </w:rPr>
        <w:t>绩效评价指标分析</w:t>
      </w:r>
    </w:p>
    <w:p>
      <w:pPr>
        <w:widowControl/>
        <w:shd w:val="clear" w:color="auto" w:fill="FFFFFF"/>
        <w:spacing w:line="480" w:lineRule="auto"/>
        <w:ind w:firstLine="560" w:firstLineChars="200"/>
        <w:jc w:val="left"/>
        <w:rPr>
          <w:rFonts w:hint="eastAsia" w:ascii="仿宋" w:hAnsi="仿宋" w:eastAsia="仿宋" w:cs="仿宋"/>
          <w:color w:val="333333"/>
          <w:kern w:val="0"/>
          <w:sz w:val="28"/>
          <w:szCs w:val="28"/>
          <w:lang w:val="en-US" w:eastAsia="zh-CN"/>
        </w:rPr>
      </w:pPr>
      <w:r>
        <w:rPr>
          <w:rFonts w:hint="eastAsia" w:ascii="仿宋" w:hAnsi="仿宋" w:eastAsia="仿宋" w:cs="仿宋"/>
          <w:color w:val="333333"/>
          <w:kern w:val="0"/>
          <w:sz w:val="28"/>
          <w:szCs w:val="28"/>
          <w:lang w:val="en-US" w:eastAsia="zh-CN"/>
        </w:rPr>
        <w:t>1.经济性：项目在实施过程中，严格控制经费支出，实际总支出未超出预算。</w:t>
      </w:r>
    </w:p>
    <w:p>
      <w:pPr>
        <w:widowControl/>
        <w:shd w:val="clear" w:color="auto" w:fill="FFFFFF"/>
        <w:spacing w:line="480" w:lineRule="auto"/>
        <w:ind w:firstLine="560" w:firstLineChars="200"/>
        <w:jc w:val="left"/>
        <w:rPr>
          <w:rFonts w:hint="eastAsia" w:ascii="仿宋" w:hAnsi="仿宋" w:eastAsia="仿宋" w:cs="仿宋"/>
          <w:color w:val="333333"/>
          <w:kern w:val="0"/>
          <w:sz w:val="28"/>
          <w:szCs w:val="28"/>
          <w:lang w:val="en-US" w:eastAsia="zh-CN"/>
        </w:rPr>
      </w:pPr>
      <w:r>
        <w:rPr>
          <w:rFonts w:hint="eastAsia" w:ascii="仿宋" w:hAnsi="仿宋" w:eastAsia="仿宋" w:cs="仿宋"/>
          <w:color w:val="333333"/>
          <w:kern w:val="0"/>
          <w:sz w:val="28"/>
          <w:szCs w:val="28"/>
          <w:lang w:val="en-US" w:eastAsia="zh-CN"/>
        </w:rPr>
        <w:t>2.效率性：建设项目均在规定时间内完成。</w:t>
      </w:r>
    </w:p>
    <w:p>
      <w:pPr>
        <w:widowControl/>
        <w:shd w:val="clear" w:color="auto" w:fill="FFFFFF"/>
        <w:spacing w:line="480" w:lineRule="auto"/>
        <w:ind w:firstLine="560" w:firstLineChars="200"/>
        <w:jc w:val="left"/>
        <w:rPr>
          <w:rFonts w:hint="eastAsia" w:ascii="仿宋" w:hAnsi="仿宋" w:eastAsia="仿宋" w:cs="仿宋"/>
          <w:color w:val="333333"/>
          <w:kern w:val="0"/>
          <w:sz w:val="28"/>
          <w:szCs w:val="28"/>
          <w:lang w:val="en-US" w:eastAsia="zh-CN"/>
        </w:rPr>
      </w:pPr>
      <w:r>
        <w:rPr>
          <w:rFonts w:hint="eastAsia" w:ascii="仿宋" w:hAnsi="仿宋" w:eastAsia="仿宋" w:cs="仿宋"/>
          <w:color w:val="333333"/>
          <w:kern w:val="0"/>
          <w:sz w:val="28"/>
          <w:szCs w:val="28"/>
          <w:lang w:val="en-US" w:eastAsia="zh-CN"/>
        </w:rPr>
        <w:t>3.有效性：通过建设及维护，公安业务技术用房及鲇鱼须派出所质量得到提升，保驾富美华容。</w:t>
      </w:r>
    </w:p>
    <w:p>
      <w:pPr>
        <w:widowControl/>
        <w:shd w:val="clear" w:color="auto" w:fill="FFFFFF"/>
        <w:spacing w:line="480" w:lineRule="auto"/>
        <w:ind w:firstLine="560" w:firstLineChars="200"/>
        <w:jc w:val="left"/>
        <w:rPr>
          <w:rFonts w:hint="eastAsia" w:ascii="仿宋" w:hAnsi="仿宋" w:eastAsia="仿宋" w:cs="仿宋"/>
          <w:color w:val="333333"/>
          <w:kern w:val="0"/>
          <w:sz w:val="32"/>
          <w:szCs w:val="32"/>
          <w:lang w:val="en-US" w:eastAsia="zh-CN"/>
        </w:rPr>
      </w:pPr>
      <w:r>
        <w:rPr>
          <w:rFonts w:hint="eastAsia" w:ascii="仿宋" w:hAnsi="仿宋" w:eastAsia="仿宋" w:cs="仿宋"/>
          <w:color w:val="333333"/>
          <w:kern w:val="0"/>
          <w:sz w:val="28"/>
          <w:szCs w:val="28"/>
          <w:lang w:val="en-US" w:eastAsia="zh-CN"/>
        </w:rPr>
        <w:t>4.可持续性：工程项目推进完善，侦查力度得到提升，便民设施更加完善，公众评价整体满意度稳步提高。</w:t>
      </w:r>
    </w:p>
    <w:p>
      <w:pPr>
        <w:keepNext w:val="0"/>
        <w:keepLines w:val="0"/>
        <w:pageBreakBefore w:val="0"/>
        <w:kinsoku/>
        <w:wordWrap/>
        <w:overflowPunct/>
        <w:topLinePunct w:val="0"/>
        <w:autoSpaceDE/>
        <w:autoSpaceDN/>
        <w:bidi w:val="0"/>
        <w:adjustRightInd/>
        <w:snapToGrid/>
        <w:spacing w:line="61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五、主要经验及做法、存在的问题及原因分析</w:t>
      </w:r>
    </w:p>
    <w:p>
      <w:pPr>
        <w:widowControl/>
        <w:shd w:val="clear" w:color="auto" w:fill="FFFFFF"/>
        <w:spacing w:line="480" w:lineRule="auto"/>
        <w:ind w:firstLine="560" w:firstLineChars="200"/>
        <w:jc w:val="left"/>
        <w:rPr>
          <w:rFonts w:hint="eastAsia" w:ascii="仿宋" w:hAnsi="仿宋" w:eastAsia="仿宋" w:cs="仿宋"/>
          <w:color w:val="333333"/>
          <w:kern w:val="0"/>
          <w:sz w:val="28"/>
          <w:szCs w:val="28"/>
          <w:lang w:eastAsia="zh-CN"/>
        </w:rPr>
      </w:pPr>
      <w:r>
        <w:rPr>
          <w:rFonts w:hint="eastAsia" w:ascii="仿宋" w:hAnsi="仿宋" w:eastAsia="仿宋" w:cs="仿宋"/>
          <w:color w:val="333333"/>
          <w:kern w:val="0"/>
          <w:sz w:val="28"/>
          <w:szCs w:val="28"/>
          <w:lang w:eastAsia="zh-CN"/>
        </w:rPr>
        <w:t>1．成本控制未能做到最佳。虽项目实际建设成本未超绩效目标值，但没有项目能够做到节支，让资金发挥最大经济效益。 </w:t>
      </w:r>
    </w:p>
    <w:p>
      <w:pPr>
        <w:widowControl/>
        <w:shd w:val="clear" w:color="auto" w:fill="FFFFFF"/>
        <w:spacing w:line="480" w:lineRule="auto"/>
        <w:ind w:firstLine="560" w:firstLineChars="200"/>
        <w:jc w:val="left"/>
        <w:rPr>
          <w:rFonts w:hint="eastAsia" w:ascii="仿宋" w:hAnsi="仿宋" w:eastAsia="仿宋" w:cs="仿宋"/>
          <w:sz w:val="28"/>
          <w:szCs w:val="28"/>
        </w:rPr>
      </w:pPr>
      <w:r>
        <w:rPr>
          <w:rFonts w:hint="eastAsia" w:ascii="仿宋" w:hAnsi="仿宋" w:eastAsia="仿宋" w:cs="仿宋"/>
          <w:color w:val="333333"/>
          <w:kern w:val="0"/>
          <w:sz w:val="28"/>
          <w:szCs w:val="28"/>
          <w:lang w:eastAsia="zh-CN"/>
        </w:rPr>
        <w:t>2．工程安排不够科学、前松后紧。年初工程进度抓不紧，造成下半年赶进度，给资金安排造成一定困难。 </w:t>
      </w:r>
    </w:p>
    <w:p>
      <w:pPr>
        <w:keepNext w:val="0"/>
        <w:keepLines w:val="0"/>
        <w:pageBreakBefore w:val="0"/>
        <w:widowControl/>
        <w:numPr>
          <w:ilvl w:val="0"/>
          <w:numId w:val="0"/>
        </w:numPr>
        <w:kinsoku/>
        <w:wordWrap/>
        <w:overflowPunct/>
        <w:topLinePunct w:val="0"/>
        <w:autoSpaceDE/>
        <w:autoSpaceDN/>
        <w:bidi w:val="0"/>
        <w:adjustRightInd/>
        <w:snapToGrid/>
        <w:spacing w:line="610" w:lineRule="exact"/>
        <w:ind w:firstLine="640" w:firstLineChars="200"/>
        <w:jc w:val="both"/>
        <w:textAlignment w:val="auto"/>
        <w:rPr>
          <w:rFonts w:hint="eastAsia" w:ascii="黑体" w:hAnsi="黑体" w:eastAsia="黑体" w:cs="黑体"/>
          <w:sz w:val="32"/>
          <w:szCs w:val="32"/>
        </w:rPr>
      </w:pPr>
      <w:r>
        <w:rPr>
          <w:rFonts w:hint="eastAsia" w:ascii="黑体" w:hAnsi="黑体" w:eastAsia="黑体" w:cs="黑体"/>
          <w:sz w:val="32"/>
          <w:szCs w:val="32"/>
          <w:lang w:eastAsia="zh-CN"/>
        </w:rPr>
        <w:t>六、</w:t>
      </w:r>
      <w:r>
        <w:rPr>
          <w:rFonts w:hint="eastAsia" w:ascii="黑体" w:hAnsi="黑体" w:eastAsia="黑体" w:cs="黑体"/>
          <w:sz w:val="32"/>
          <w:szCs w:val="32"/>
        </w:rPr>
        <w:t>其他需要说明的问题</w:t>
      </w:r>
    </w:p>
    <w:p>
      <w:pPr>
        <w:widowControl/>
        <w:shd w:val="clear" w:color="auto" w:fill="FFFFFF"/>
        <w:spacing w:line="480" w:lineRule="auto"/>
        <w:ind w:firstLine="560" w:firstLineChars="200"/>
        <w:jc w:val="left"/>
        <w:rPr>
          <w:rFonts w:hint="eastAsia" w:ascii="仿宋" w:hAnsi="仿宋" w:eastAsia="仿宋" w:cs="仿宋"/>
          <w:color w:val="333333"/>
          <w:kern w:val="0"/>
          <w:sz w:val="28"/>
          <w:szCs w:val="28"/>
          <w:lang w:eastAsia="zh-CN"/>
        </w:rPr>
      </w:pPr>
      <w:r>
        <w:rPr>
          <w:rFonts w:hint="eastAsia" w:ascii="仿宋" w:hAnsi="仿宋" w:eastAsia="仿宋" w:cs="仿宋"/>
          <w:color w:val="333333"/>
          <w:kern w:val="0"/>
          <w:sz w:val="28"/>
          <w:szCs w:val="28"/>
          <w:lang w:eastAsia="zh-CN"/>
        </w:rPr>
        <w:t>年度工程建设项目基本能够如期完成，工程质量做到有效把控，工程建设紧张有序，建设资金使用发挥最大效益，在预定时间内建成并投入使用。202</w:t>
      </w:r>
      <w:r>
        <w:rPr>
          <w:rFonts w:hint="eastAsia" w:ascii="仿宋" w:hAnsi="仿宋" w:eastAsia="仿宋" w:cs="仿宋"/>
          <w:color w:val="333333"/>
          <w:kern w:val="0"/>
          <w:sz w:val="28"/>
          <w:szCs w:val="28"/>
          <w:lang w:val="en-US" w:eastAsia="zh-CN"/>
        </w:rPr>
        <w:t>2</w:t>
      </w:r>
      <w:r>
        <w:rPr>
          <w:rFonts w:hint="eastAsia" w:ascii="仿宋" w:hAnsi="仿宋" w:eastAsia="仿宋" w:cs="仿宋"/>
          <w:color w:val="333333"/>
          <w:kern w:val="0"/>
          <w:sz w:val="28"/>
          <w:szCs w:val="28"/>
          <w:lang w:eastAsia="zh-CN"/>
        </w:rPr>
        <w:t>年虽然取得一定成绩，但工程质量无小事，绝不能掉以轻心，下一步，我局将在保证建设资金安全且取得社会效益的前提下，努力完成公安基础建设各项工作任务。 </w:t>
      </w:r>
    </w:p>
    <w:p>
      <w:pPr>
        <w:widowControl/>
        <w:shd w:val="clear" w:color="auto" w:fill="FFFFFF"/>
        <w:spacing w:line="480" w:lineRule="auto"/>
        <w:jc w:val="left"/>
        <w:rPr>
          <w:rFonts w:hint="eastAsia" w:cs="宋体" w:asciiTheme="minorEastAsia" w:hAnsiTheme="minorEastAsia" w:eastAsiaTheme="minorEastAsia"/>
          <w:color w:val="333333"/>
          <w:kern w:val="0"/>
          <w:sz w:val="28"/>
          <w:szCs w:val="28"/>
          <w:lang w:val="en-US" w:eastAsia="zh-CN"/>
        </w:rPr>
      </w:pPr>
    </w:p>
    <w:p>
      <w:pPr>
        <w:spacing w:line="240" w:lineRule="auto"/>
        <w:ind w:firstLine="0" w:firstLineChars="0"/>
        <w:jc w:val="left"/>
        <w:outlineLvl w:val="0"/>
        <w:rPr>
          <w:rFonts w:hint="eastAsia" w:ascii="新宋体" w:hAnsi="新宋体" w:eastAsia="新宋体" w:cs="新宋体"/>
          <w:sz w:val="28"/>
          <w:szCs w:val="28"/>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rPr>
          <w:rFonts w:hint="eastAsia"/>
          <w:lang w:val="en-US" w:eastAsia="zh-CN"/>
        </w:rPr>
      </w:pPr>
    </w:p>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0F3474C-92EF-46C7-8236-B81CD8116EF2}"/>
  </w:font>
  <w:font w:name="Arial">
    <w:panose1 w:val="020B0604020202020204"/>
    <w:charset w:val="01"/>
    <w:family w:val="swiss"/>
    <w:pitch w:val="default"/>
    <w:sig w:usb0="E0002AFF" w:usb1="C0007843" w:usb2="00000009" w:usb3="00000000" w:csb0="400001FF" w:csb1="FFFF0000"/>
    <w:embedRegular r:id="rId2" w:fontKey="{A0BEBA18-2FB4-4A1E-8991-237E8D94B64C}"/>
  </w:font>
  <w:font w:name="黑体">
    <w:panose1 w:val="02010609060101010101"/>
    <w:charset w:val="86"/>
    <w:family w:val="auto"/>
    <w:pitch w:val="default"/>
    <w:sig w:usb0="800002BF" w:usb1="38CF7CFA" w:usb2="00000016" w:usb3="00000000" w:csb0="00040001" w:csb1="00000000"/>
    <w:embedRegular r:id="rId3" w:fontKey="{766EE6E0-90F1-4592-AC92-F5BD37027F1C}"/>
  </w:font>
  <w:font w:name="Courier New">
    <w:panose1 w:val="02070309020205020404"/>
    <w:charset w:val="01"/>
    <w:family w:val="modern"/>
    <w:pitch w:val="default"/>
    <w:sig w:usb0="E0002AFF" w:usb1="C0007843" w:usb2="00000009" w:usb3="00000000" w:csb0="400001FF" w:csb1="FFFF0000"/>
    <w:embedRegular r:id="rId4" w:fontKey="{B4FAF16B-D8EC-4958-8C72-17C791E0B620}"/>
  </w:font>
  <w:font w:name="Symbol">
    <w:panose1 w:val="05050102010706020507"/>
    <w:charset w:val="02"/>
    <w:family w:val="roman"/>
    <w:pitch w:val="default"/>
    <w:sig w:usb0="00000000" w:usb1="00000000" w:usb2="00000000" w:usb3="00000000" w:csb0="80000000" w:csb1="00000000"/>
    <w:embedRegular r:id="rId5" w:fontKey="{8441A3CF-7C28-437A-AC61-36BAF2F28548}"/>
  </w:font>
  <w:font w:name="Calibri">
    <w:panose1 w:val="020F0502020204030204"/>
    <w:charset w:val="00"/>
    <w:family w:val="swiss"/>
    <w:pitch w:val="default"/>
    <w:sig w:usb0="E00002FF" w:usb1="4000ACFF" w:usb2="00000001" w:usb3="00000000" w:csb0="2000019F" w:csb1="00000000"/>
    <w:embedRegular r:id="rId6" w:fontKey="{3F0A779D-99D7-4235-BD48-5F3B02D2B24F}"/>
  </w:font>
  <w:font w:name="仿宋_GB2312">
    <w:panose1 w:val="02010609030101010101"/>
    <w:charset w:val="86"/>
    <w:family w:val="auto"/>
    <w:pitch w:val="default"/>
    <w:sig w:usb0="00000000" w:usb1="00000000" w:usb2="00000000" w:usb3="00000000" w:csb0="00000000" w:csb1="00000000"/>
    <w:embedRegular r:id="rId7" w:fontKey="{493E3594-5F76-4309-9320-F8AEBFFADC88}"/>
  </w:font>
  <w:font w:name="方正小标宋简体">
    <w:altName w:val="仿宋_GB2312"/>
    <w:panose1 w:val="02010601030101010101"/>
    <w:charset w:val="86"/>
    <w:family w:val="auto"/>
    <w:pitch w:val="default"/>
    <w:sig w:usb0="00000000" w:usb1="00000000" w:usb2="00000000" w:usb3="00000000" w:csb0="00040000" w:csb1="00000000"/>
    <w:embedRegular r:id="rId8" w:fontKey="{10B1C1C1-7A4B-4019-9721-B93D93E7B2C9}"/>
  </w:font>
  <w:font w:name="新宋体">
    <w:panose1 w:val="02010609030101010101"/>
    <w:charset w:val="86"/>
    <w:family w:val="auto"/>
    <w:pitch w:val="default"/>
    <w:sig w:usb0="00000003" w:usb1="288F0000" w:usb2="00000006" w:usb3="00000000" w:csb0="00040001" w:csb1="00000000"/>
    <w:embedRegular r:id="rId9" w:fontKey="{6041ECB9-1D19-4BEC-BB8F-9F757180CCA2}"/>
  </w:font>
  <w:font w:name="方正小标宋_GBK">
    <w:panose1 w:val="03000509000000000000"/>
    <w:charset w:val="86"/>
    <w:family w:val="script"/>
    <w:pitch w:val="default"/>
    <w:sig w:usb0="00000000" w:usb1="00000000" w:usb2="00000000" w:usb3="00000000" w:csb0="00000000" w:csb1="00000000"/>
    <w:embedRegular r:id="rId10" w:fontKey="{85C93CA7-37F8-40FD-961C-DED2460F724B}"/>
  </w:font>
  <w:font w:name="楷体_GB2312">
    <w:panose1 w:val="02010609030101010101"/>
    <w:charset w:val="86"/>
    <w:family w:val="auto"/>
    <w:pitch w:val="default"/>
    <w:sig w:usb0="00000000" w:usb1="00000000" w:usb2="00000000" w:usb3="00000000" w:csb0="00000000" w:csb1="00000000"/>
    <w:embedRegular r:id="rId11" w:fontKey="{B64FECBD-4FF4-418B-96AF-F69B5EA37F00}"/>
  </w:font>
  <w:font w:name="仿宋">
    <w:panose1 w:val="02010609060101010101"/>
    <w:charset w:val="86"/>
    <w:family w:val="auto"/>
    <w:pitch w:val="default"/>
    <w:sig w:usb0="800002BF" w:usb1="38CF7CFA" w:usb2="00000016" w:usb3="00000000" w:csb0="00040001" w:csb1="00000000"/>
    <w:embedRegular r:id="rId12" w:fontKey="{B7AB126A-C15F-48FA-9ADB-1BDF9B09CA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仿宋_GB2312" w:eastAsia="仿宋_GB2312"/>
        <w:sz w:val="28"/>
        <w:szCs w:val="28"/>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A4bVggbAgAAIQQAAA4A&#10;AAAAAAAAAQAgAAAAHwEAAGRycy9lMm9Eb2MueG1sUEsFBgAAAAAGAAYAWQEAAKwFAAAAAA==&#10;">
              <v:fill on="f" focussize="0,0"/>
              <v:stroke on="f" weight="0.5pt"/>
              <v:imagedata o:title=""/>
              <o:lock v:ext="edit" aspectratio="f"/>
              <v:textbox inset="0mm,0mm,0mm,0mm" style="mso-fit-shape-to-text:t;">
                <w:txbxContent>
                  <w:p>
                    <w:pPr>
                      <w:pStyle w:val="4"/>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6D343A"/>
    <w:multiLevelType w:val="singleLevel"/>
    <w:tmpl w:val="776D343A"/>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Q5YTI5YWM5OTRkOWI0MDc5NDJhYzEzNTcyNDlhZTAifQ=="/>
  </w:docVars>
  <w:rsids>
    <w:rsidRoot w:val="0CCB7736"/>
    <w:rsid w:val="00047FEF"/>
    <w:rsid w:val="000A3906"/>
    <w:rsid w:val="001776F1"/>
    <w:rsid w:val="00220996"/>
    <w:rsid w:val="00551209"/>
    <w:rsid w:val="006C4C35"/>
    <w:rsid w:val="006F0A16"/>
    <w:rsid w:val="00773328"/>
    <w:rsid w:val="00821883"/>
    <w:rsid w:val="00917857"/>
    <w:rsid w:val="00A755C2"/>
    <w:rsid w:val="016A347B"/>
    <w:rsid w:val="01A07EE9"/>
    <w:rsid w:val="01A213F5"/>
    <w:rsid w:val="021A2AA6"/>
    <w:rsid w:val="02A76FE8"/>
    <w:rsid w:val="02B50488"/>
    <w:rsid w:val="03212724"/>
    <w:rsid w:val="0338470A"/>
    <w:rsid w:val="034822A9"/>
    <w:rsid w:val="036B0EE0"/>
    <w:rsid w:val="03D86621"/>
    <w:rsid w:val="040B7E59"/>
    <w:rsid w:val="04D15EA8"/>
    <w:rsid w:val="04EE6171"/>
    <w:rsid w:val="05322D41"/>
    <w:rsid w:val="05395EA9"/>
    <w:rsid w:val="062C3EBE"/>
    <w:rsid w:val="06CC14DF"/>
    <w:rsid w:val="09005685"/>
    <w:rsid w:val="0ABD557B"/>
    <w:rsid w:val="0B382DFB"/>
    <w:rsid w:val="0B7075FC"/>
    <w:rsid w:val="0BBB5A8D"/>
    <w:rsid w:val="0C104906"/>
    <w:rsid w:val="0C1F169F"/>
    <w:rsid w:val="0CCB7736"/>
    <w:rsid w:val="0D9E0E8D"/>
    <w:rsid w:val="0DB6645F"/>
    <w:rsid w:val="0E29521B"/>
    <w:rsid w:val="0E5D61F3"/>
    <w:rsid w:val="0E71598A"/>
    <w:rsid w:val="0E981CDD"/>
    <w:rsid w:val="0EAB7397"/>
    <w:rsid w:val="0EF755B3"/>
    <w:rsid w:val="0F016F26"/>
    <w:rsid w:val="0F17035E"/>
    <w:rsid w:val="0F4E168D"/>
    <w:rsid w:val="0F5A7D06"/>
    <w:rsid w:val="0F805BB0"/>
    <w:rsid w:val="10286EA8"/>
    <w:rsid w:val="10E00D07"/>
    <w:rsid w:val="113228CF"/>
    <w:rsid w:val="11404466"/>
    <w:rsid w:val="11963ADD"/>
    <w:rsid w:val="11EB0F5C"/>
    <w:rsid w:val="11F20483"/>
    <w:rsid w:val="11F5637E"/>
    <w:rsid w:val="12E71C37"/>
    <w:rsid w:val="130D6AD6"/>
    <w:rsid w:val="132014C0"/>
    <w:rsid w:val="136F31F8"/>
    <w:rsid w:val="138750E0"/>
    <w:rsid w:val="13CE0573"/>
    <w:rsid w:val="14B47060"/>
    <w:rsid w:val="14DA56A9"/>
    <w:rsid w:val="15103705"/>
    <w:rsid w:val="15195C1C"/>
    <w:rsid w:val="15A620D3"/>
    <w:rsid w:val="165C7D88"/>
    <w:rsid w:val="16A3369E"/>
    <w:rsid w:val="178536BD"/>
    <w:rsid w:val="183C7AED"/>
    <w:rsid w:val="18455DE3"/>
    <w:rsid w:val="184914BA"/>
    <w:rsid w:val="190450BC"/>
    <w:rsid w:val="19516372"/>
    <w:rsid w:val="19575CC2"/>
    <w:rsid w:val="196878DD"/>
    <w:rsid w:val="19A80228"/>
    <w:rsid w:val="1A101464"/>
    <w:rsid w:val="1AB74849"/>
    <w:rsid w:val="1AC52FF2"/>
    <w:rsid w:val="1AD5193C"/>
    <w:rsid w:val="1AE6175D"/>
    <w:rsid w:val="1AF150EA"/>
    <w:rsid w:val="1B1520C7"/>
    <w:rsid w:val="1B742AA7"/>
    <w:rsid w:val="1C7E21FA"/>
    <w:rsid w:val="1C807869"/>
    <w:rsid w:val="1CA34935"/>
    <w:rsid w:val="1D5A640E"/>
    <w:rsid w:val="1F326D2F"/>
    <w:rsid w:val="1F7640EC"/>
    <w:rsid w:val="20963402"/>
    <w:rsid w:val="20BF0C17"/>
    <w:rsid w:val="20D76C5F"/>
    <w:rsid w:val="21057490"/>
    <w:rsid w:val="214A230E"/>
    <w:rsid w:val="21B052C4"/>
    <w:rsid w:val="22FF5445"/>
    <w:rsid w:val="237153DF"/>
    <w:rsid w:val="238D0E57"/>
    <w:rsid w:val="23BA140E"/>
    <w:rsid w:val="23BF65FD"/>
    <w:rsid w:val="24256710"/>
    <w:rsid w:val="2484192C"/>
    <w:rsid w:val="24D87D5C"/>
    <w:rsid w:val="2504590B"/>
    <w:rsid w:val="251E7983"/>
    <w:rsid w:val="260D5D83"/>
    <w:rsid w:val="26287046"/>
    <w:rsid w:val="26BC2CF5"/>
    <w:rsid w:val="284A2254"/>
    <w:rsid w:val="28B7684E"/>
    <w:rsid w:val="28EC02A0"/>
    <w:rsid w:val="28F3607F"/>
    <w:rsid w:val="292F1467"/>
    <w:rsid w:val="29786927"/>
    <w:rsid w:val="297B51B4"/>
    <w:rsid w:val="29AD4752"/>
    <w:rsid w:val="29E40467"/>
    <w:rsid w:val="29F527E2"/>
    <w:rsid w:val="2BF23F1F"/>
    <w:rsid w:val="2BF35971"/>
    <w:rsid w:val="2C487650"/>
    <w:rsid w:val="2C714FB9"/>
    <w:rsid w:val="2C8F3CFF"/>
    <w:rsid w:val="2D59118C"/>
    <w:rsid w:val="2E4F43C0"/>
    <w:rsid w:val="2EB10CD1"/>
    <w:rsid w:val="2EB863F3"/>
    <w:rsid w:val="2EC7368E"/>
    <w:rsid w:val="30665D87"/>
    <w:rsid w:val="309E5DF9"/>
    <w:rsid w:val="30FB4B41"/>
    <w:rsid w:val="31231172"/>
    <w:rsid w:val="31621165"/>
    <w:rsid w:val="31F976B0"/>
    <w:rsid w:val="323C5548"/>
    <w:rsid w:val="32D37C06"/>
    <w:rsid w:val="33100CD1"/>
    <w:rsid w:val="33AB2047"/>
    <w:rsid w:val="33C97A16"/>
    <w:rsid w:val="34811767"/>
    <w:rsid w:val="35EB0277"/>
    <w:rsid w:val="36BE29A0"/>
    <w:rsid w:val="373575AF"/>
    <w:rsid w:val="37450F88"/>
    <w:rsid w:val="376C6DA6"/>
    <w:rsid w:val="37D6106F"/>
    <w:rsid w:val="37DA16C9"/>
    <w:rsid w:val="38733035"/>
    <w:rsid w:val="38F862EB"/>
    <w:rsid w:val="39343807"/>
    <w:rsid w:val="39575428"/>
    <w:rsid w:val="39887BBC"/>
    <w:rsid w:val="39A30714"/>
    <w:rsid w:val="3A53023B"/>
    <w:rsid w:val="3AF42D2D"/>
    <w:rsid w:val="3B3A041F"/>
    <w:rsid w:val="3BAE6BF9"/>
    <w:rsid w:val="3C986B0F"/>
    <w:rsid w:val="3CA55B2C"/>
    <w:rsid w:val="3CB81EF7"/>
    <w:rsid w:val="3CCA47F2"/>
    <w:rsid w:val="3CDE0708"/>
    <w:rsid w:val="3D5877DF"/>
    <w:rsid w:val="3DB314AC"/>
    <w:rsid w:val="3DC55CAA"/>
    <w:rsid w:val="3DC97AC7"/>
    <w:rsid w:val="3DD556CA"/>
    <w:rsid w:val="3DE55917"/>
    <w:rsid w:val="3F450429"/>
    <w:rsid w:val="3F6E703A"/>
    <w:rsid w:val="3FE66C97"/>
    <w:rsid w:val="40226C80"/>
    <w:rsid w:val="40C451A5"/>
    <w:rsid w:val="40E4355C"/>
    <w:rsid w:val="41113762"/>
    <w:rsid w:val="414C0992"/>
    <w:rsid w:val="4156470B"/>
    <w:rsid w:val="41943ACE"/>
    <w:rsid w:val="41B75F32"/>
    <w:rsid w:val="421B1376"/>
    <w:rsid w:val="425D4066"/>
    <w:rsid w:val="4287765A"/>
    <w:rsid w:val="43173FD4"/>
    <w:rsid w:val="4324736C"/>
    <w:rsid w:val="433439D3"/>
    <w:rsid w:val="44143822"/>
    <w:rsid w:val="44654A12"/>
    <w:rsid w:val="457C5F26"/>
    <w:rsid w:val="46C029FF"/>
    <w:rsid w:val="47A74408"/>
    <w:rsid w:val="47DC05C3"/>
    <w:rsid w:val="47FA4A2D"/>
    <w:rsid w:val="481D7C52"/>
    <w:rsid w:val="499D79A3"/>
    <w:rsid w:val="49AD3161"/>
    <w:rsid w:val="49CF255F"/>
    <w:rsid w:val="4A817083"/>
    <w:rsid w:val="4B2C33B4"/>
    <w:rsid w:val="4B2C5DCD"/>
    <w:rsid w:val="4B365E88"/>
    <w:rsid w:val="4B7D1173"/>
    <w:rsid w:val="4C150E22"/>
    <w:rsid w:val="4C4B0500"/>
    <w:rsid w:val="4C6A38FC"/>
    <w:rsid w:val="4CE74BC3"/>
    <w:rsid w:val="4CF5000E"/>
    <w:rsid w:val="4D511F65"/>
    <w:rsid w:val="4D8A1296"/>
    <w:rsid w:val="4DB17672"/>
    <w:rsid w:val="4E8C0012"/>
    <w:rsid w:val="504F5345"/>
    <w:rsid w:val="509176A4"/>
    <w:rsid w:val="50AC44C4"/>
    <w:rsid w:val="50DB45B4"/>
    <w:rsid w:val="50EA6DB9"/>
    <w:rsid w:val="51CA7471"/>
    <w:rsid w:val="51D7216C"/>
    <w:rsid w:val="51E87298"/>
    <w:rsid w:val="521C2FA3"/>
    <w:rsid w:val="522529B2"/>
    <w:rsid w:val="5238100D"/>
    <w:rsid w:val="524208A8"/>
    <w:rsid w:val="52E6551B"/>
    <w:rsid w:val="534A4241"/>
    <w:rsid w:val="53523659"/>
    <w:rsid w:val="53904B5B"/>
    <w:rsid w:val="53910AF4"/>
    <w:rsid w:val="53EF1781"/>
    <w:rsid w:val="54ED078B"/>
    <w:rsid w:val="555952B3"/>
    <w:rsid w:val="556B5A36"/>
    <w:rsid w:val="55AF40BB"/>
    <w:rsid w:val="5621222A"/>
    <w:rsid w:val="56442904"/>
    <w:rsid w:val="565B7789"/>
    <w:rsid w:val="56F72F7C"/>
    <w:rsid w:val="57141D7F"/>
    <w:rsid w:val="58521CEC"/>
    <w:rsid w:val="586243BF"/>
    <w:rsid w:val="58FD3402"/>
    <w:rsid w:val="59C87E7A"/>
    <w:rsid w:val="5A4F4D45"/>
    <w:rsid w:val="5A976584"/>
    <w:rsid w:val="5AAF7799"/>
    <w:rsid w:val="5AB91364"/>
    <w:rsid w:val="5B5C1753"/>
    <w:rsid w:val="5BB415A0"/>
    <w:rsid w:val="5BB81397"/>
    <w:rsid w:val="5E134100"/>
    <w:rsid w:val="5E5554D0"/>
    <w:rsid w:val="5F7A1C50"/>
    <w:rsid w:val="5FA22BD3"/>
    <w:rsid w:val="5FD77320"/>
    <w:rsid w:val="601C4AB5"/>
    <w:rsid w:val="60BE691E"/>
    <w:rsid w:val="610A7809"/>
    <w:rsid w:val="61444403"/>
    <w:rsid w:val="619B7044"/>
    <w:rsid w:val="62265BDF"/>
    <w:rsid w:val="628369A8"/>
    <w:rsid w:val="62E1699A"/>
    <w:rsid w:val="63086891"/>
    <w:rsid w:val="64147F0D"/>
    <w:rsid w:val="64CC439C"/>
    <w:rsid w:val="64D157F0"/>
    <w:rsid w:val="64D66362"/>
    <w:rsid w:val="64F00E64"/>
    <w:rsid w:val="65860217"/>
    <w:rsid w:val="663C1249"/>
    <w:rsid w:val="66767F92"/>
    <w:rsid w:val="667E0AA1"/>
    <w:rsid w:val="67B1200C"/>
    <w:rsid w:val="68FB17C3"/>
    <w:rsid w:val="692559DD"/>
    <w:rsid w:val="695F12F9"/>
    <w:rsid w:val="695F172B"/>
    <w:rsid w:val="69636C3A"/>
    <w:rsid w:val="69CF7B2C"/>
    <w:rsid w:val="6A0B0004"/>
    <w:rsid w:val="6A825AF9"/>
    <w:rsid w:val="6B076970"/>
    <w:rsid w:val="6B5742DF"/>
    <w:rsid w:val="6BA1010E"/>
    <w:rsid w:val="6C146FD5"/>
    <w:rsid w:val="6CE42C45"/>
    <w:rsid w:val="6CE47E41"/>
    <w:rsid w:val="6CED5810"/>
    <w:rsid w:val="6CF92413"/>
    <w:rsid w:val="6DFE5E04"/>
    <w:rsid w:val="6E134587"/>
    <w:rsid w:val="6E87203D"/>
    <w:rsid w:val="6F114EAB"/>
    <w:rsid w:val="6F9278BB"/>
    <w:rsid w:val="6FBA24DC"/>
    <w:rsid w:val="70157969"/>
    <w:rsid w:val="70455E31"/>
    <w:rsid w:val="71267C32"/>
    <w:rsid w:val="71572F19"/>
    <w:rsid w:val="719B7427"/>
    <w:rsid w:val="72322B7A"/>
    <w:rsid w:val="724A6793"/>
    <w:rsid w:val="7292312C"/>
    <w:rsid w:val="741F26FA"/>
    <w:rsid w:val="74470DF8"/>
    <w:rsid w:val="74C421FA"/>
    <w:rsid w:val="74D86CE9"/>
    <w:rsid w:val="75A46F7D"/>
    <w:rsid w:val="75FD1676"/>
    <w:rsid w:val="76014288"/>
    <w:rsid w:val="766A6EFA"/>
    <w:rsid w:val="777A1B97"/>
    <w:rsid w:val="791C5CFD"/>
    <w:rsid w:val="799536BA"/>
    <w:rsid w:val="79D87D78"/>
    <w:rsid w:val="7AD50531"/>
    <w:rsid w:val="7B170752"/>
    <w:rsid w:val="7B8F681B"/>
    <w:rsid w:val="7BEB73BB"/>
    <w:rsid w:val="7C651C53"/>
    <w:rsid w:val="7C774FAB"/>
    <w:rsid w:val="7C905DE8"/>
    <w:rsid w:val="7CEF7F94"/>
    <w:rsid w:val="7D747F0D"/>
    <w:rsid w:val="7D841512"/>
    <w:rsid w:val="7DD465A6"/>
    <w:rsid w:val="7DD96C0E"/>
    <w:rsid w:val="7E474F7B"/>
    <w:rsid w:val="7E8F7AC1"/>
    <w:rsid w:val="7FB843B2"/>
    <w:rsid w:val="7FF20A60"/>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0"/>
    <w:pPr>
      <w:keepNext/>
      <w:keepLines/>
      <w:outlineLvl w:val="0"/>
    </w:pPr>
    <w:rPr>
      <w:rFonts w:eastAsia="黑体"/>
      <w:bCs/>
      <w:kern w:val="44"/>
      <w:szCs w:val="44"/>
    </w:rPr>
  </w:style>
  <w:style w:type="character" w:default="1" w:styleId="6">
    <w:name w:val="Default Paragraph Font"/>
    <w:semiHidden/>
    <w:qFormat/>
    <w:uiPriority w:val="99"/>
  </w:style>
  <w:style w:type="table" w:default="1" w:styleId="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Layout w:type="fixed"/>
      <w:tblCellMar>
        <w:top w:w="0" w:type="dxa"/>
        <w:left w:w="108" w:type="dxa"/>
        <w:bottom w:w="0" w:type="dxa"/>
        <w:right w:w="108" w:type="dxa"/>
      </w:tblCellMar>
    </w:tblPr>
  </w:style>
  <w:style w:type="paragraph" w:styleId="2">
    <w:name w:val="footnote text"/>
    <w:basedOn w:val="1"/>
    <w:next w:val="1"/>
    <w:qFormat/>
    <w:uiPriority w:val="0"/>
    <w:pPr>
      <w:snapToGrid w:val="0"/>
      <w:jc w:val="left"/>
    </w:pPr>
    <w:rPr>
      <w:sz w:val="18"/>
      <w:szCs w:val="18"/>
    </w:rPr>
  </w:style>
  <w:style w:type="paragraph" w:styleId="4">
    <w:name w:val="footer"/>
    <w:basedOn w:val="1"/>
    <w:link w:val="10"/>
    <w:qFormat/>
    <w:uiPriority w:val="99"/>
    <w:pPr>
      <w:tabs>
        <w:tab w:val="center" w:pos="4153"/>
        <w:tab w:val="right" w:pos="8306"/>
      </w:tabs>
      <w:snapToGrid w:val="0"/>
      <w:jc w:val="left"/>
    </w:pPr>
    <w:rPr>
      <w:sz w:val="18"/>
      <w:szCs w:val="18"/>
    </w:rPr>
  </w:style>
  <w:style w:type="paragraph" w:styleId="5">
    <w:name w:val="header"/>
    <w:basedOn w:val="1"/>
    <w:link w:val="1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page number"/>
    <w:basedOn w:val="6"/>
    <w:qFormat/>
    <w:uiPriority w:val="99"/>
    <w:rPr>
      <w:rFonts w:cs="Times New Roman"/>
    </w:rPr>
  </w:style>
  <w:style w:type="table" w:styleId="9">
    <w:name w:val="Table Grid"/>
    <w:basedOn w:val="8"/>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0">
    <w:name w:val="Footer Char"/>
    <w:basedOn w:val="6"/>
    <w:link w:val="4"/>
    <w:semiHidden/>
    <w:qFormat/>
    <w:uiPriority w:val="99"/>
    <w:rPr>
      <w:sz w:val="18"/>
      <w:szCs w:val="18"/>
    </w:rPr>
  </w:style>
  <w:style w:type="character" w:customStyle="1" w:styleId="11">
    <w:name w:val="Header Char"/>
    <w:basedOn w:val="6"/>
    <w:link w:val="5"/>
    <w:semiHidden/>
    <w:qFormat/>
    <w:uiPriority w:val="99"/>
    <w:rPr>
      <w:sz w:val="18"/>
      <w:szCs w:val="18"/>
    </w:rPr>
  </w:style>
  <w:style w:type="paragraph" w:styleId="12">
    <w:name w:val="List Paragraph"/>
    <w:basedOn w:val="1"/>
    <w:qFormat/>
    <w:uiPriority w:val="99"/>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13</Pages>
  <Words>4354</Words>
  <Characters>4599</Characters>
  <Lines>0</Lines>
  <Paragraphs>0</Paragraphs>
  <TotalTime>5</TotalTime>
  <ScaleCrop>false</ScaleCrop>
  <LinksUpToDate>false</LinksUpToDate>
  <CharactersWithSpaces>4995</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2020-06-04T01:07:00Z</dcterms:created>
  <dc:creator>Administrator</dc:creator>
  <cp:lastModifiedBy>Administrator</cp:lastModifiedBy>
  <cp:lastPrinted>2023-07-17T01:53:00Z</cp:lastPrinted>
  <dcterms:modified xsi:type="dcterms:W3CDTF">2023-07-18T07:36:53Z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KSOSaveFontToCloudKey">
    <vt:lpwstr>386772509_embed</vt:lpwstr>
  </property>
  <property fmtid="{D5CDD505-2E9C-101B-9397-08002B2CF9AE}" pid="4" name="ICV">
    <vt:lpwstr>BCEA63DAF624456AADE85B6B06C14A45_13</vt:lpwstr>
  </property>
</Properties>
</file>