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48" w:lineRule="auto"/>
        <w:rPr>
          <w:rFonts w:ascii="黑体" w:hAnsi="黑体" w:eastAsia="黑体" w:cs="黑体"/>
          <w:bCs/>
          <w:sz w:val="32"/>
          <w:szCs w:val="32"/>
        </w:rPr>
      </w:pPr>
      <w:r>
        <w:rPr>
          <w:rFonts w:hint="eastAsia" w:ascii="黑体" w:hAnsi="黑体" w:eastAsia="黑体" w:cs="黑体"/>
          <w:bCs/>
          <w:sz w:val="32"/>
          <w:szCs w:val="32"/>
        </w:rPr>
        <w:t>附件2-1</w:t>
      </w:r>
    </w:p>
    <w:p>
      <w:pPr>
        <w:spacing w:line="348" w:lineRule="auto"/>
        <w:jc w:val="center"/>
        <w:rPr>
          <w:rFonts w:eastAsia="方正小标宋简体"/>
          <w:bCs/>
          <w:sz w:val="42"/>
          <w:szCs w:val="42"/>
        </w:rPr>
      </w:pPr>
    </w:p>
    <w:p>
      <w:pPr>
        <w:spacing w:line="800" w:lineRule="exact"/>
        <w:jc w:val="center"/>
        <w:rPr>
          <w:rFonts w:eastAsia="方正小标宋简体"/>
          <w:bCs/>
          <w:sz w:val="46"/>
          <w:szCs w:val="46"/>
        </w:rPr>
      </w:pPr>
      <w:r>
        <w:rPr>
          <w:rFonts w:hint="eastAsia" w:eastAsia="方正小标宋简体"/>
          <w:bCs/>
          <w:sz w:val="46"/>
          <w:szCs w:val="46"/>
        </w:rPr>
        <w:t>华容县2021年度部门整体支出</w:t>
      </w:r>
    </w:p>
    <w:p>
      <w:pPr>
        <w:spacing w:line="800" w:lineRule="exact"/>
        <w:jc w:val="center"/>
        <w:rPr>
          <w:rFonts w:eastAsia="方正小标宋简体"/>
          <w:bCs/>
          <w:sz w:val="46"/>
          <w:szCs w:val="46"/>
        </w:rPr>
      </w:pPr>
      <w:r>
        <w:rPr>
          <w:rFonts w:hint="eastAsia" w:eastAsia="方正小标宋简体"/>
          <w:bCs/>
          <w:sz w:val="46"/>
          <w:szCs w:val="46"/>
        </w:rPr>
        <w:t>绩效评价自评报告</w:t>
      </w:r>
    </w:p>
    <w:p>
      <w:pPr>
        <w:rPr>
          <w:rFonts w:eastAsia="仿宋_GB2312"/>
          <w:b/>
          <w:sz w:val="32"/>
        </w:rPr>
      </w:pPr>
    </w:p>
    <w:p>
      <w:pPr>
        <w:rPr>
          <w:rFonts w:eastAsia="仿宋_GB2312"/>
          <w:b/>
          <w:sz w:val="32"/>
        </w:rPr>
      </w:pPr>
    </w:p>
    <w:p>
      <w:pPr>
        <w:rPr>
          <w:rFonts w:eastAsia="仿宋_GB2312"/>
          <w:b/>
          <w:sz w:val="32"/>
        </w:rPr>
      </w:pPr>
    </w:p>
    <w:p>
      <w:pPr>
        <w:spacing w:beforeLines="50" w:line="348" w:lineRule="auto"/>
        <w:ind w:firstLine="476" w:firstLineChars="150"/>
        <w:rPr>
          <w:rFonts w:eastAsia="仿宋_GB2312"/>
          <w:sz w:val="32"/>
          <w:szCs w:val="32"/>
          <w:u w:val="single"/>
        </w:rPr>
      </w:pPr>
      <w:r>
        <w:rPr>
          <w:rFonts w:hint="eastAsia" w:eastAsia="仿宋_GB2312"/>
          <w:sz w:val="32"/>
          <w:szCs w:val="32"/>
        </w:rPr>
        <w:t>部门(单位)名称：</w:t>
      </w:r>
      <w:r>
        <w:rPr>
          <w:rFonts w:hint="eastAsia" w:eastAsia="仿宋_GB2312"/>
          <w:sz w:val="32"/>
          <w:szCs w:val="32"/>
          <w:u w:val="single"/>
        </w:rPr>
        <w:t xml:space="preserve">    华容县治河渡镇人民政府                          </w:t>
      </w:r>
    </w:p>
    <w:p>
      <w:pPr>
        <w:spacing w:beforeLines="50" w:line="348" w:lineRule="auto"/>
        <w:ind w:firstLine="476" w:firstLineChars="150"/>
        <w:rPr>
          <w:rFonts w:eastAsia="仿宋_GB2312"/>
          <w:spacing w:val="20"/>
          <w:sz w:val="32"/>
          <w:szCs w:val="32"/>
        </w:rPr>
      </w:pPr>
      <w:r>
        <w:rPr>
          <w:rFonts w:hint="eastAsia" w:eastAsia="仿宋_GB2312"/>
          <w:sz w:val="32"/>
          <w:szCs w:val="32"/>
        </w:rPr>
        <w:t>预</w:t>
      </w:r>
      <w:r>
        <w:rPr>
          <w:rFonts w:hint="eastAsia" w:eastAsia="仿宋_GB2312"/>
          <w:spacing w:val="30"/>
          <w:sz w:val="32"/>
          <w:szCs w:val="32"/>
        </w:rPr>
        <w:t xml:space="preserve"> 算 编 码：</w:t>
      </w:r>
      <w:r>
        <w:rPr>
          <w:rFonts w:hint="eastAsia" w:eastAsia="仿宋_GB2312"/>
          <w:spacing w:val="20"/>
          <w:sz w:val="32"/>
          <w:szCs w:val="32"/>
          <w:u w:val="single"/>
        </w:rPr>
        <w:t xml:space="preserve">        001002               </w:t>
      </w:r>
    </w:p>
    <w:p>
      <w:pPr>
        <w:spacing w:beforeLines="50" w:line="348" w:lineRule="auto"/>
        <w:ind w:firstLine="476" w:firstLineChars="150"/>
        <w:rPr>
          <w:rFonts w:eastAsia="仿宋_GB2312"/>
          <w:sz w:val="32"/>
          <w:szCs w:val="32"/>
        </w:rPr>
      </w:pPr>
      <w:r>
        <w:rPr>
          <w:rFonts w:hint="eastAsia" w:eastAsia="仿宋_GB2312"/>
          <w:sz w:val="32"/>
          <w:szCs w:val="32"/>
        </w:rPr>
        <w:t>评价方式：部门（单位）绩效自评</w:t>
      </w:r>
    </w:p>
    <w:p>
      <w:pPr>
        <w:spacing w:beforeLines="50" w:line="348" w:lineRule="auto"/>
        <w:ind w:firstLine="476" w:firstLineChars="150"/>
        <w:rPr>
          <w:rFonts w:eastAsia="仿宋_GB2312"/>
          <w:sz w:val="32"/>
          <w:szCs w:val="32"/>
        </w:rPr>
      </w:pPr>
      <w:r>
        <w:rPr>
          <w:rFonts w:hint="eastAsia" w:eastAsia="仿宋_GB2312"/>
          <w:sz w:val="32"/>
          <w:szCs w:val="32"/>
        </w:rPr>
        <w:t xml:space="preserve">评价机构：部门（单位）评价组   </w:t>
      </w:r>
    </w:p>
    <w:p>
      <w:pPr>
        <w:spacing w:line="720" w:lineRule="exact"/>
        <w:ind w:firstLine="2188" w:firstLineChars="690"/>
        <w:rPr>
          <w:rFonts w:eastAsia="仿宋_GB2312"/>
          <w:sz w:val="32"/>
        </w:rPr>
      </w:pPr>
    </w:p>
    <w:p>
      <w:pPr>
        <w:spacing w:line="720" w:lineRule="exact"/>
        <w:ind w:firstLine="2188" w:firstLineChars="690"/>
        <w:rPr>
          <w:rFonts w:eastAsia="仿宋_GB2312"/>
          <w:sz w:val="32"/>
        </w:rPr>
      </w:pPr>
    </w:p>
    <w:p>
      <w:pPr>
        <w:spacing w:line="720" w:lineRule="exact"/>
        <w:ind w:firstLine="2188" w:firstLineChars="690"/>
        <w:rPr>
          <w:rFonts w:eastAsia="仿宋_GB2312"/>
          <w:sz w:val="32"/>
        </w:rPr>
      </w:pPr>
    </w:p>
    <w:p>
      <w:pPr>
        <w:spacing w:line="348" w:lineRule="auto"/>
        <w:jc w:val="center"/>
        <w:rPr>
          <w:rFonts w:eastAsia="仿宋_GB2312"/>
          <w:sz w:val="32"/>
        </w:rPr>
      </w:pPr>
      <w:r>
        <w:rPr>
          <w:rFonts w:hint="eastAsia" w:eastAsia="仿宋_GB2312"/>
          <w:sz w:val="32"/>
        </w:rPr>
        <w:t>报告日期：2022年 10月14日</w:t>
      </w:r>
    </w:p>
    <w:p>
      <w:pPr>
        <w:autoSpaceDN w:val="0"/>
        <w:jc w:val="center"/>
        <w:textAlignment w:val="center"/>
        <w:rPr>
          <w:rFonts w:eastAsia="仿宋_GB2312"/>
          <w:sz w:val="32"/>
          <w:szCs w:val="32"/>
        </w:rPr>
        <w:sectPr>
          <w:footerReference r:id="rId3" w:type="default"/>
          <w:footerReference r:id="rId4" w:type="even"/>
          <w:pgSz w:w="11906" w:h="16838"/>
          <w:pgMar w:top="1588" w:right="1588" w:bottom="1588" w:left="1588" w:header="851" w:footer="992" w:gutter="0"/>
          <w:pgNumType w:start="1"/>
          <w:cols w:space="720" w:num="1"/>
          <w:docGrid w:type="linesAndChars" w:linePitch="602" w:charSpace="-782"/>
        </w:sectPr>
      </w:pPr>
      <w:r>
        <w:rPr>
          <w:rFonts w:hint="eastAsia" w:eastAsia="仿宋_GB2312"/>
          <w:sz w:val="32"/>
        </w:rPr>
        <w:t>华容县财政</w:t>
      </w:r>
      <w:r>
        <w:rPr>
          <w:rFonts w:hint="eastAsia" w:eastAsia="仿宋_GB2312"/>
          <w:sz w:val="32"/>
          <w:szCs w:val="32"/>
        </w:rPr>
        <w:t>局（制）</w:t>
      </w:r>
    </w:p>
    <w:tbl>
      <w:tblPr>
        <w:tblStyle w:val="11"/>
        <w:tblW w:w="980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
      <w:tblGrid>
        <w:gridCol w:w="1386"/>
        <w:gridCol w:w="1394"/>
        <w:gridCol w:w="210"/>
        <w:gridCol w:w="1145"/>
        <w:gridCol w:w="272"/>
        <w:gridCol w:w="808"/>
        <w:gridCol w:w="1479"/>
        <w:gridCol w:w="226"/>
        <w:gridCol w:w="196"/>
        <w:gridCol w:w="259"/>
        <w:gridCol w:w="1080"/>
        <w:gridCol w:w="265"/>
        <w:gridCol w:w="139"/>
        <w:gridCol w:w="316"/>
        <w:gridCol w:w="6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5"/>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一、部门（单位）基本概况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386"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联系人</w:t>
            </w:r>
          </w:p>
        </w:tc>
        <w:tc>
          <w:tcPr>
            <w:tcW w:w="3829"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张梦帆</w:t>
            </w:r>
          </w:p>
        </w:tc>
        <w:tc>
          <w:tcPr>
            <w:tcW w:w="1479"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联络电话</w:t>
            </w:r>
          </w:p>
        </w:tc>
        <w:tc>
          <w:tcPr>
            <w:tcW w:w="3106"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15200229513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386"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人员编制</w:t>
            </w:r>
          </w:p>
        </w:tc>
        <w:tc>
          <w:tcPr>
            <w:tcW w:w="3829"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76</w:t>
            </w:r>
          </w:p>
        </w:tc>
        <w:tc>
          <w:tcPr>
            <w:tcW w:w="1479"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实有人数</w:t>
            </w:r>
          </w:p>
        </w:tc>
        <w:tc>
          <w:tcPr>
            <w:tcW w:w="3106"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76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500" w:hRule="atLeast"/>
          <w:jc w:val="center"/>
        </w:trPr>
        <w:tc>
          <w:tcPr>
            <w:tcW w:w="1386"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职能职责概述</w:t>
            </w:r>
          </w:p>
        </w:tc>
        <w:tc>
          <w:tcPr>
            <w:tcW w:w="8414" w:type="dxa"/>
            <w:gridSpan w:val="14"/>
            <w:vAlign w:val="center"/>
          </w:tcPr>
          <w:p>
            <w:pPr>
              <w:pStyle w:val="10"/>
              <w:widowControl/>
              <w:shd w:val="clear" w:color="auto" w:fill="FFFFFF"/>
              <w:spacing w:beforeAutospacing="0" w:afterAutospacing="0" w:line="33" w:lineRule="atLeast"/>
              <w:ind w:firstLine="320" w:firstLineChars="100"/>
              <w:jc w:val="both"/>
              <w:rPr>
                <w:rFonts w:ascii="仿宋_GB2312" w:hAnsi="仿宋_GB2312" w:eastAsia="仿宋_GB2312" w:cs="仿宋_GB2312"/>
                <w:sz w:val="32"/>
                <w:szCs w:val="32"/>
              </w:rPr>
            </w:pPr>
            <w:r>
              <w:rPr>
                <w:rFonts w:hint="eastAsia" w:ascii="仿宋_GB2312" w:eastAsia="仿宋_GB2312" w:cs="仿宋_GB2312"/>
                <w:sz w:val="32"/>
                <w:szCs w:val="32"/>
              </w:rPr>
              <w:t>（</w:t>
            </w:r>
            <w:r>
              <w:rPr>
                <w:rFonts w:hint="eastAsia" w:ascii="仿宋_GB2312" w:hAnsi="仿宋_GB2312" w:eastAsia="仿宋_GB2312" w:cs="仿宋_GB2312"/>
                <w:sz w:val="32"/>
                <w:szCs w:val="32"/>
              </w:rPr>
              <w:t>1）乡镇党委主要职责：</w:t>
            </w:r>
          </w:p>
          <w:p>
            <w:pPr>
              <w:pStyle w:val="10"/>
              <w:widowControl/>
              <w:shd w:val="clear" w:color="auto" w:fill="FFFFFF"/>
              <w:spacing w:beforeAutospacing="0" w:afterAutospacing="0" w:line="33" w:lineRule="atLeast"/>
              <w:ind w:firstLine="42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1、贯彻执行党的路线方针政策和上级党组织及本乡党员代表大会（党员大会）的决议。</w:t>
            </w:r>
          </w:p>
          <w:p>
            <w:pPr>
              <w:pStyle w:val="10"/>
              <w:widowControl/>
              <w:shd w:val="clear" w:color="auto" w:fill="FFFFFF"/>
              <w:spacing w:beforeAutospacing="0" w:afterAutospacing="0" w:line="33" w:lineRule="atLeast"/>
              <w:ind w:firstLine="42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2、讨论决定本镇经济建设和社会发展中的重大问题。需由乡镇政权机关或集体经济组织决定的问题，由乡镇政权机关或集体经济组织依照法律和有关规定作出决定。</w:t>
            </w:r>
          </w:p>
          <w:p>
            <w:pPr>
              <w:pStyle w:val="10"/>
              <w:widowControl/>
              <w:shd w:val="clear" w:color="auto" w:fill="FFFFFF"/>
              <w:spacing w:beforeAutospacing="0" w:afterAutospacing="0" w:line="33" w:lineRule="atLeast"/>
              <w:ind w:firstLine="42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3、领导乡镇政权机关和群众组织，支持和保证乡镇政权机关和群众组织依照国家法律及各自章程充分行使职权。</w:t>
            </w:r>
          </w:p>
          <w:p>
            <w:pPr>
              <w:pStyle w:val="10"/>
              <w:widowControl/>
              <w:shd w:val="clear" w:color="auto" w:fill="FFFFFF"/>
              <w:spacing w:beforeAutospacing="0" w:afterAutospacing="0" w:line="33" w:lineRule="atLeast"/>
              <w:ind w:firstLine="42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4、加强镇自身建设和以党支部为核心的村级组织建设。</w:t>
            </w:r>
          </w:p>
          <w:p>
            <w:pPr>
              <w:pStyle w:val="10"/>
              <w:widowControl/>
              <w:shd w:val="clear" w:color="auto" w:fill="FFFFFF"/>
              <w:spacing w:beforeAutospacing="0" w:afterAutospacing="0" w:line="33" w:lineRule="atLeast"/>
              <w:ind w:firstLine="42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5、按照干部管理权限，负责本乡镇干部的教育、培养、选拔和监督工作。协助管理上级有关部门驻乡镇单位的干部。</w:t>
            </w:r>
          </w:p>
          <w:p>
            <w:pPr>
              <w:pStyle w:val="10"/>
              <w:widowControl/>
              <w:shd w:val="clear" w:color="auto" w:fill="FFFFFF"/>
              <w:spacing w:beforeAutospacing="0" w:afterAutospacing="0" w:line="33" w:lineRule="atLeast"/>
              <w:ind w:firstLine="42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6、领导本乡镇社会主义民主法治建设和精神文明建设，做好社会治安综合治理及计划生育工作。</w:t>
            </w:r>
          </w:p>
          <w:p>
            <w:pPr>
              <w:pStyle w:val="10"/>
              <w:widowControl/>
              <w:shd w:val="clear" w:color="auto" w:fill="FFFFFF"/>
              <w:spacing w:beforeAutospacing="0" w:afterAutospacing="0" w:line="33" w:lineRule="atLeast"/>
              <w:ind w:firstLine="320" w:firstLineChars="1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（2）乡镇政府主要职责：</w:t>
            </w:r>
          </w:p>
          <w:p>
            <w:pPr>
              <w:pStyle w:val="10"/>
              <w:widowControl/>
              <w:shd w:val="clear" w:color="auto" w:fill="FFFFFF"/>
              <w:spacing w:beforeAutospacing="0" w:afterAutospacing="0" w:line="33" w:lineRule="atLeast"/>
              <w:ind w:firstLine="42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执行本级人民代表大会的决议和上级国家行政机关的决定和命令，发布决定和命令。</w:t>
            </w:r>
          </w:p>
          <w:p>
            <w:pPr>
              <w:pStyle w:val="10"/>
              <w:widowControl/>
              <w:shd w:val="clear" w:color="auto" w:fill="FFFFFF"/>
              <w:spacing w:beforeAutospacing="0" w:afterAutospacing="0" w:line="33" w:lineRule="atLeast"/>
              <w:ind w:firstLine="42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执行本行政区域内的经济和社会发展计划，加强公共设施的建设和管理，发展各项服务事业。</w:t>
            </w:r>
          </w:p>
          <w:p>
            <w:pPr>
              <w:pStyle w:val="10"/>
              <w:widowControl/>
              <w:shd w:val="clear" w:color="auto" w:fill="FFFFFF"/>
              <w:spacing w:beforeAutospacing="0" w:afterAutospacing="0" w:line="33" w:lineRule="atLeast"/>
              <w:ind w:firstLine="42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依法管理本级财政、执行本级预算。</w:t>
            </w:r>
          </w:p>
          <w:p>
            <w:pPr>
              <w:pStyle w:val="10"/>
              <w:widowControl/>
              <w:shd w:val="clear" w:color="auto" w:fill="FFFFFF"/>
              <w:spacing w:beforeAutospacing="0" w:afterAutospacing="0" w:line="33" w:lineRule="atLeast"/>
              <w:ind w:firstLine="42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为群众提供有效的科技、教育、文化、信息、卫生、体育、医疗、劳动就业、安全生产等方面的服务。</w:t>
            </w:r>
          </w:p>
          <w:p>
            <w:pPr>
              <w:pStyle w:val="10"/>
              <w:widowControl/>
              <w:shd w:val="clear" w:color="auto" w:fill="FFFFFF"/>
              <w:spacing w:beforeAutospacing="0" w:afterAutospacing="0" w:line="33" w:lineRule="atLeast"/>
              <w:ind w:firstLine="42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保护国有资产和集体所有的财产，保护公民私人所有的合法财产、保障公民的人身权利、民主权利和其他权利，保护各种组织的合法权益。</w:t>
            </w:r>
          </w:p>
          <w:p>
            <w:pPr>
              <w:pStyle w:val="10"/>
              <w:widowControl/>
              <w:shd w:val="clear" w:color="auto" w:fill="FFFFFF"/>
              <w:spacing w:beforeAutospacing="0" w:afterAutospacing="0" w:line="33" w:lineRule="atLeast"/>
              <w:ind w:firstLine="42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开展社会主义与法治教育，加强社会法治综合治理，调解民事纠纷，维护社会秩序。</w:t>
            </w:r>
          </w:p>
          <w:p>
            <w:pPr>
              <w:pStyle w:val="10"/>
              <w:widowControl/>
              <w:shd w:val="clear" w:color="auto" w:fill="FFFFFF"/>
              <w:spacing w:beforeAutospacing="0" w:afterAutospacing="0" w:line="33" w:lineRule="atLeast"/>
              <w:ind w:firstLine="42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负责民政工作，发展社会福利事业，做好社会保障工作，办理兵役事项。</w:t>
            </w:r>
          </w:p>
          <w:p>
            <w:pPr>
              <w:pStyle w:val="10"/>
              <w:widowControl/>
              <w:shd w:val="clear" w:color="auto" w:fill="FFFFFF"/>
              <w:spacing w:beforeAutospacing="0" w:afterAutospacing="0" w:line="33" w:lineRule="atLeast"/>
              <w:ind w:firstLine="42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承办上级人民政府交办的其他事项。</w:t>
            </w:r>
          </w:p>
          <w:p>
            <w:pPr>
              <w:pStyle w:val="10"/>
              <w:widowControl/>
              <w:shd w:val="clear" w:color="auto" w:fill="FFFFFF"/>
              <w:spacing w:beforeAutospacing="0" w:afterAutospacing="0" w:line="33" w:lineRule="atLeast"/>
              <w:ind w:firstLine="42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设立人民武装部，依法履行国防动员、民兵训练、预备役管理等职能。</w:t>
            </w:r>
          </w:p>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464" w:hRule="atLeast"/>
          <w:jc w:val="center"/>
        </w:trPr>
        <w:tc>
          <w:tcPr>
            <w:tcW w:w="1386"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年度主要</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工作内容</w:t>
            </w:r>
          </w:p>
        </w:tc>
        <w:tc>
          <w:tcPr>
            <w:tcW w:w="8414" w:type="dxa"/>
            <w:gridSpan w:val="14"/>
            <w:vAlign w:val="center"/>
          </w:tcPr>
          <w:p>
            <w:pPr>
              <w:pStyle w:val="10"/>
              <w:widowControl/>
              <w:shd w:val="clear" w:color="auto" w:fill="FFFFFF"/>
              <w:spacing w:beforeAutospacing="0" w:afterAutospacing="0" w:line="33" w:lineRule="atLeast"/>
              <w:jc w:val="both"/>
              <w:rPr>
                <w:rFonts w:ascii="仿宋_GB2312" w:hAnsi="仿宋_GB2312" w:eastAsia="仿宋_GB2312" w:cs="仿宋_GB2312"/>
                <w:sz w:val="32"/>
                <w:szCs w:val="32"/>
              </w:rPr>
            </w:pPr>
            <w:r>
              <w:rPr>
                <w:rFonts w:hint="eastAsia" w:ascii="仿宋_GB2312" w:eastAsia="仿宋_GB2312" w:cs="仿宋_GB2312"/>
                <w:sz w:val="32"/>
                <w:szCs w:val="32"/>
              </w:rPr>
              <w:t>1、</w:t>
            </w:r>
            <w:r>
              <w:rPr>
                <w:rFonts w:hint="eastAsia" w:ascii="仿宋_GB2312" w:hAnsi="仿宋_GB2312" w:eastAsia="仿宋_GB2312" w:cs="仿宋_GB2312"/>
                <w:sz w:val="32"/>
                <w:szCs w:val="32"/>
              </w:rPr>
              <w:t>在黄蓬村幸福路打造了210亩的“开心菜园”；</w:t>
            </w:r>
          </w:p>
          <w:p>
            <w:pPr>
              <w:pStyle w:val="10"/>
              <w:widowControl/>
              <w:shd w:val="clear" w:color="auto" w:fill="FFFFFF"/>
              <w:spacing w:beforeAutospacing="0" w:afterAutospacing="0" w:line="33" w:lineRule="atLeast"/>
              <w:jc w:val="both"/>
              <w:rPr>
                <w:rFonts w:ascii="仿宋_GB2312" w:hAnsi="仿宋_GB2312" w:eastAsia="仿宋_GB2312" w:cs="仿宋_GB2312"/>
                <w:color w:val="000000" w:themeColor="text1"/>
                <w:sz w:val="32"/>
                <w:szCs w:val="32"/>
              </w:rPr>
            </w:pPr>
            <w:r>
              <w:rPr>
                <w:rFonts w:hint="eastAsia" w:ascii="仿宋_GB2312" w:eastAsia="仿宋_GB2312" w:cs="仿宋_GB2312"/>
                <w:sz w:val="32"/>
                <w:szCs w:val="32"/>
              </w:rPr>
              <w:t>2、</w:t>
            </w:r>
            <w:r>
              <w:rPr>
                <w:rFonts w:hint="eastAsia" w:ascii="仿宋_GB2312" w:hAnsi="仿宋_GB2312" w:eastAsia="仿宋_GB2312" w:cs="仿宋_GB2312"/>
                <w:sz w:val="32"/>
                <w:szCs w:val="32"/>
              </w:rPr>
              <w:t>拆除垃圾池、垃圾围</w:t>
            </w:r>
            <w:r>
              <w:rPr>
                <w:rFonts w:hint="eastAsia" w:ascii="仿宋_GB2312" w:hAnsi="仿宋_GB2312" w:eastAsia="仿宋_GB2312" w:cs="仿宋_GB2312"/>
                <w:color w:val="000000" w:themeColor="text1"/>
                <w:sz w:val="32"/>
                <w:szCs w:val="32"/>
              </w:rPr>
              <w:t>6147个，投入近50万元新建垃圾分类亭8个，设置</w:t>
            </w:r>
            <w:r>
              <w:rPr>
                <w:rFonts w:ascii="仿宋_GB2312" w:hAnsi="仿宋_GB2312" w:eastAsia="仿宋_GB2312" w:cs="仿宋_GB2312"/>
                <w:color w:val="000000" w:themeColor="text1"/>
                <w:sz w:val="32"/>
                <w:szCs w:val="32"/>
              </w:rPr>
              <w:t>分类垃圾桶</w:t>
            </w:r>
            <w:r>
              <w:rPr>
                <w:rFonts w:hint="eastAsia" w:ascii="仿宋_GB2312" w:hAnsi="仿宋_GB2312" w:eastAsia="仿宋_GB2312" w:cs="仿宋_GB2312"/>
                <w:color w:val="000000" w:themeColor="text1"/>
                <w:sz w:val="32"/>
                <w:szCs w:val="32"/>
              </w:rPr>
              <w:t>52</w:t>
            </w:r>
            <w:r>
              <w:rPr>
                <w:rFonts w:ascii="仿宋_GB2312" w:hAnsi="仿宋_GB2312" w:eastAsia="仿宋_GB2312" w:cs="仿宋_GB2312"/>
                <w:color w:val="000000" w:themeColor="text1"/>
                <w:sz w:val="32"/>
                <w:szCs w:val="32"/>
              </w:rPr>
              <w:t>00个</w:t>
            </w:r>
            <w:r>
              <w:rPr>
                <w:rFonts w:hint="eastAsia" w:ascii="仿宋_GB2312" w:hAnsi="仿宋_GB2312" w:eastAsia="仿宋_GB2312" w:cs="仿宋_GB2312"/>
                <w:color w:val="000000" w:themeColor="text1"/>
                <w:sz w:val="32"/>
                <w:szCs w:val="32"/>
              </w:rPr>
              <w:t>；</w:t>
            </w:r>
          </w:p>
          <w:p>
            <w:pPr>
              <w:pStyle w:val="10"/>
              <w:widowControl/>
              <w:shd w:val="clear" w:color="auto" w:fill="FFFFFF"/>
              <w:spacing w:beforeAutospacing="0" w:afterAutospacing="0" w:line="33" w:lineRule="atLeast"/>
              <w:jc w:val="both"/>
              <w:rPr>
                <w:rFonts w:ascii="仿宋_GB2312" w:hAnsi="仿宋_GB2312" w:eastAsia="仿宋_GB2312" w:cs="仿宋_GB2312"/>
                <w:sz w:val="32"/>
                <w:szCs w:val="32"/>
              </w:rPr>
            </w:pPr>
            <w:r>
              <w:rPr>
                <w:rFonts w:hint="eastAsia" w:ascii="仿宋_GB2312" w:eastAsia="仿宋_GB2312" w:cs="仿宋_GB2312"/>
                <w:sz w:val="32"/>
                <w:szCs w:val="32"/>
              </w:rPr>
              <w:t>3、</w:t>
            </w:r>
            <w:r>
              <w:rPr>
                <w:rFonts w:hint="eastAsia" w:ascii="仿宋_GB2312" w:hAnsi="仿宋_GB2312" w:eastAsia="仿宋_GB2312" w:cs="仿宋_GB2312"/>
                <w:sz w:val="32"/>
                <w:szCs w:val="32"/>
              </w:rPr>
              <w:t>对13年以来的问题厕所进行摸底整改；</w:t>
            </w:r>
          </w:p>
          <w:p>
            <w:pPr>
              <w:pStyle w:val="10"/>
              <w:widowControl/>
              <w:shd w:val="clear" w:color="auto" w:fill="FFFFFF"/>
              <w:spacing w:beforeAutospacing="0" w:afterAutospacing="0" w:line="33" w:lineRule="atLeast"/>
              <w:jc w:val="both"/>
              <w:rPr>
                <w:rFonts w:ascii="仿宋_GB2312" w:eastAsia="仿宋_GB2312" w:cs="仿宋_GB2312"/>
                <w:sz w:val="32"/>
                <w:szCs w:val="32"/>
              </w:rPr>
            </w:pPr>
            <w:r>
              <w:rPr>
                <w:rFonts w:hint="eastAsia" w:ascii="仿宋_GB2312" w:eastAsia="仿宋_GB2312" w:cs="仿宋_GB2312"/>
                <w:sz w:val="32"/>
                <w:szCs w:val="32"/>
              </w:rPr>
              <w:t>4、</w:t>
            </w:r>
            <w:r>
              <w:rPr>
                <w:rFonts w:hint="eastAsia" w:ascii="仿宋_GB2312" w:hAnsi="仿宋_GB2312" w:eastAsia="仿宋_GB2312" w:cs="仿宋_GB2312"/>
                <w:sz w:val="32"/>
                <w:szCs w:val="32"/>
              </w:rPr>
              <w:t>“河长制”工作</w:t>
            </w:r>
            <w:r>
              <w:rPr>
                <w:rFonts w:hint="eastAsia" w:ascii="仿宋_GB2312" w:eastAsia="仿宋_GB2312" w:cs="仿宋_GB2312"/>
                <w:sz w:val="32"/>
                <w:szCs w:val="32"/>
              </w:rPr>
              <w:t>;</w:t>
            </w:r>
          </w:p>
          <w:p>
            <w:pPr>
              <w:pStyle w:val="10"/>
              <w:widowControl/>
              <w:shd w:val="clear" w:color="auto" w:fill="FFFFFF"/>
              <w:spacing w:beforeAutospacing="0" w:afterAutospacing="0" w:line="33" w:lineRule="atLeast"/>
              <w:jc w:val="both"/>
              <w:rPr>
                <w:rFonts w:ascii="仿宋_GB2312" w:hAnsi="仿宋_GB2312" w:eastAsia="仿宋_GB2312" w:cs="仿宋_GB2312"/>
                <w:sz w:val="32"/>
                <w:szCs w:val="32"/>
              </w:rPr>
            </w:pPr>
            <w:r>
              <w:rPr>
                <w:rFonts w:hint="eastAsia" w:ascii="仿宋_GB2312" w:eastAsia="仿宋_GB2312" w:cs="仿宋_GB2312"/>
                <w:sz w:val="32"/>
                <w:szCs w:val="32"/>
              </w:rPr>
              <w:t>5、</w:t>
            </w:r>
            <w:r>
              <w:rPr>
                <w:rFonts w:hint="eastAsia" w:ascii="仿宋_GB2312" w:hAnsi="仿宋_GB2312" w:eastAsia="仿宋_GB2312" w:cs="仿宋_GB2312"/>
                <w:sz w:val="32"/>
                <w:szCs w:val="32"/>
              </w:rPr>
              <w:t>提高民生保障新能力，建设“幸福”治河；</w:t>
            </w:r>
          </w:p>
          <w:p>
            <w:pPr>
              <w:pStyle w:val="10"/>
              <w:widowControl/>
              <w:shd w:val="clear" w:color="auto" w:fill="FFFFFF"/>
              <w:spacing w:beforeAutospacing="0" w:afterAutospacing="0" w:line="33" w:lineRule="atLeast"/>
              <w:jc w:val="both"/>
              <w:rPr>
                <w:rFonts w:eastAsia="仿宋_GB2312"/>
                <w:kern w:val="2"/>
                <w:sz w:val="32"/>
                <w:szCs w:val="32"/>
              </w:rPr>
            </w:pPr>
            <w:r>
              <w:rPr>
                <w:rFonts w:hint="eastAsia" w:ascii="仿宋_GB2312" w:hAnsi="仿宋_GB2312" w:eastAsia="仿宋_GB2312" w:cs="仿宋_GB2312"/>
                <w:sz w:val="32"/>
                <w:szCs w:val="32"/>
              </w:rPr>
              <w:t>6、</w:t>
            </w:r>
            <w:r>
              <w:rPr>
                <w:rFonts w:hint="eastAsia" w:ascii="仿宋_GB2312" w:hAnsi="仿宋" w:eastAsia="仿宋_GB2312" w:cs="仿宋"/>
                <w:kern w:val="2"/>
                <w:sz w:val="32"/>
                <w:szCs w:val="32"/>
              </w:rPr>
              <w:t>高标准农田建设</w:t>
            </w:r>
            <w:r>
              <w:rPr>
                <w:rFonts w:hint="eastAsia" w:ascii="仿宋_GB2312" w:hAnsi="仿宋" w:cs="仿宋"/>
                <w:kern w:val="2"/>
                <w:sz w:val="32"/>
                <w:szCs w:val="32"/>
              </w:rPr>
              <w:t>、</w:t>
            </w:r>
            <w:r>
              <w:rPr>
                <w:rFonts w:hint="eastAsia" w:ascii="仿宋_GB2312" w:hAnsi="仿宋_GB2312" w:eastAsia="仿宋_GB2312" w:cs="仿宋_GB2312"/>
                <w:sz w:val="32"/>
                <w:szCs w:val="32"/>
              </w:rPr>
              <w:t>中型灌区节水配套建设</w:t>
            </w:r>
            <w:r>
              <w:rPr>
                <w:rFonts w:hint="eastAsia" w:ascii="仿宋_GB2312" w:hAnsi="仿宋" w:cs="仿宋"/>
                <w:kern w:val="2"/>
                <w:sz w:val="32"/>
                <w:szCs w:val="32"/>
              </w:rPr>
              <w:t>、</w:t>
            </w:r>
            <w:r>
              <w:rPr>
                <w:rFonts w:hint="eastAsia" w:ascii="仿宋_GB2312" w:hAnsi="仿宋" w:eastAsia="仿宋_GB2312" w:cs="仿宋"/>
                <w:kern w:val="2"/>
                <w:sz w:val="32"/>
                <w:szCs w:val="32"/>
              </w:rPr>
              <w:t>涝区治理</w:t>
            </w:r>
            <w:r>
              <w:rPr>
                <w:rFonts w:hint="eastAsia" w:ascii="仿宋_GB2312" w:hAnsi="仿宋" w:cs="仿宋"/>
                <w:kern w:val="2"/>
                <w:sz w:val="32"/>
                <w:szCs w:val="32"/>
              </w:rPr>
              <w:t>、</w:t>
            </w:r>
            <w:r>
              <w:rPr>
                <w:rFonts w:hint="eastAsia" w:ascii="仿宋_GB2312" w:hAnsi="仿宋" w:eastAsia="仿宋_GB2312" w:cs="仿宋"/>
                <w:kern w:val="2"/>
                <w:sz w:val="32"/>
                <w:szCs w:val="32"/>
              </w:rPr>
              <w:t>华容河综合治理</w:t>
            </w:r>
            <w:r>
              <w:rPr>
                <w:rFonts w:hint="eastAsia" w:ascii="仿宋_GB2312" w:hAnsi="仿宋" w:cs="仿宋"/>
                <w:kern w:val="2"/>
                <w:sz w:val="32"/>
                <w:szCs w:val="32"/>
              </w:rPr>
              <w:t>、</w:t>
            </w:r>
            <w:r>
              <w:rPr>
                <w:rFonts w:hint="eastAsia" w:ascii="仿宋_GB2312" w:hAnsi="仿宋" w:eastAsia="仿宋_GB2312" w:cs="仿宋"/>
                <w:kern w:val="2"/>
                <w:sz w:val="32"/>
                <w:szCs w:val="32"/>
              </w:rPr>
              <w:t>安全区二期建设</w:t>
            </w:r>
            <w:r>
              <w:rPr>
                <w:rFonts w:hint="eastAsia" w:ascii="仿宋_GB2312" w:hAnsi="仿宋" w:cs="仿宋"/>
                <w:kern w:val="2"/>
                <w:sz w:val="32"/>
                <w:szCs w:val="32"/>
              </w:rPr>
              <w:t>、</w:t>
            </w:r>
            <w:r>
              <w:rPr>
                <w:rFonts w:hint="eastAsia" w:ascii="仿宋_GB2312" w:hAnsi="仿宋" w:eastAsia="仿宋_GB2312" w:cs="仿宋"/>
                <w:kern w:val="2"/>
                <w:sz w:val="32"/>
                <w:szCs w:val="32"/>
              </w:rPr>
              <w:t>卫生院应急接诊点建设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260" w:hRule="atLeast"/>
          <w:jc w:val="center"/>
        </w:trPr>
        <w:tc>
          <w:tcPr>
            <w:tcW w:w="1386" w:type="dxa"/>
            <w:vAlign w:val="center"/>
          </w:tcPr>
          <w:p>
            <w:pPr>
              <w:autoSpaceDN w:val="0"/>
              <w:spacing w:line="320" w:lineRule="exact"/>
              <w:jc w:val="center"/>
              <w:textAlignment w:val="center"/>
              <w:rPr>
                <w:rFonts w:ascii="仿宋_GB2312" w:hAnsi="仿宋_GB2312" w:eastAsia="仿宋_GB2312" w:cs="仿宋_GB2312"/>
                <w:color w:val="000000"/>
                <w:spacing w:val="-6"/>
                <w:sz w:val="24"/>
              </w:rPr>
            </w:pPr>
            <w:r>
              <w:rPr>
                <w:rFonts w:hint="eastAsia" w:ascii="仿宋_GB2312" w:hAnsi="仿宋_GB2312" w:eastAsia="仿宋_GB2312" w:cs="仿宋_GB2312"/>
                <w:color w:val="000000"/>
                <w:spacing w:val="-6"/>
                <w:sz w:val="24"/>
              </w:rPr>
              <w:t>年度部门（单位）总体运行情况及取得的成绩</w:t>
            </w:r>
          </w:p>
        </w:tc>
        <w:tc>
          <w:tcPr>
            <w:tcW w:w="8414" w:type="dxa"/>
            <w:gridSpan w:val="14"/>
            <w:vAlign w:val="center"/>
          </w:tcPr>
          <w:p>
            <w:pPr>
              <w:pStyle w:val="10"/>
              <w:widowControl/>
              <w:shd w:val="clear" w:color="auto" w:fill="FFFFFF"/>
              <w:spacing w:beforeAutospacing="0" w:afterAutospacing="0" w:line="33" w:lineRule="atLeast"/>
              <w:ind w:firstLine="480" w:firstLineChars="15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2021年，镇党委、政府在县委、县政府的坚强领导下，在诸多乡友的倾力支持下，全镇上下齐心协力、踏实肯干、奋勇拼搏，坚持以做实“四篇文章”为工作思路，以“4</w:t>
            </w:r>
            <w:r>
              <w:rPr>
                <w:rFonts w:ascii="仿宋_GB2312" w:hAnsi="仿宋_GB2312" w:eastAsia="仿宋_GB2312" w:cs="仿宋_GB2312"/>
                <w:sz w:val="32"/>
                <w:szCs w:val="32"/>
              </w:rPr>
              <w:t>50</w:t>
            </w:r>
            <w:r>
              <w:rPr>
                <w:rFonts w:hint="eastAsia" w:ascii="仿宋_GB2312" w:hAnsi="仿宋_GB2312" w:eastAsia="仿宋_GB2312" w:cs="仿宋_GB2312"/>
                <w:sz w:val="32"/>
                <w:szCs w:val="32"/>
              </w:rPr>
              <w:t>”工程为抓手，较好地完成了年初制定的各项目标任务，综合绩效考核排名继续保持在“一类”水准，荣获党建工作、乡村振兴、安全生产和消防工作、组织工作、基层公共服务“一门式”全覆盖工作、统战工作等先进单位荣誉称号，组织委员张依、乡村振兴办主任冷娟、登瀛村总支书记王德贵等18人获得县级奖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5"/>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二、部门（单位）收支情况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5"/>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年度收入情况（万元）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386" w:type="dxa"/>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机构名称</w:t>
            </w:r>
          </w:p>
        </w:tc>
        <w:tc>
          <w:tcPr>
            <w:tcW w:w="1394" w:type="dxa"/>
            <w:vMerge w:val="restart"/>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收入合计</w:t>
            </w:r>
          </w:p>
        </w:tc>
        <w:tc>
          <w:tcPr>
            <w:tcW w:w="7020" w:type="dxa"/>
            <w:gridSpan w:val="13"/>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014" w:hRule="atLeast"/>
          <w:jc w:val="center"/>
        </w:trPr>
        <w:tc>
          <w:tcPr>
            <w:tcW w:w="1386" w:type="dxa"/>
            <w:vMerge w:val="continue"/>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94"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上年结转</w:t>
            </w: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公共财</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政拨款</w:t>
            </w:r>
          </w:p>
        </w:tc>
        <w:tc>
          <w:tcPr>
            <w:tcW w:w="1705"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政府基金拨款</w:t>
            </w:r>
          </w:p>
        </w:tc>
        <w:tc>
          <w:tcPr>
            <w:tcW w:w="180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纳入专户管理的非税收入拨款</w:t>
            </w:r>
          </w:p>
        </w:tc>
        <w:tc>
          <w:tcPr>
            <w:tcW w:w="1080" w:type="dxa"/>
            <w:gridSpan w:val="3"/>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国有资本经营预算财政拨款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90" w:hRule="atLeast"/>
          <w:jc w:val="center"/>
        </w:trPr>
        <w:tc>
          <w:tcPr>
            <w:tcW w:w="1386"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机关及二级机构汇总</w:t>
            </w:r>
          </w:p>
        </w:tc>
        <w:tc>
          <w:tcPr>
            <w:tcW w:w="1394"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2774.52</w:t>
            </w: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1925.52</w:t>
            </w:r>
          </w:p>
        </w:tc>
        <w:tc>
          <w:tcPr>
            <w:tcW w:w="1705"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849.00</w:t>
            </w:r>
          </w:p>
        </w:tc>
        <w:tc>
          <w:tcPr>
            <w:tcW w:w="180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vAlign w:val="center"/>
          </w:tcPr>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386" w:type="dxa"/>
            <w:vAlign w:val="center"/>
          </w:tcPr>
          <w:p>
            <w:pPr>
              <w:spacing w:line="320" w:lineRule="exact"/>
              <w:rPr>
                <w:rFonts w:ascii="仿宋_GB2312" w:hAnsi="仿宋_GB2312" w:eastAsia="仿宋_GB2312" w:cs="仿宋_GB2312"/>
                <w:sz w:val="24"/>
              </w:rPr>
            </w:pPr>
            <w:r>
              <w:rPr>
                <w:rFonts w:hint="eastAsia" w:ascii="仿宋_GB2312" w:hAnsi="仿宋_GB2312" w:eastAsia="仿宋_GB2312" w:cs="仿宋_GB2312"/>
                <w:sz w:val="24"/>
              </w:rPr>
              <w:t>1、机关</w:t>
            </w:r>
          </w:p>
        </w:tc>
        <w:tc>
          <w:tcPr>
            <w:tcW w:w="1394"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2774.52</w:t>
            </w: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1925.52</w:t>
            </w:r>
          </w:p>
        </w:tc>
        <w:tc>
          <w:tcPr>
            <w:tcW w:w="1705"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849.00</w:t>
            </w:r>
          </w:p>
        </w:tc>
        <w:tc>
          <w:tcPr>
            <w:tcW w:w="180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vAlign w:val="center"/>
          </w:tcPr>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386" w:type="dxa"/>
            <w:vAlign w:val="center"/>
          </w:tcPr>
          <w:p>
            <w:pPr>
              <w:spacing w:line="320" w:lineRule="exact"/>
              <w:rPr>
                <w:rFonts w:ascii="仿宋_GB2312" w:hAnsi="仿宋_GB2312" w:eastAsia="仿宋_GB2312" w:cs="仿宋_GB2312"/>
                <w:sz w:val="24"/>
              </w:rPr>
            </w:pPr>
            <w:r>
              <w:rPr>
                <w:rFonts w:hint="eastAsia" w:ascii="仿宋_GB2312" w:hAnsi="仿宋_GB2312" w:eastAsia="仿宋_GB2312" w:cs="仿宋_GB2312"/>
                <w:sz w:val="24"/>
              </w:rPr>
              <w:t>2、二级机构1</w:t>
            </w:r>
          </w:p>
        </w:tc>
        <w:tc>
          <w:tcPr>
            <w:tcW w:w="1394" w:type="dxa"/>
            <w:tcBorders>
              <w:right w:val="single" w:color="auto" w:sz="4" w:space="0"/>
            </w:tcBorders>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705" w:type="dxa"/>
            <w:gridSpan w:val="2"/>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80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vAlign w:val="center"/>
          </w:tcPr>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386" w:type="dxa"/>
            <w:vAlign w:val="center"/>
          </w:tcPr>
          <w:p>
            <w:pPr>
              <w:spacing w:line="320" w:lineRule="exact"/>
              <w:rPr>
                <w:rFonts w:ascii="仿宋_GB2312" w:hAnsi="仿宋_GB2312" w:eastAsia="仿宋_GB2312" w:cs="仿宋_GB2312"/>
                <w:sz w:val="24"/>
              </w:rPr>
            </w:pPr>
            <w:r>
              <w:rPr>
                <w:rFonts w:hint="eastAsia" w:ascii="仿宋_GB2312" w:hAnsi="仿宋_GB2312" w:eastAsia="仿宋_GB2312" w:cs="仿宋_GB2312"/>
                <w:sz w:val="24"/>
              </w:rPr>
              <w:t>3、二级机构2</w:t>
            </w:r>
          </w:p>
        </w:tc>
        <w:tc>
          <w:tcPr>
            <w:tcW w:w="1394" w:type="dxa"/>
            <w:tcBorders>
              <w:right w:val="single" w:color="auto" w:sz="4" w:space="0"/>
            </w:tcBorders>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705" w:type="dxa"/>
            <w:gridSpan w:val="2"/>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80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vAlign w:val="center"/>
          </w:tcPr>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9800" w:type="dxa"/>
            <w:gridSpan w:val="15"/>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部门（单位）年度支出和结余情况（万元）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386" w:type="dxa"/>
            <w:vMerge w:val="restart"/>
            <w:vAlign w:val="center"/>
          </w:tcPr>
          <w:p>
            <w:pPr>
              <w:snapToGrid w:val="0"/>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394" w:type="dxa"/>
            <w:vMerge w:val="restart"/>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支出合计</w:t>
            </w:r>
          </w:p>
        </w:tc>
        <w:tc>
          <w:tcPr>
            <w:tcW w:w="5675" w:type="dxa"/>
            <w:gridSpan w:val="9"/>
            <w:tcBorders>
              <w:left w:val="single" w:color="auto" w:sz="4" w:space="0"/>
              <w:bottom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345" w:type="dxa"/>
            <w:gridSpan w:val="4"/>
            <w:tcBorders>
              <w:left w:val="single" w:color="auto" w:sz="4" w:space="0"/>
              <w:bottom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386" w:type="dxa"/>
            <w:vMerge w:val="continue"/>
            <w:vAlign w:val="center"/>
          </w:tcPr>
          <w:p>
            <w:pPr>
              <w:spacing w:line="320" w:lineRule="exact"/>
              <w:jc w:val="center"/>
              <w:rPr>
                <w:rFonts w:ascii="仿宋_GB2312" w:hAnsi="仿宋_GB2312" w:eastAsia="仿宋_GB2312" w:cs="仿宋_GB2312"/>
                <w:sz w:val="24"/>
              </w:rPr>
            </w:pPr>
          </w:p>
        </w:tc>
        <w:tc>
          <w:tcPr>
            <w:tcW w:w="1394"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vMerge w:val="restart"/>
            <w:tcBorders>
              <w:top w:val="single" w:color="auto" w:sz="4" w:space="0"/>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基本支出</w:t>
            </w:r>
          </w:p>
        </w:tc>
        <w:tc>
          <w:tcPr>
            <w:tcW w:w="3240" w:type="dxa"/>
            <w:gridSpan w:val="6"/>
            <w:tcBorders>
              <w:top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080" w:type="dxa"/>
            <w:vMerge w:val="restart"/>
            <w:tcBorders>
              <w:top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项目支出</w:t>
            </w:r>
          </w:p>
        </w:tc>
        <w:tc>
          <w:tcPr>
            <w:tcW w:w="720" w:type="dxa"/>
            <w:gridSpan w:val="3"/>
            <w:vMerge w:val="restart"/>
            <w:tcBorders>
              <w:top w:val="single" w:color="auto" w:sz="4" w:space="0"/>
              <w:left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当年结余</w:t>
            </w:r>
          </w:p>
        </w:tc>
        <w:tc>
          <w:tcPr>
            <w:tcW w:w="625" w:type="dxa"/>
            <w:vMerge w:val="restart"/>
            <w:tcBorders>
              <w:top w:val="single" w:color="auto" w:sz="4" w:space="0"/>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累计结余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386" w:type="dxa"/>
            <w:vMerge w:val="continue"/>
            <w:vAlign w:val="center"/>
          </w:tcPr>
          <w:p>
            <w:pPr>
              <w:spacing w:line="320" w:lineRule="exact"/>
              <w:jc w:val="center"/>
              <w:rPr>
                <w:rFonts w:ascii="仿宋_GB2312" w:hAnsi="仿宋_GB2312" w:eastAsia="仿宋_GB2312" w:cs="仿宋_GB2312"/>
                <w:sz w:val="24"/>
              </w:rPr>
            </w:pPr>
          </w:p>
        </w:tc>
        <w:tc>
          <w:tcPr>
            <w:tcW w:w="1394"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vMerge w:val="continue"/>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人员支出</w:t>
            </w: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公用支出</w:t>
            </w: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20" w:type="dxa"/>
            <w:gridSpan w:val="3"/>
            <w:vMerge w:val="continue"/>
            <w:tcBorders>
              <w:left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vMerge w:val="continue"/>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77" w:hRule="atLeast"/>
          <w:jc w:val="center"/>
        </w:trPr>
        <w:tc>
          <w:tcPr>
            <w:tcW w:w="1386" w:type="dxa"/>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color w:val="000000"/>
                <w:sz w:val="24"/>
              </w:rPr>
              <w:t>机关及二级机构汇总</w:t>
            </w:r>
          </w:p>
        </w:tc>
        <w:tc>
          <w:tcPr>
            <w:tcW w:w="1394"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2774.52</w:t>
            </w: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889.38</w:t>
            </w: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709.90</w:t>
            </w: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179.48</w:t>
            </w:r>
          </w:p>
        </w:tc>
        <w:tc>
          <w:tcPr>
            <w:tcW w:w="1080"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1885.14</w:t>
            </w:r>
          </w:p>
        </w:tc>
        <w:tc>
          <w:tcPr>
            <w:tcW w:w="720" w:type="dxa"/>
            <w:gridSpan w:val="3"/>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386" w:type="dxa"/>
            <w:vAlign w:val="center"/>
          </w:tcPr>
          <w:p>
            <w:pPr>
              <w:spacing w:line="320" w:lineRule="exact"/>
              <w:jc w:val="left"/>
              <w:rPr>
                <w:rFonts w:ascii="仿宋_GB2312" w:hAnsi="仿宋_GB2312" w:eastAsia="仿宋_GB2312" w:cs="仿宋_GB2312"/>
                <w:color w:val="000000"/>
                <w:sz w:val="24"/>
              </w:rPr>
            </w:pPr>
            <w:r>
              <w:rPr>
                <w:rFonts w:hint="eastAsia" w:ascii="仿宋_GB2312" w:hAnsi="仿宋_GB2312" w:eastAsia="仿宋_GB2312" w:cs="仿宋_GB2312"/>
                <w:sz w:val="24"/>
              </w:rPr>
              <w:t>1、机关</w:t>
            </w:r>
          </w:p>
        </w:tc>
        <w:tc>
          <w:tcPr>
            <w:tcW w:w="1394"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2774.52</w:t>
            </w: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889.38</w:t>
            </w: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709.90</w:t>
            </w: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179.48</w:t>
            </w:r>
          </w:p>
        </w:tc>
        <w:tc>
          <w:tcPr>
            <w:tcW w:w="1080"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1885.14</w:t>
            </w:r>
          </w:p>
        </w:tc>
        <w:tc>
          <w:tcPr>
            <w:tcW w:w="720" w:type="dxa"/>
            <w:gridSpan w:val="3"/>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386" w:type="dxa"/>
            <w:vAlign w:val="center"/>
          </w:tcPr>
          <w:p>
            <w:pPr>
              <w:spacing w:line="320" w:lineRule="exact"/>
              <w:jc w:val="left"/>
              <w:rPr>
                <w:rFonts w:ascii="仿宋_GB2312" w:hAnsi="仿宋_GB2312" w:eastAsia="仿宋_GB2312" w:cs="仿宋_GB2312"/>
                <w:color w:val="000000"/>
                <w:sz w:val="24"/>
              </w:rPr>
            </w:pPr>
            <w:r>
              <w:rPr>
                <w:rFonts w:hint="eastAsia" w:ascii="仿宋_GB2312" w:hAnsi="仿宋_GB2312" w:eastAsia="仿宋_GB2312" w:cs="仿宋_GB2312"/>
                <w:sz w:val="24"/>
              </w:rPr>
              <w:t>2、二级机构1</w:t>
            </w:r>
          </w:p>
        </w:tc>
        <w:tc>
          <w:tcPr>
            <w:tcW w:w="1394"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20" w:type="dxa"/>
            <w:gridSpan w:val="3"/>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386" w:type="dxa"/>
            <w:vAlign w:val="center"/>
          </w:tcPr>
          <w:p>
            <w:pPr>
              <w:spacing w:line="320" w:lineRule="exact"/>
              <w:jc w:val="left"/>
              <w:rPr>
                <w:rFonts w:ascii="仿宋_GB2312" w:hAnsi="仿宋_GB2312" w:eastAsia="仿宋_GB2312" w:cs="仿宋_GB2312"/>
                <w:color w:val="000000"/>
                <w:sz w:val="24"/>
              </w:rPr>
            </w:pPr>
            <w:r>
              <w:rPr>
                <w:rFonts w:hint="eastAsia" w:ascii="仿宋_GB2312" w:hAnsi="仿宋_GB2312" w:eastAsia="仿宋_GB2312" w:cs="仿宋_GB2312"/>
                <w:sz w:val="24"/>
              </w:rPr>
              <w:t>3、二级机构2</w:t>
            </w:r>
          </w:p>
        </w:tc>
        <w:tc>
          <w:tcPr>
            <w:tcW w:w="1394"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20" w:type="dxa"/>
            <w:gridSpan w:val="3"/>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386" w:type="dxa"/>
            <w:vMerge w:val="restart"/>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394" w:type="dxa"/>
            <w:vMerge w:val="restart"/>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三公经费</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7020" w:type="dxa"/>
            <w:gridSpan w:val="13"/>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386" w:type="dxa"/>
            <w:vMerge w:val="continue"/>
            <w:vAlign w:val="center"/>
          </w:tcPr>
          <w:p>
            <w:pPr>
              <w:spacing w:line="320" w:lineRule="exact"/>
              <w:jc w:val="center"/>
              <w:rPr>
                <w:rFonts w:ascii="仿宋_GB2312" w:hAnsi="仿宋_GB2312" w:eastAsia="仿宋_GB2312" w:cs="仿宋_GB2312"/>
                <w:sz w:val="24"/>
              </w:rPr>
            </w:pPr>
          </w:p>
        </w:tc>
        <w:tc>
          <w:tcPr>
            <w:tcW w:w="1394"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公务接待费</w:t>
            </w: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公务用车运维费</w:t>
            </w: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公务用车购置费</w:t>
            </w:r>
          </w:p>
        </w:tc>
        <w:tc>
          <w:tcPr>
            <w:tcW w:w="2425"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因公出国费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8" w:hRule="atLeast"/>
          <w:jc w:val="center"/>
        </w:trPr>
        <w:tc>
          <w:tcPr>
            <w:tcW w:w="1386" w:type="dxa"/>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color w:val="000000"/>
                <w:sz w:val="24"/>
              </w:rPr>
              <w:t>机关及二级机构汇总</w:t>
            </w:r>
          </w:p>
        </w:tc>
        <w:tc>
          <w:tcPr>
            <w:tcW w:w="1394"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4.40</w:t>
            </w: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4.40</w:t>
            </w: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25"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386" w:type="dxa"/>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1、机关</w:t>
            </w:r>
          </w:p>
        </w:tc>
        <w:tc>
          <w:tcPr>
            <w:tcW w:w="1394"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4.40</w:t>
            </w: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4.40</w:t>
            </w: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25"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386" w:type="dxa"/>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2、二级机构1</w:t>
            </w:r>
          </w:p>
        </w:tc>
        <w:tc>
          <w:tcPr>
            <w:tcW w:w="1394"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25"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386" w:type="dxa"/>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3、二级机构2</w:t>
            </w:r>
          </w:p>
        </w:tc>
        <w:tc>
          <w:tcPr>
            <w:tcW w:w="1394"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25"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386" w:type="dxa"/>
            <w:vMerge w:val="restart"/>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394" w:type="dxa"/>
            <w:vMerge w:val="restart"/>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固定资产</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6079" w:type="dxa"/>
            <w:gridSpan w:val="11"/>
            <w:tcBorders>
              <w:left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941" w:type="dxa"/>
            <w:gridSpan w:val="2"/>
            <w:vMerge w:val="restart"/>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386" w:type="dxa"/>
            <w:vMerge w:val="continue"/>
            <w:vAlign w:val="center"/>
          </w:tcPr>
          <w:p>
            <w:pPr>
              <w:spacing w:line="320" w:lineRule="exact"/>
              <w:jc w:val="center"/>
              <w:rPr>
                <w:rFonts w:ascii="仿宋_GB2312" w:hAnsi="仿宋_GB2312" w:eastAsia="仿宋_GB2312" w:cs="仿宋_GB2312"/>
                <w:sz w:val="24"/>
              </w:rPr>
            </w:pPr>
          </w:p>
        </w:tc>
        <w:tc>
          <w:tcPr>
            <w:tcW w:w="1394"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35" w:type="dxa"/>
            <w:gridSpan w:val="4"/>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在用固定资产</w:t>
            </w:r>
          </w:p>
        </w:tc>
        <w:tc>
          <w:tcPr>
            <w:tcW w:w="3644" w:type="dxa"/>
            <w:gridSpan w:val="7"/>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出租固定资产</w:t>
            </w:r>
          </w:p>
        </w:tc>
        <w:tc>
          <w:tcPr>
            <w:tcW w:w="941" w:type="dxa"/>
            <w:gridSpan w:val="2"/>
            <w:vMerge w:val="continue"/>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5" w:hRule="atLeast"/>
          <w:jc w:val="center"/>
        </w:trPr>
        <w:tc>
          <w:tcPr>
            <w:tcW w:w="1386" w:type="dxa"/>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color w:val="000000"/>
                <w:sz w:val="24"/>
              </w:rPr>
              <w:t>机关及二级机构汇总</w:t>
            </w:r>
          </w:p>
        </w:tc>
        <w:tc>
          <w:tcPr>
            <w:tcW w:w="1394"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318.30</w:t>
            </w:r>
          </w:p>
        </w:tc>
        <w:tc>
          <w:tcPr>
            <w:tcW w:w="2435" w:type="dxa"/>
            <w:gridSpan w:val="4"/>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318.30</w:t>
            </w:r>
          </w:p>
        </w:tc>
        <w:tc>
          <w:tcPr>
            <w:tcW w:w="3644" w:type="dxa"/>
            <w:gridSpan w:val="7"/>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386" w:type="dxa"/>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1、机关</w:t>
            </w:r>
          </w:p>
        </w:tc>
        <w:tc>
          <w:tcPr>
            <w:tcW w:w="1394"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318.30</w:t>
            </w:r>
          </w:p>
        </w:tc>
        <w:tc>
          <w:tcPr>
            <w:tcW w:w="2435" w:type="dxa"/>
            <w:gridSpan w:val="4"/>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318.30</w:t>
            </w:r>
          </w:p>
        </w:tc>
        <w:tc>
          <w:tcPr>
            <w:tcW w:w="3644" w:type="dxa"/>
            <w:gridSpan w:val="7"/>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386" w:type="dxa"/>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2、二级机构1</w:t>
            </w:r>
          </w:p>
        </w:tc>
        <w:tc>
          <w:tcPr>
            <w:tcW w:w="1394"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35" w:type="dxa"/>
            <w:gridSpan w:val="4"/>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644" w:type="dxa"/>
            <w:gridSpan w:val="7"/>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386" w:type="dxa"/>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3、二级机构2</w:t>
            </w:r>
          </w:p>
        </w:tc>
        <w:tc>
          <w:tcPr>
            <w:tcW w:w="1394"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35" w:type="dxa"/>
            <w:gridSpan w:val="4"/>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644" w:type="dxa"/>
            <w:gridSpan w:val="7"/>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5"/>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三、部门（单位）整体支出绩效自评情况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386" w:type="dxa"/>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整体支出绩效定性目标及实施计划完成情况</w:t>
            </w:r>
          </w:p>
        </w:tc>
        <w:tc>
          <w:tcPr>
            <w:tcW w:w="3829"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预期目标</w:t>
            </w:r>
          </w:p>
        </w:tc>
        <w:tc>
          <w:tcPr>
            <w:tcW w:w="4585" w:type="dxa"/>
            <w:gridSpan w:val="9"/>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实际完成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172" w:hRule="atLeast"/>
          <w:jc w:val="center"/>
        </w:trPr>
        <w:tc>
          <w:tcPr>
            <w:tcW w:w="1386" w:type="dxa"/>
            <w:vMerge w:val="continue"/>
            <w:vAlign w:val="center"/>
          </w:tcPr>
          <w:p>
            <w:pPr>
              <w:spacing w:line="320" w:lineRule="exact"/>
              <w:rPr>
                <w:rFonts w:ascii="仿宋_GB2312" w:hAnsi="仿宋_GB2312" w:eastAsia="仿宋_GB2312" w:cs="仿宋_GB2312"/>
                <w:sz w:val="24"/>
              </w:rPr>
            </w:pPr>
          </w:p>
        </w:tc>
        <w:tc>
          <w:tcPr>
            <w:tcW w:w="3829" w:type="dxa"/>
            <w:gridSpan w:val="5"/>
            <w:vAlign w:val="center"/>
          </w:tcPr>
          <w:p>
            <w:pPr>
              <w:autoSpaceDN w:val="0"/>
              <w:spacing w:line="320" w:lineRule="exact"/>
              <w:jc w:val="left"/>
              <w:textAlignment w:val="center"/>
              <w:rPr>
                <w:rFonts w:ascii="仿宋_GB2312" w:eastAsia="仿宋_GB2312" w:cs="仿宋_GB2312"/>
                <w:sz w:val="24"/>
              </w:rPr>
            </w:pPr>
            <w:r>
              <w:rPr>
                <w:rFonts w:hint="eastAsia" w:ascii="仿宋_GB2312" w:eastAsia="仿宋_GB2312" w:cs="仿宋_GB2312"/>
                <w:sz w:val="24"/>
              </w:rPr>
              <w:t>1、在黄蓬村幸福路打造了210亩的“开心菜园”；</w:t>
            </w:r>
          </w:p>
          <w:p>
            <w:pPr>
              <w:autoSpaceDN w:val="0"/>
              <w:spacing w:line="320" w:lineRule="exact"/>
              <w:jc w:val="left"/>
              <w:textAlignment w:val="center"/>
              <w:rPr>
                <w:rFonts w:ascii="仿宋_GB2312" w:eastAsia="仿宋_GB2312" w:cs="仿宋_GB2312"/>
                <w:sz w:val="24"/>
              </w:rPr>
            </w:pPr>
            <w:r>
              <w:rPr>
                <w:rFonts w:hint="eastAsia" w:ascii="仿宋_GB2312" w:eastAsia="仿宋_GB2312" w:cs="仿宋_GB2312"/>
                <w:sz w:val="24"/>
              </w:rPr>
              <w:t>2、拆除垃圾池、垃圾围6147个，投入近50万元新建垃圾分类亭8个，设置</w:t>
            </w:r>
            <w:r>
              <w:rPr>
                <w:rFonts w:ascii="仿宋_GB2312" w:eastAsia="仿宋_GB2312" w:cs="仿宋_GB2312"/>
                <w:sz w:val="24"/>
              </w:rPr>
              <w:t>分类垃圾桶</w:t>
            </w:r>
            <w:r>
              <w:rPr>
                <w:rFonts w:hint="eastAsia" w:ascii="仿宋_GB2312" w:eastAsia="仿宋_GB2312" w:cs="仿宋_GB2312"/>
                <w:sz w:val="24"/>
              </w:rPr>
              <w:t>52</w:t>
            </w:r>
            <w:r>
              <w:rPr>
                <w:rFonts w:ascii="仿宋_GB2312" w:eastAsia="仿宋_GB2312" w:cs="仿宋_GB2312"/>
                <w:sz w:val="24"/>
              </w:rPr>
              <w:t>00个</w:t>
            </w:r>
            <w:r>
              <w:rPr>
                <w:rFonts w:hint="eastAsia" w:ascii="仿宋_GB2312" w:eastAsia="仿宋_GB2312" w:cs="仿宋_GB2312"/>
                <w:sz w:val="24"/>
              </w:rPr>
              <w:t>；</w:t>
            </w:r>
          </w:p>
          <w:p>
            <w:pPr>
              <w:autoSpaceDN w:val="0"/>
              <w:spacing w:line="320" w:lineRule="exact"/>
              <w:jc w:val="left"/>
              <w:textAlignment w:val="center"/>
              <w:rPr>
                <w:rFonts w:ascii="仿宋_GB2312" w:eastAsia="仿宋_GB2312" w:cs="仿宋_GB2312"/>
                <w:sz w:val="24"/>
              </w:rPr>
            </w:pPr>
            <w:r>
              <w:rPr>
                <w:rFonts w:hint="eastAsia" w:ascii="仿宋_GB2312" w:eastAsia="仿宋_GB2312" w:cs="仿宋_GB2312"/>
                <w:sz w:val="24"/>
              </w:rPr>
              <w:t>3、对13年以来的问题厕所进行摸底整改；</w:t>
            </w:r>
          </w:p>
          <w:p>
            <w:pPr>
              <w:autoSpaceDN w:val="0"/>
              <w:spacing w:line="320" w:lineRule="exact"/>
              <w:jc w:val="left"/>
              <w:textAlignment w:val="center"/>
              <w:rPr>
                <w:rFonts w:ascii="仿宋_GB2312" w:eastAsia="仿宋_GB2312" w:cs="仿宋_GB2312"/>
                <w:sz w:val="24"/>
              </w:rPr>
            </w:pPr>
            <w:r>
              <w:rPr>
                <w:rFonts w:hint="eastAsia" w:ascii="仿宋_GB2312" w:eastAsia="仿宋_GB2312" w:cs="仿宋_GB2312"/>
                <w:sz w:val="24"/>
              </w:rPr>
              <w:t>4、“河长制”工作;</w:t>
            </w:r>
          </w:p>
          <w:p>
            <w:pPr>
              <w:autoSpaceDN w:val="0"/>
              <w:spacing w:line="320" w:lineRule="exact"/>
              <w:jc w:val="left"/>
              <w:textAlignment w:val="center"/>
              <w:rPr>
                <w:rFonts w:ascii="仿宋_GB2312" w:eastAsia="仿宋_GB2312" w:cs="仿宋_GB2312"/>
                <w:sz w:val="24"/>
              </w:rPr>
            </w:pPr>
            <w:r>
              <w:rPr>
                <w:rFonts w:hint="eastAsia" w:ascii="仿宋_GB2312" w:eastAsia="仿宋_GB2312" w:cs="仿宋_GB2312"/>
                <w:sz w:val="24"/>
              </w:rPr>
              <w:t>5、提高民生保障新能力，建设“幸福”治河；5个村高标准农田建设；</w:t>
            </w:r>
          </w:p>
          <w:p>
            <w:pPr>
              <w:autoSpaceDN w:val="0"/>
              <w:spacing w:line="320" w:lineRule="exact"/>
              <w:jc w:val="left"/>
              <w:textAlignment w:val="center"/>
            </w:pPr>
          </w:p>
        </w:tc>
        <w:tc>
          <w:tcPr>
            <w:tcW w:w="4585" w:type="dxa"/>
            <w:gridSpan w:val="9"/>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 w:hAnsi="仿宋" w:eastAsia="仿宋" w:cs="仿宋"/>
                <w:color w:val="000000"/>
                <w:sz w:val="24"/>
              </w:rPr>
              <w:t>按要求已完成。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386" w:type="dxa"/>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整体支出</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绩效定量目标及实施计划完成情况</w:t>
            </w:r>
          </w:p>
        </w:tc>
        <w:tc>
          <w:tcPr>
            <w:tcW w:w="3021"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评价内容</w:t>
            </w:r>
          </w:p>
        </w:tc>
        <w:tc>
          <w:tcPr>
            <w:tcW w:w="2709"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绩效目标</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386" w:type="dxa"/>
            <w:vMerge w:val="continue"/>
            <w:vAlign w:val="center"/>
          </w:tcPr>
          <w:p>
            <w:pPr>
              <w:spacing w:line="320" w:lineRule="exact"/>
              <w:rPr>
                <w:rFonts w:ascii="仿宋_GB2312" w:hAnsi="仿宋_GB2312" w:eastAsia="仿宋_GB2312" w:cs="仿宋_GB2312"/>
                <w:sz w:val="24"/>
              </w:rPr>
            </w:pPr>
          </w:p>
        </w:tc>
        <w:tc>
          <w:tcPr>
            <w:tcW w:w="1604" w:type="dxa"/>
            <w:gridSpan w:val="2"/>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产出目标</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（部门工作实绩，包含上级部门和县委县政府布置的重点工作、实事任务等，根据部门实际进行调整细化）</w:t>
            </w:r>
          </w:p>
        </w:tc>
        <w:tc>
          <w:tcPr>
            <w:tcW w:w="1417" w:type="dxa"/>
            <w:gridSpan w:val="2"/>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质量指标</w:t>
            </w:r>
          </w:p>
        </w:tc>
        <w:tc>
          <w:tcPr>
            <w:tcW w:w="2709" w:type="dxa"/>
            <w:gridSpan w:val="4"/>
            <w:vAlign w:val="center"/>
          </w:tcPr>
          <w:p>
            <w:pPr>
              <w:autoSpaceDN w:val="0"/>
              <w:spacing w:line="320" w:lineRule="exact"/>
              <w:jc w:val="left"/>
              <w:textAlignment w:val="center"/>
              <w:rPr>
                <w:rFonts w:ascii="仿宋_GB2312" w:eastAsia="仿宋_GB2312" w:cs="仿宋_GB2312"/>
                <w:sz w:val="24"/>
              </w:rPr>
            </w:pPr>
            <w:r>
              <w:rPr>
                <w:rFonts w:hint="eastAsia" w:ascii="仿宋_GB2312" w:eastAsia="仿宋_GB2312" w:cs="仿宋_GB2312"/>
                <w:sz w:val="24"/>
              </w:rPr>
              <w:t>在黄蓬村幸福路打造了210亩的“开心菜园”；</w:t>
            </w:r>
          </w:p>
          <w:p>
            <w:pPr>
              <w:autoSpaceDN w:val="0"/>
              <w:spacing w:line="320" w:lineRule="exact"/>
              <w:jc w:val="left"/>
              <w:textAlignment w:val="center"/>
              <w:rPr>
                <w:rFonts w:ascii="仿宋_GB2312" w:hAnsi="仿宋_GB2312" w:eastAsia="仿宋_GB2312" w:cs="仿宋_GB2312"/>
                <w:color w:val="000000"/>
                <w:sz w:val="24"/>
              </w:rPr>
            </w:pPr>
          </w:p>
        </w:tc>
        <w:tc>
          <w:tcPr>
            <w:tcW w:w="2684" w:type="dxa"/>
            <w:gridSpan w:val="6"/>
            <w:vAlign w:val="center"/>
          </w:tcPr>
          <w:p>
            <w:pPr>
              <w:autoSpaceDN w:val="0"/>
              <w:spacing w:line="520" w:lineRule="exact"/>
              <w:jc w:val="center"/>
              <w:textAlignment w:val="center"/>
              <w:rPr>
                <w:rFonts w:ascii="仿宋_GB2312" w:hAnsi="仿宋_GB2312" w:eastAsia="仿宋_GB2312" w:cs="仿宋_GB2312"/>
                <w:b/>
                <w:color w:val="000000"/>
                <w:sz w:val="24"/>
              </w:rPr>
            </w:pPr>
            <w:r>
              <w:rPr>
                <w:rFonts w:hint="eastAsia" w:ascii="仿宋" w:hAnsi="仿宋" w:eastAsia="仿宋" w:cs="仿宋"/>
                <w:color w:val="000000"/>
                <w:sz w:val="24"/>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386" w:type="dxa"/>
            <w:vMerge w:val="continue"/>
            <w:vAlign w:val="center"/>
          </w:tcPr>
          <w:p>
            <w:pPr>
              <w:spacing w:line="320" w:lineRule="exact"/>
              <w:rPr>
                <w:rFonts w:ascii="仿宋_GB2312" w:hAnsi="仿宋_GB2312" w:eastAsia="仿宋_GB2312" w:cs="仿宋_GB2312"/>
                <w:sz w:val="24"/>
              </w:rPr>
            </w:pPr>
          </w:p>
        </w:tc>
        <w:tc>
          <w:tcPr>
            <w:tcW w:w="1604" w:type="dxa"/>
            <w:gridSpan w:val="2"/>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spacing w:line="320" w:lineRule="exact"/>
              <w:rPr>
                <w:rFonts w:ascii="仿宋_GB2312" w:hAnsi="仿宋_GB2312" w:eastAsia="仿宋_GB2312" w:cs="仿宋_GB2312"/>
                <w:sz w:val="24"/>
              </w:rPr>
            </w:pPr>
          </w:p>
        </w:tc>
        <w:tc>
          <w:tcPr>
            <w:tcW w:w="2709" w:type="dxa"/>
            <w:gridSpan w:val="4"/>
            <w:vAlign w:val="center"/>
          </w:tcPr>
          <w:p>
            <w:pPr>
              <w:autoSpaceDN w:val="0"/>
              <w:spacing w:line="320" w:lineRule="exact"/>
              <w:jc w:val="left"/>
              <w:textAlignment w:val="center"/>
              <w:rPr>
                <w:rFonts w:ascii="仿宋_GB2312" w:eastAsia="仿宋_GB2312" w:cs="仿宋_GB2312"/>
                <w:sz w:val="24"/>
              </w:rPr>
            </w:pPr>
            <w:r>
              <w:rPr>
                <w:rFonts w:hint="eastAsia" w:ascii="仿宋_GB2312" w:eastAsia="仿宋_GB2312" w:cs="仿宋_GB2312"/>
                <w:sz w:val="24"/>
              </w:rPr>
              <w:t>对13年以来的问题厕所进行摸底整改；</w:t>
            </w:r>
          </w:p>
          <w:p>
            <w:pPr>
              <w:autoSpaceDN w:val="0"/>
              <w:spacing w:line="320" w:lineRule="exact"/>
              <w:jc w:val="left"/>
              <w:textAlignment w:val="center"/>
              <w:rPr>
                <w:rFonts w:ascii="仿宋_GB2312" w:hAnsi="仿宋_GB2312" w:eastAsia="仿宋_GB2312" w:cs="仿宋_GB2312"/>
                <w:color w:val="000000"/>
                <w:sz w:val="24"/>
              </w:rPr>
            </w:pPr>
          </w:p>
        </w:tc>
        <w:tc>
          <w:tcPr>
            <w:tcW w:w="2684" w:type="dxa"/>
            <w:gridSpan w:val="6"/>
            <w:vAlign w:val="center"/>
          </w:tcPr>
          <w:p>
            <w:pPr>
              <w:autoSpaceDN w:val="0"/>
              <w:spacing w:line="320" w:lineRule="exact"/>
              <w:jc w:val="center"/>
              <w:textAlignment w:val="center"/>
              <w:rPr>
                <w:rFonts w:ascii="仿宋_GB2312" w:hAnsi="仿宋_GB2312" w:eastAsia="仿宋_GB2312" w:cs="仿宋_GB2312"/>
                <w:bCs/>
                <w:color w:val="000000"/>
                <w:sz w:val="24"/>
              </w:rPr>
            </w:pPr>
            <w:r>
              <w:rPr>
                <w:rFonts w:hint="eastAsia" w:ascii="仿宋_GB2312" w:hAnsi="仿宋_GB2312" w:eastAsia="仿宋_GB2312" w:cs="仿宋_GB2312"/>
                <w:bCs/>
                <w:color w:val="000000"/>
                <w:sz w:val="24"/>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386" w:type="dxa"/>
            <w:vMerge w:val="continue"/>
            <w:vAlign w:val="center"/>
          </w:tcPr>
          <w:p>
            <w:pPr>
              <w:spacing w:line="320" w:lineRule="exact"/>
              <w:rPr>
                <w:rFonts w:ascii="仿宋_GB2312" w:hAnsi="仿宋_GB2312" w:eastAsia="仿宋_GB2312" w:cs="仿宋_GB2312"/>
                <w:sz w:val="24"/>
              </w:rPr>
            </w:pPr>
          </w:p>
        </w:tc>
        <w:tc>
          <w:tcPr>
            <w:tcW w:w="1604" w:type="dxa"/>
            <w:gridSpan w:val="2"/>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spacing w:line="320" w:lineRule="exact"/>
              <w:rPr>
                <w:rFonts w:ascii="仿宋_GB2312" w:hAnsi="仿宋_GB2312" w:eastAsia="仿宋_GB2312" w:cs="仿宋_GB2312"/>
                <w:sz w:val="24"/>
              </w:rPr>
            </w:pP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2684" w:type="dxa"/>
            <w:gridSpan w:val="6"/>
            <w:vAlign w:val="center"/>
          </w:tcPr>
          <w:p>
            <w:pPr>
              <w:autoSpaceDN w:val="0"/>
              <w:spacing w:line="320" w:lineRule="exact"/>
              <w:jc w:val="center"/>
              <w:textAlignment w:val="center"/>
              <w:rPr>
                <w:rFonts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386" w:type="dxa"/>
            <w:vMerge w:val="continue"/>
            <w:vAlign w:val="center"/>
          </w:tcPr>
          <w:p>
            <w:pPr>
              <w:spacing w:line="320" w:lineRule="exact"/>
              <w:rPr>
                <w:rFonts w:ascii="仿宋_GB2312" w:hAnsi="仿宋_GB2312" w:eastAsia="仿宋_GB2312" w:cs="仿宋_GB2312"/>
                <w:sz w:val="24"/>
              </w:rPr>
            </w:pPr>
          </w:p>
        </w:tc>
        <w:tc>
          <w:tcPr>
            <w:tcW w:w="1604" w:type="dxa"/>
            <w:gridSpan w:val="2"/>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数量指标</w:t>
            </w:r>
          </w:p>
        </w:tc>
        <w:tc>
          <w:tcPr>
            <w:tcW w:w="2709" w:type="dxa"/>
            <w:gridSpan w:val="4"/>
            <w:vAlign w:val="center"/>
          </w:tcPr>
          <w:p>
            <w:pPr>
              <w:autoSpaceDN w:val="0"/>
              <w:spacing w:line="320" w:lineRule="exact"/>
              <w:jc w:val="left"/>
              <w:textAlignment w:val="center"/>
              <w:rPr>
                <w:rFonts w:ascii="仿宋_GB2312" w:eastAsia="仿宋_GB2312" w:cs="仿宋_GB2312"/>
                <w:sz w:val="24"/>
              </w:rPr>
            </w:pPr>
            <w:r>
              <w:rPr>
                <w:rFonts w:hint="eastAsia" w:ascii="仿宋_GB2312" w:eastAsia="仿宋_GB2312" w:cs="仿宋_GB2312"/>
                <w:sz w:val="24"/>
              </w:rPr>
              <w:t>拆除垃圾池、垃圾围6147个，投入近50万元新建垃圾分类亭8个，设置</w:t>
            </w:r>
            <w:r>
              <w:rPr>
                <w:rFonts w:ascii="仿宋_GB2312" w:eastAsia="仿宋_GB2312" w:cs="仿宋_GB2312"/>
                <w:sz w:val="24"/>
              </w:rPr>
              <w:t>分类垃圾桶</w:t>
            </w:r>
            <w:r>
              <w:rPr>
                <w:rFonts w:hint="eastAsia" w:ascii="仿宋_GB2312" w:eastAsia="仿宋_GB2312" w:cs="仿宋_GB2312"/>
                <w:sz w:val="24"/>
              </w:rPr>
              <w:t>52</w:t>
            </w:r>
            <w:r>
              <w:rPr>
                <w:rFonts w:ascii="仿宋_GB2312" w:eastAsia="仿宋_GB2312" w:cs="仿宋_GB2312"/>
                <w:sz w:val="24"/>
              </w:rPr>
              <w:t>00个</w:t>
            </w:r>
            <w:r>
              <w:rPr>
                <w:rFonts w:hint="eastAsia" w:ascii="仿宋_GB2312" w:eastAsia="仿宋_GB2312" w:cs="仿宋_GB2312"/>
                <w:sz w:val="24"/>
              </w:rPr>
              <w:t>；</w:t>
            </w:r>
          </w:p>
          <w:p>
            <w:pPr>
              <w:autoSpaceDN w:val="0"/>
              <w:spacing w:line="320" w:lineRule="exact"/>
              <w:jc w:val="left"/>
              <w:textAlignment w:val="center"/>
              <w:rPr>
                <w:rFonts w:ascii="仿宋_GB2312" w:hAnsi="仿宋_GB2312" w:eastAsia="仿宋_GB2312" w:cs="仿宋_GB2312"/>
                <w:color w:val="000000"/>
                <w:sz w:val="24"/>
              </w:rPr>
            </w:pPr>
          </w:p>
        </w:tc>
        <w:tc>
          <w:tcPr>
            <w:tcW w:w="2684" w:type="dxa"/>
            <w:gridSpan w:val="6"/>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bCs/>
                <w:color w:val="000000"/>
                <w:sz w:val="24"/>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61" w:hRule="atLeast"/>
          <w:jc w:val="center"/>
        </w:trPr>
        <w:tc>
          <w:tcPr>
            <w:tcW w:w="1386" w:type="dxa"/>
            <w:vMerge w:val="continue"/>
            <w:vAlign w:val="center"/>
          </w:tcPr>
          <w:p>
            <w:pPr>
              <w:spacing w:line="320" w:lineRule="exact"/>
              <w:rPr>
                <w:rFonts w:ascii="仿宋_GB2312" w:hAnsi="仿宋_GB2312" w:eastAsia="仿宋_GB2312" w:cs="仿宋_GB2312"/>
                <w:sz w:val="24"/>
              </w:rPr>
            </w:pPr>
          </w:p>
        </w:tc>
        <w:tc>
          <w:tcPr>
            <w:tcW w:w="1604" w:type="dxa"/>
            <w:gridSpan w:val="2"/>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autoSpaceDN w:val="0"/>
              <w:spacing w:line="320" w:lineRule="exact"/>
              <w:jc w:val="center"/>
              <w:textAlignment w:val="center"/>
              <w:rPr>
                <w:rFonts w:ascii="仿宋_GB2312" w:hAnsi="仿宋_GB2312" w:eastAsia="仿宋_GB2312" w:cs="仿宋_GB2312"/>
                <w:sz w:val="24"/>
              </w:rPr>
            </w:pP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eastAsia="仿宋_GB2312" w:cs="仿宋_GB2312"/>
                <w:sz w:val="24"/>
              </w:rPr>
              <w:t>开展集中执法行动7次，共收缴渔网、地笼等违法渔具200多件，拆除沿堤钢架棚260平方、违章砖混结构建筑26多个平方</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bCs/>
                <w:color w:val="000000"/>
                <w:sz w:val="24"/>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61" w:hRule="atLeast"/>
          <w:jc w:val="center"/>
        </w:trPr>
        <w:tc>
          <w:tcPr>
            <w:tcW w:w="1386" w:type="dxa"/>
            <w:vMerge w:val="continue"/>
            <w:vAlign w:val="center"/>
          </w:tcPr>
          <w:p>
            <w:pPr>
              <w:spacing w:line="320" w:lineRule="exact"/>
              <w:rPr>
                <w:rFonts w:ascii="仿宋_GB2312" w:hAnsi="仿宋_GB2312" w:eastAsia="仿宋_GB2312" w:cs="仿宋_GB2312"/>
                <w:sz w:val="24"/>
              </w:rPr>
            </w:pPr>
          </w:p>
        </w:tc>
        <w:tc>
          <w:tcPr>
            <w:tcW w:w="1604" w:type="dxa"/>
            <w:gridSpan w:val="2"/>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autoSpaceDN w:val="0"/>
              <w:spacing w:line="320" w:lineRule="exact"/>
              <w:jc w:val="center"/>
              <w:textAlignment w:val="center"/>
              <w:rPr>
                <w:rFonts w:ascii="仿宋_GB2312" w:hAnsi="仿宋_GB2312" w:eastAsia="仿宋_GB2312" w:cs="仿宋_GB2312"/>
                <w:sz w:val="24"/>
              </w:rPr>
            </w:pP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eastAsia="仿宋_GB2312" w:cs="仿宋_GB2312"/>
                <w:sz w:val="24"/>
              </w:rPr>
              <w:t>新建化粪池300口、严家河公厕1个</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bCs/>
                <w:color w:val="000000"/>
                <w:sz w:val="24"/>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386" w:type="dxa"/>
            <w:vMerge w:val="continue"/>
            <w:vAlign w:val="center"/>
          </w:tcPr>
          <w:p>
            <w:pPr>
              <w:spacing w:line="320" w:lineRule="exact"/>
              <w:rPr>
                <w:rFonts w:ascii="仿宋_GB2312" w:hAnsi="仿宋_GB2312" w:eastAsia="仿宋_GB2312" w:cs="仿宋_GB2312"/>
                <w:sz w:val="24"/>
              </w:rPr>
            </w:pPr>
          </w:p>
        </w:tc>
        <w:tc>
          <w:tcPr>
            <w:tcW w:w="1604" w:type="dxa"/>
            <w:gridSpan w:val="2"/>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时效指标</w:t>
            </w: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 w:hAnsi="仿宋" w:eastAsia="仿宋" w:cs="仿宋"/>
                <w:color w:val="000000"/>
                <w:sz w:val="24"/>
              </w:rPr>
              <w:t>2021年年底前</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 w:hAnsi="仿宋" w:eastAsia="仿宋" w:cs="仿宋"/>
                <w:color w:val="000000"/>
                <w:sz w:val="24"/>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386" w:type="dxa"/>
            <w:vMerge w:val="continue"/>
            <w:vAlign w:val="center"/>
          </w:tcPr>
          <w:p>
            <w:pPr>
              <w:spacing w:line="320" w:lineRule="exact"/>
              <w:rPr>
                <w:rFonts w:ascii="仿宋_GB2312" w:hAnsi="仿宋_GB2312" w:eastAsia="仿宋_GB2312" w:cs="仿宋_GB2312"/>
                <w:sz w:val="24"/>
              </w:rPr>
            </w:pPr>
          </w:p>
        </w:tc>
        <w:tc>
          <w:tcPr>
            <w:tcW w:w="1604" w:type="dxa"/>
            <w:gridSpan w:val="2"/>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2684" w:type="dxa"/>
            <w:gridSpan w:val="6"/>
            <w:vAlign w:val="center"/>
          </w:tcPr>
          <w:p>
            <w:pPr>
              <w:autoSpaceDN w:val="0"/>
              <w:spacing w:line="320" w:lineRule="exact"/>
              <w:jc w:val="center"/>
              <w:textAlignment w:val="center"/>
              <w:rPr>
                <w:rFonts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386" w:type="dxa"/>
            <w:vMerge w:val="continue"/>
            <w:vAlign w:val="center"/>
          </w:tcPr>
          <w:p>
            <w:pPr>
              <w:spacing w:line="320" w:lineRule="exact"/>
              <w:rPr>
                <w:rFonts w:ascii="仿宋_GB2312" w:hAnsi="仿宋_GB2312" w:eastAsia="仿宋_GB2312" w:cs="仿宋_GB2312"/>
                <w:sz w:val="24"/>
              </w:rPr>
            </w:pPr>
          </w:p>
        </w:tc>
        <w:tc>
          <w:tcPr>
            <w:tcW w:w="1604" w:type="dxa"/>
            <w:gridSpan w:val="2"/>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autoSpaceDN w:val="0"/>
              <w:spacing w:line="320" w:lineRule="exact"/>
              <w:jc w:val="center"/>
              <w:textAlignment w:val="center"/>
              <w:rPr>
                <w:rFonts w:ascii="仿宋_GB2312" w:hAnsi="仿宋_GB2312" w:eastAsia="仿宋_GB2312" w:cs="仿宋_GB2312"/>
                <w:sz w:val="24"/>
              </w:rPr>
            </w:pP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2684" w:type="dxa"/>
            <w:gridSpan w:val="6"/>
            <w:vAlign w:val="center"/>
          </w:tcPr>
          <w:p>
            <w:pPr>
              <w:autoSpaceDN w:val="0"/>
              <w:spacing w:line="320" w:lineRule="exact"/>
              <w:jc w:val="center"/>
              <w:textAlignment w:val="center"/>
              <w:rPr>
                <w:rFonts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386" w:type="dxa"/>
            <w:vMerge w:val="continue"/>
            <w:vAlign w:val="center"/>
          </w:tcPr>
          <w:p>
            <w:pPr>
              <w:spacing w:line="320" w:lineRule="exact"/>
              <w:rPr>
                <w:rFonts w:ascii="仿宋_GB2312" w:hAnsi="仿宋_GB2312" w:eastAsia="仿宋_GB2312" w:cs="仿宋_GB2312"/>
                <w:sz w:val="24"/>
              </w:rPr>
            </w:pPr>
          </w:p>
        </w:tc>
        <w:tc>
          <w:tcPr>
            <w:tcW w:w="1604" w:type="dxa"/>
            <w:gridSpan w:val="2"/>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成本指标</w:t>
            </w:r>
          </w:p>
        </w:tc>
        <w:tc>
          <w:tcPr>
            <w:tcW w:w="2709" w:type="dxa"/>
            <w:gridSpan w:val="4"/>
            <w:vAlign w:val="center"/>
          </w:tcPr>
          <w:p>
            <w:pPr>
              <w:autoSpaceDN w:val="0"/>
              <w:spacing w:line="520" w:lineRule="exact"/>
              <w:jc w:val="left"/>
              <w:textAlignment w:val="center"/>
              <w:rPr>
                <w:rFonts w:ascii="仿宋_GB2312" w:hAnsi="仿宋_GB2312" w:eastAsia="仿宋_GB2312" w:cs="仿宋_GB2312"/>
                <w:color w:val="000000"/>
                <w:sz w:val="24"/>
              </w:rPr>
            </w:pPr>
            <w:r>
              <w:rPr>
                <w:rFonts w:hint="eastAsia" w:ascii="仿宋" w:hAnsi="仿宋" w:eastAsia="仿宋" w:cs="仿宋"/>
                <w:color w:val="000000"/>
                <w:sz w:val="24"/>
              </w:rPr>
              <w:t>财政补助收入</w:t>
            </w:r>
          </w:p>
        </w:tc>
        <w:tc>
          <w:tcPr>
            <w:tcW w:w="2684" w:type="dxa"/>
            <w:gridSpan w:val="6"/>
          </w:tcPr>
          <w:p>
            <w:pPr>
              <w:jc w:val="center"/>
              <w:rPr>
                <w:rFonts w:ascii="仿宋_GB2312" w:hAnsi="仿宋_GB2312" w:eastAsia="仿宋_GB2312" w:cs="仿宋_GB2312"/>
                <w:b/>
                <w:color w:val="000000"/>
                <w:sz w:val="24"/>
              </w:rPr>
            </w:pPr>
            <w:r>
              <w:rPr>
                <w:rFonts w:hint="eastAsia" w:ascii="仿宋" w:hAnsi="仿宋" w:eastAsia="仿宋" w:cs="仿宋"/>
                <w:color w:val="000000"/>
                <w:sz w:val="24"/>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386" w:type="dxa"/>
            <w:vMerge w:val="continue"/>
            <w:vAlign w:val="center"/>
          </w:tcPr>
          <w:p>
            <w:pPr>
              <w:spacing w:line="320" w:lineRule="exact"/>
              <w:rPr>
                <w:rFonts w:ascii="仿宋_GB2312" w:hAnsi="仿宋_GB2312" w:eastAsia="仿宋_GB2312" w:cs="仿宋_GB2312"/>
                <w:sz w:val="24"/>
              </w:rPr>
            </w:pPr>
          </w:p>
        </w:tc>
        <w:tc>
          <w:tcPr>
            <w:tcW w:w="1604" w:type="dxa"/>
            <w:gridSpan w:val="2"/>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709" w:type="dxa"/>
            <w:gridSpan w:val="4"/>
            <w:vAlign w:val="center"/>
          </w:tcPr>
          <w:p>
            <w:pPr>
              <w:autoSpaceDN w:val="0"/>
              <w:spacing w:line="520" w:lineRule="exact"/>
              <w:jc w:val="left"/>
              <w:textAlignment w:val="center"/>
              <w:rPr>
                <w:rFonts w:ascii="仿宋_GB2312" w:hAnsi="仿宋_GB2312" w:eastAsia="仿宋_GB2312" w:cs="仿宋_GB2312"/>
                <w:color w:val="000000"/>
                <w:sz w:val="24"/>
              </w:rPr>
            </w:pPr>
            <w:r>
              <w:rPr>
                <w:rFonts w:hint="eastAsia" w:ascii="仿宋" w:hAnsi="仿宋" w:eastAsia="仿宋" w:cs="仿宋"/>
                <w:color w:val="000000"/>
                <w:sz w:val="24"/>
              </w:rPr>
              <w:t>上级补助收入</w:t>
            </w:r>
          </w:p>
        </w:tc>
        <w:tc>
          <w:tcPr>
            <w:tcW w:w="2684" w:type="dxa"/>
            <w:gridSpan w:val="6"/>
          </w:tcPr>
          <w:p>
            <w:pPr>
              <w:jc w:val="center"/>
              <w:rPr>
                <w:rFonts w:ascii="仿宋_GB2312" w:hAnsi="仿宋_GB2312" w:eastAsia="仿宋_GB2312" w:cs="仿宋_GB2312"/>
                <w:b/>
                <w:color w:val="000000"/>
                <w:sz w:val="24"/>
              </w:rPr>
            </w:pPr>
            <w:r>
              <w:rPr>
                <w:rFonts w:hint="eastAsia" w:ascii="仿宋" w:hAnsi="仿宋" w:eastAsia="仿宋" w:cs="仿宋"/>
                <w:color w:val="000000"/>
                <w:sz w:val="24"/>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94" w:hRule="atLeast"/>
          <w:jc w:val="center"/>
        </w:trPr>
        <w:tc>
          <w:tcPr>
            <w:tcW w:w="1386" w:type="dxa"/>
            <w:vMerge w:val="continue"/>
            <w:vAlign w:val="center"/>
          </w:tcPr>
          <w:p>
            <w:pPr>
              <w:spacing w:line="320" w:lineRule="exact"/>
              <w:rPr>
                <w:rFonts w:ascii="仿宋_GB2312" w:hAnsi="仿宋_GB2312" w:eastAsia="仿宋_GB2312" w:cs="仿宋_GB2312"/>
                <w:sz w:val="24"/>
              </w:rPr>
            </w:pPr>
          </w:p>
        </w:tc>
        <w:tc>
          <w:tcPr>
            <w:tcW w:w="1604" w:type="dxa"/>
            <w:gridSpan w:val="2"/>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autoSpaceDN w:val="0"/>
              <w:spacing w:line="320" w:lineRule="exact"/>
              <w:jc w:val="center"/>
              <w:textAlignment w:val="center"/>
              <w:rPr>
                <w:rFonts w:ascii="仿宋_GB2312" w:hAnsi="仿宋_GB2312" w:eastAsia="仿宋_GB2312" w:cs="仿宋_GB2312"/>
                <w:sz w:val="24"/>
              </w:rPr>
            </w:pP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2684" w:type="dxa"/>
            <w:gridSpan w:val="6"/>
            <w:vAlign w:val="center"/>
          </w:tcPr>
          <w:p>
            <w:pPr>
              <w:autoSpaceDN w:val="0"/>
              <w:spacing w:line="320" w:lineRule="exact"/>
              <w:jc w:val="center"/>
              <w:textAlignment w:val="center"/>
              <w:rPr>
                <w:rFonts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386" w:type="dxa"/>
            <w:vMerge w:val="continue"/>
            <w:vAlign w:val="center"/>
          </w:tcPr>
          <w:p>
            <w:pPr>
              <w:spacing w:line="320" w:lineRule="exact"/>
              <w:rPr>
                <w:rFonts w:ascii="仿宋_GB2312" w:hAnsi="仿宋_GB2312" w:eastAsia="仿宋_GB2312" w:cs="仿宋_GB2312"/>
                <w:sz w:val="24"/>
              </w:rPr>
            </w:pPr>
          </w:p>
        </w:tc>
        <w:tc>
          <w:tcPr>
            <w:tcW w:w="1604" w:type="dxa"/>
            <w:gridSpan w:val="2"/>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效益目标</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（预期实现的效益）</w:t>
            </w:r>
          </w:p>
        </w:tc>
        <w:tc>
          <w:tcPr>
            <w:tcW w:w="1417"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社会效益</w:t>
            </w:r>
          </w:p>
        </w:tc>
        <w:tc>
          <w:tcPr>
            <w:tcW w:w="2709" w:type="dxa"/>
            <w:gridSpan w:val="4"/>
            <w:vAlign w:val="center"/>
          </w:tcPr>
          <w:p>
            <w:pPr>
              <w:autoSpaceDN w:val="0"/>
              <w:spacing w:line="320" w:lineRule="exact"/>
              <w:jc w:val="left"/>
              <w:textAlignment w:val="center"/>
              <w:rPr>
                <w:rFonts w:ascii="仿宋_GB2312" w:hAnsi="仿宋_GB2312" w:eastAsia="仿宋_GB2312" w:cs="仿宋_GB2312"/>
                <w:bCs/>
                <w:color w:val="000000"/>
                <w:sz w:val="24"/>
              </w:rPr>
            </w:pPr>
            <w:r>
              <w:rPr>
                <w:rFonts w:hint="eastAsia" w:ascii="仿宋_GB2312" w:eastAsia="仿宋_GB2312" w:cs="仿宋_GB2312"/>
                <w:sz w:val="24"/>
              </w:rPr>
              <w:t>深挖“八大农业产业板块”的集体经济潜力，进一步扩大了“潘家大辣椒”等农产品品牌的影响力</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bCs/>
                <w:color w:val="000000"/>
                <w:sz w:val="24"/>
              </w:rPr>
            </w:pPr>
            <w:r>
              <w:rPr>
                <w:rFonts w:hint="eastAsia" w:ascii="仿宋_GB2312" w:hAnsi="仿宋_GB2312" w:eastAsia="仿宋_GB2312" w:cs="仿宋_GB2312"/>
                <w:bCs/>
                <w:color w:val="000000"/>
                <w:sz w:val="24"/>
              </w:rPr>
              <w:t>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386" w:type="dxa"/>
            <w:vMerge w:val="continue"/>
            <w:vAlign w:val="center"/>
          </w:tcPr>
          <w:p>
            <w:pPr>
              <w:spacing w:line="320" w:lineRule="exact"/>
              <w:rPr>
                <w:rFonts w:ascii="仿宋_GB2312" w:hAnsi="仿宋_GB2312" w:eastAsia="仿宋_GB2312" w:cs="仿宋_GB2312"/>
                <w:sz w:val="24"/>
              </w:rPr>
            </w:pPr>
          </w:p>
        </w:tc>
        <w:tc>
          <w:tcPr>
            <w:tcW w:w="1604" w:type="dxa"/>
            <w:gridSpan w:val="2"/>
            <w:vMerge w:val="continue"/>
            <w:vAlign w:val="center"/>
          </w:tcPr>
          <w:p>
            <w:pPr>
              <w:autoSpaceDN w:val="0"/>
              <w:spacing w:line="320" w:lineRule="exact"/>
              <w:rPr>
                <w:rFonts w:ascii="仿宋_GB2312" w:hAnsi="仿宋_GB2312" w:eastAsia="仿宋_GB2312" w:cs="仿宋_GB2312"/>
                <w:sz w:val="24"/>
              </w:rPr>
            </w:pPr>
          </w:p>
        </w:tc>
        <w:tc>
          <w:tcPr>
            <w:tcW w:w="1417"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经济效益</w:t>
            </w:r>
          </w:p>
        </w:tc>
        <w:tc>
          <w:tcPr>
            <w:tcW w:w="2709" w:type="dxa"/>
            <w:gridSpan w:val="4"/>
            <w:vAlign w:val="center"/>
          </w:tcPr>
          <w:p>
            <w:pPr>
              <w:autoSpaceDN w:val="0"/>
              <w:spacing w:line="320" w:lineRule="exact"/>
              <w:jc w:val="left"/>
              <w:textAlignment w:val="center"/>
              <w:rPr>
                <w:rFonts w:ascii="仿宋_GB2312" w:eastAsia="仿宋_GB2312" w:cs="仿宋_GB2312"/>
                <w:sz w:val="24"/>
              </w:rPr>
            </w:pPr>
            <w:r>
              <w:rPr>
                <w:rFonts w:hint="eastAsia" w:ascii="仿宋_GB2312" w:eastAsia="仿宋_GB2312" w:cs="仿宋_GB2312"/>
                <w:sz w:val="24"/>
              </w:rPr>
              <w:t>积极招商引资，洽谈了1家公司即将落户杨家桥工业园，预计可年创产值5000万、年利税200万，提供就业岗位100多个</w:t>
            </w:r>
          </w:p>
        </w:tc>
        <w:tc>
          <w:tcPr>
            <w:tcW w:w="2684" w:type="dxa"/>
            <w:gridSpan w:val="6"/>
            <w:vAlign w:val="center"/>
          </w:tcPr>
          <w:p>
            <w:pPr>
              <w:jc w:val="center"/>
              <w:rPr>
                <w:rFonts w:ascii="仿宋" w:hAnsi="仿宋" w:eastAsia="仿宋" w:cs="仿宋"/>
                <w:color w:val="000000"/>
                <w:sz w:val="24"/>
              </w:rPr>
            </w:pPr>
            <w:r>
              <w:rPr>
                <w:rFonts w:hint="eastAsia" w:ascii="仿宋" w:hAnsi="仿宋" w:eastAsia="仿宋" w:cs="仿宋"/>
                <w:color w:val="000000"/>
                <w:sz w:val="24"/>
              </w:rPr>
              <w:t>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386" w:type="dxa"/>
            <w:vMerge w:val="continue"/>
            <w:vAlign w:val="center"/>
          </w:tcPr>
          <w:p>
            <w:pPr>
              <w:spacing w:line="320" w:lineRule="exact"/>
              <w:rPr>
                <w:rFonts w:ascii="仿宋_GB2312" w:hAnsi="仿宋_GB2312" w:eastAsia="仿宋_GB2312" w:cs="仿宋_GB2312"/>
                <w:sz w:val="24"/>
              </w:rPr>
            </w:pPr>
          </w:p>
        </w:tc>
        <w:tc>
          <w:tcPr>
            <w:tcW w:w="1604" w:type="dxa"/>
            <w:gridSpan w:val="2"/>
            <w:vMerge w:val="continue"/>
            <w:vAlign w:val="center"/>
          </w:tcPr>
          <w:p>
            <w:pPr>
              <w:autoSpaceDN w:val="0"/>
              <w:spacing w:line="320" w:lineRule="exact"/>
              <w:rPr>
                <w:rFonts w:ascii="仿宋_GB2312" w:hAnsi="仿宋_GB2312" w:eastAsia="仿宋_GB2312" w:cs="仿宋_GB2312"/>
                <w:sz w:val="24"/>
              </w:rPr>
            </w:pPr>
          </w:p>
        </w:tc>
        <w:tc>
          <w:tcPr>
            <w:tcW w:w="1417"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生态效益</w:t>
            </w: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rPr>
            </w:pPr>
            <w:r>
              <w:rPr>
                <w:rFonts w:hint="eastAsia" w:ascii="仿宋_GB2312" w:eastAsia="仿宋_GB2312" w:cs="仿宋_GB2312"/>
                <w:sz w:val="24"/>
              </w:rPr>
              <w:t>完成绿化造林216亩，群众环保意识普遍提升，全镇人居环境面貌进一步改观</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386" w:type="dxa"/>
            <w:vMerge w:val="continue"/>
            <w:vAlign w:val="center"/>
          </w:tcPr>
          <w:p>
            <w:pPr>
              <w:spacing w:line="320" w:lineRule="exact"/>
              <w:rPr>
                <w:rFonts w:ascii="仿宋_GB2312" w:hAnsi="仿宋_GB2312" w:eastAsia="仿宋_GB2312" w:cs="仿宋_GB2312"/>
                <w:sz w:val="24"/>
              </w:rPr>
            </w:pPr>
          </w:p>
        </w:tc>
        <w:tc>
          <w:tcPr>
            <w:tcW w:w="1604" w:type="dxa"/>
            <w:gridSpan w:val="2"/>
            <w:vMerge w:val="continue"/>
            <w:vAlign w:val="center"/>
          </w:tcPr>
          <w:p>
            <w:pPr>
              <w:autoSpaceDN w:val="0"/>
              <w:spacing w:line="320" w:lineRule="exact"/>
              <w:rPr>
                <w:rFonts w:ascii="仿宋_GB2312" w:hAnsi="仿宋_GB2312" w:eastAsia="仿宋_GB2312" w:cs="仿宋_GB2312"/>
                <w:sz w:val="24"/>
              </w:rPr>
            </w:pPr>
          </w:p>
        </w:tc>
        <w:tc>
          <w:tcPr>
            <w:tcW w:w="1417"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社会公众或服务对象满意度</w:t>
            </w: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 w:hAnsi="仿宋" w:eastAsia="仿宋" w:cs="仿宋"/>
                <w:color w:val="000000"/>
                <w:sz w:val="24"/>
              </w:rPr>
              <w:t>群众满意</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 w:hAnsi="仿宋" w:eastAsia="仿宋" w:cs="仿宋"/>
                <w:color w:val="000000"/>
                <w:sz w:val="24"/>
              </w:rPr>
              <w:t>较好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2990" w:type="dxa"/>
            <w:gridSpan w:val="3"/>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绩效自评综合得分</w:t>
            </w:r>
          </w:p>
        </w:tc>
        <w:tc>
          <w:tcPr>
            <w:tcW w:w="6810" w:type="dxa"/>
            <w:gridSpan w:val="1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94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2990" w:type="dxa"/>
            <w:gridSpan w:val="3"/>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评价等次</w:t>
            </w:r>
          </w:p>
        </w:tc>
        <w:tc>
          <w:tcPr>
            <w:tcW w:w="6810" w:type="dxa"/>
            <w:gridSpan w:val="1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9800" w:type="dxa"/>
            <w:gridSpan w:val="15"/>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四、评价人员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386"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姓  名</w:t>
            </w:r>
          </w:p>
        </w:tc>
        <w:tc>
          <w:tcPr>
            <w:tcW w:w="3829"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职务/职称</w:t>
            </w:r>
          </w:p>
        </w:tc>
        <w:tc>
          <w:tcPr>
            <w:tcW w:w="1479"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单  位</w:t>
            </w:r>
          </w:p>
        </w:tc>
        <w:tc>
          <w:tcPr>
            <w:tcW w:w="3106"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签  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386" w:type="dxa"/>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莫志军</w:t>
            </w:r>
          </w:p>
        </w:tc>
        <w:tc>
          <w:tcPr>
            <w:tcW w:w="3829" w:type="dxa"/>
            <w:gridSpan w:val="5"/>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镇长</w:t>
            </w:r>
          </w:p>
        </w:tc>
        <w:tc>
          <w:tcPr>
            <w:tcW w:w="1479" w:type="dxa"/>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106"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386" w:type="dxa"/>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付拥良</w:t>
            </w:r>
          </w:p>
        </w:tc>
        <w:tc>
          <w:tcPr>
            <w:tcW w:w="3829" w:type="dxa"/>
            <w:gridSpan w:val="5"/>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专职副书记</w:t>
            </w:r>
          </w:p>
        </w:tc>
        <w:tc>
          <w:tcPr>
            <w:tcW w:w="1479" w:type="dxa"/>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106"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386" w:type="dxa"/>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鲁东胜</w:t>
            </w:r>
          </w:p>
        </w:tc>
        <w:tc>
          <w:tcPr>
            <w:tcW w:w="3829" w:type="dxa"/>
            <w:gridSpan w:val="5"/>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纪检书记</w:t>
            </w:r>
          </w:p>
        </w:tc>
        <w:tc>
          <w:tcPr>
            <w:tcW w:w="1479" w:type="dxa"/>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106"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386" w:type="dxa"/>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王锡文</w:t>
            </w:r>
          </w:p>
        </w:tc>
        <w:tc>
          <w:tcPr>
            <w:tcW w:w="3829" w:type="dxa"/>
            <w:gridSpan w:val="5"/>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人大副主席</w:t>
            </w:r>
          </w:p>
        </w:tc>
        <w:tc>
          <w:tcPr>
            <w:tcW w:w="1479" w:type="dxa"/>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106"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22" w:hRule="atLeast"/>
          <w:jc w:val="center"/>
        </w:trPr>
        <w:tc>
          <w:tcPr>
            <w:tcW w:w="9800" w:type="dxa"/>
            <w:gridSpan w:val="15"/>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评价组组长（签字）：</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22" w:hRule="atLeast"/>
          <w:jc w:val="center"/>
        </w:trPr>
        <w:tc>
          <w:tcPr>
            <w:tcW w:w="9800" w:type="dxa"/>
            <w:gridSpan w:val="15"/>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部门（单位）意见：</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部门（单位）负责人（签章）：</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94" w:hRule="atLeast"/>
          <w:jc w:val="center"/>
        </w:trPr>
        <w:tc>
          <w:tcPr>
            <w:tcW w:w="9800" w:type="dxa"/>
            <w:gridSpan w:val="15"/>
            <w:vAlign w:val="center"/>
          </w:tcPr>
          <w:p>
            <w:pPr>
              <w:spacing w:line="320" w:lineRule="exact"/>
              <w:rPr>
                <w:rFonts w:eastAsia="仿宋_GB2312"/>
                <w:sz w:val="24"/>
              </w:rPr>
            </w:pPr>
            <w:r>
              <w:rPr>
                <w:rFonts w:hint="eastAsia" w:eastAsia="仿宋_GB2312"/>
                <w:sz w:val="24"/>
              </w:rPr>
              <w:t>财政部门归口业务科室意见：</w:t>
            </w:r>
          </w:p>
          <w:p>
            <w:pPr>
              <w:spacing w:line="320" w:lineRule="exact"/>
              <w:rPr>
                <w:rFonts w:eastAsia="仿宋_GB2312"/>
                <w:sz w:val="24"/>
              </w:rPr>
            </w:pPr>
          </w:p>
          <w:p>
            <w:pPr>
              <w:spacing w:line="320" w:lineRule="exact"/>
              <w:rPr>
                <w:rFonts w:eastAsia="仿宋_GB2312"/>
                <w:sz w:val="24"/>
              </w:rPr>
            </w:pPr>
          </w:p>
          <w:p>
            <w:pPr>
              <w:spacing w:line="320" w:lineRule="exact"/>
              <w:rPr>
                <w:rFonts w:eastAsia="仿宋_GB2312"/>
                <w:sz w:val="24"/>
              </w:rPr>
            </w:pPr>
          </w:p>
          <w:p>
            <w:pPr>
              <w:spacing w:line="320" w:lineRule="exact"/>
              <w:rPr>
                <w:rFonts w:eastAsia="仿宋_GB2312"/>
                <w:sz w:val="24"/>
              </w:rPr>
            </w:pPr>
          </w:p>
          <w:p>
            <w:pPr>
              <w:spacing w:line="320" w:lineRule="exact"/>
              <w:rPr>
                <w:rFonts w:eastAsia="仿宋_GB2312"/>
                <w:sz w:val="24"/>
              </w:rPr>
            </w:pPr>
            <w:r>
              <w:rPr>
                <w:rFonts w:hint="eastAsia" w:eastAsia="仿宋_GB2312"/>
                <w:sz w:val="24"/>
              </w:rPr>
              <w:t xml:space="preserve">                                  财政部门归口业务科室负责人（签章）：</w:t>
            </w:r>
          </w:p>
          <w:p>
            <w:pPr>
              <w:autoSpaceDN w:val="0"/>
              <w:spacing w:line="320" w:lineRule="exact"/>
              <w:jc w:val="left"/>
              <w:textAlignment w:val="center"/>
              <w:rPr>
                <w:rFonts w:ascii="仿宋_GB2312" w:hAnsi="仿宋_GB2312" w:eastAsia="仿宋_GB2312" w:cs="仿宋_GB2312"/>
                <w:color w:val="000000"/>
                <w:sz w:val="24"/>
              </w:rPr>
            </w:pPr>
            <w:r>
              <w:rPr>
                <w:rFonts w:hint="eastAsia" w:eastAsia="仿宋_GB2312"/>
                <w:sz w:val="24"/>
              </w:rPr>
              <w:t xml:space="preserve">                                                                 年    月   日</w:t>
            </w:r>
          </w:p>
        </w:tc>
      </w:tr>
    </w:tbl>
    <w:p>
      <w:pPr>
        <w:rPr>
          <w:rFonts w:eastAsia="仿宋_GB2312" w:cs="仿宋_GB2312"/>
          <w:bCs/>
          <w:sz w:val="28"/>
          <w:szCs w:val="28"/>
        </w:rPr>
      </w:pPr>
      <w:r>
        <w:rPr>
          <w:rFonts w:hint="eastAsia" w:eastAsia="仿宋_GB2312" w:cs="仿宋_GB2312"/>
          <w:bCs/>
          <w:sz w:val="28"/>
          <w:szCs w:val="28"/>
        </w:rPr>
        <w:t>填报人（签名）：                          联系电话：</w:t>
      </w:r>
    </w:p>
    <w:tbl>
      <w:tblPr>
        <w:tblStyle w:val="11"/>
        <w:tblW w:w="95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8" w:hRule="atLeast"/>
          <w:jc w:val="center"/>
        </w:trPr>
        <w:tc>
          <w:tcPr>
            <w:tcW w:w="9558" w:type="dxa"/>
          </w:tcPr>
          <w:p>
            <w:pPr>
              <w:spacing w:line="560" w:lineRule="exact"/>
              <w:jc w:val="center"/>
              <w:rPr>
                <w:rFonts w:ascii="方正小标宋简体" w:hAnsi="仿宋" w:eastAsia="方正小标宋简体" w:cs="????"/>
                <w:bCs/>
                <w:sz w:val="36"/>
                <w:szCs w:val="36"/>
              </w:rPr>
            </w:pPr>
            <w:r>
              <w:rPr>
                <w:rFonts w:hint="eastAsia" w:ascii="方正小标宋简体" w:hAnsi="仿宋" w:eastAsia="方正小标宋简体" w:cs="????"/>
                <w:bCs/>
                <w:sz w:val="36"/>
                <w:szCs w:val="36"/>
              </w:rPr>
              <w:t>华容县治河渡镇人民政府</w:t>
            </w:r>
          </w:p>
          <w:p>
            <w:pPr>
              <w:spacing w:line="560" w:lineRule="exact"/>
              <w:jc w:val="center"/>
              <w:rPr>
                <w:rFonts w:ascii="方正小标宋简体" w:hAnsi="仿宋" w:eastAsia="方正小标宋简体" w:cs="????"/>
                <w:bCs/>
                <w:sz w:val="44"/>
                <w:szCs w:val="44"/>
              </w:rPr>
            </w:pPr>
            <w:r>
              <w:rPr>
                <w:rFonts w:ascii="方正小标宋简体" w:hAnsi="仿宋" w:eastAsia="方正小标宋简体" w:cs="????"/>
                <w:bCs/>
                <w:sz w:val="36"/>
                <w:szCs w:val="36"/>
              </w:rPr>
              <w:t>20</w:t>
            </w:r>
            <w:r>
              <w:rPr>
                <w:rFonts w:hint="eastAsia" w:ascii="方正小标宋简体" w:hAnsi="仿宋" w:eastAsia="方正小标宋简体" w:cs="????"/>
                <w:bCs/>
                <w:sz w:val="36"/>
                <w:szCs w:val="36"/>
              </w:rPr>
              <w:t>21年部门整体支出绩效评价报告</w:t>
            </w:r>
          </w:p>
          <w:p>
            <w:pPr>
              <w:spacing w:line="540" w:lineRule="exact"/>
              <w:ind w:firstLine="640" w:firstLineChars="200"/>
              <w:rPr>
                <w:rFonts w:ascii="仿宋_GB2312" w:eastAsia="仿宋_GB2312" w:cs="仿宋_GB2312"/>
                <w:sz w:val="32"/>
                <w:szCs w:val="32"/>
              </w:rPr>
            </w:pPr>
          </w:p>
          <w:p>
            <w:pPr>
              <w:spacing w:line="54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根据《华容县财政局关于开展2021年度部门整体支出绩效自评工作的通知》（华财函〔2022〕37号）的相关规定和要求，现对我部门2021年度整体支出开展绩效自评，现将情况汇报如下：</w:t>
            </w:r>
          </w:p>
          <w:p>
            <w:pPr>
              <w:spacing w:line="56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一、部门概况</w:t>
            </w:r>
          </w:p>
          <w:p>
            <w:pPr>
              <w:spacing w:line="560" w:lineRule="exact"/>
              <w:ind w:firstLine="320" w:firstLineChars="100"/>
              <w:rPr>
                <w:rFonts w:ascii="仿宋_GB2312" w:eastAsia="仿宋_GB2312" w:cs="仿宋_GB2312"/>
                <w:sz w:val="32"/>
                <w:szCs w:val="32"/>
              </w:rPr>
            </w:pPr>
            <w:r>
              <w:rPr>
                <w:rFonts w:hint="eastAsia" w:ascii="仿宋_GB2312" w:eastAsia="仿宋_GB2312" w:cs="仿宋_GB2312"/>
                <w:sz w:val="32"/>
                <w:szCs w:val="32"/>
              </w:rPr>
              <w:t>（一）部门基本情况</w:t>
            </w:r>
          </w:p>
          <w:p>
            <w:pPr>
              <w:spacing w:line="540" w:lineRule="exact"/>
              <w:ind w:firstLine="480" w:firstLineChars="150"/>
              <w:rPr>
                <w:rFonts w:ascii="仿宋_GB2312" w:eastAsia="仿宋_GB2312" w:cs="仿宋_GB2312"/>
                <w:sz w:val="32"/>
                <w:szCs w:val="32"/>
              </w:rPr>
            </w:pPr>
            <w:r>
              <w:rPr>
                <w:rFonts w:hint="eastAsia" w:ascii="仿宋_GB2312" w:eastAsia="仿宋_GB2312" w:cs="仿宋_GB2312"/>
                <w:sz w:val="32"/>
                <w:szCs w:val="32"/>
              </w:rPr>
              <w:t>华容县治河渡镇人民政府共有镇政府机关、镇财政所、镇农业综合服务中心、镇社会事业综合服务中心、镇退役军人服务站、镇综合行政执法大队、镇水利服务站7个独立核算工作机构。现有人员编制76名（其中：行政编制34名，事业全额编制42名），实有在职干部、职工76人。</w:t>
            </w:r>
          </w:p>
          <w:p>
            <w:pPr>
              <w:numPr>
                <w:ilvl w:val="0"/>
                <w:numId w:val="1"/>
              </w:numPr>
              <w:spacing w:line="560" w:lineRule="exact"/>
              <w:ind w:firstLine="640"/>
              <w:rPr>
                <w:rFonts w:ascii="仿宋_GB2312" w:eastAsia="仿宋_GB2312" w:cs="仿宋_GB2312"/>
                <w:sz w:val="32"/>
                <w:szCs w:val="32"/>
              </w:rPr>
            </w:pPr>
            <w:r>
              <w:rPr>
                <w:rFonts w:hint="eastAsia" w:ascii="仿宋_GB2312" w:eastAsia="仿宋_GB2312" w:cs="仿宋_GB2312"/>
                <w:sz w:val="32"/>
                <w:szCs w:val="32"/>
              </w:rPr>
              <w:t>部门整体支出规模、使用方向和主要内容、涉及范围等</w:t>
            </w:r>
          </w:p>
          <w:p>
            <w:pPr>
              <w:pStyle w:val="10"/>
              <w:widowControl/>
              <w:shd w:val="clear" w:color="auto" w:fill="FFFFFF"/>
              <w:spacing w:beforeAutospacing="0" w:afterAutospacing="0" w:line="33" w:lineRule="atLeast"/>
              <w:ind w:firstLine="480" w:firstLineChars="150"/>
              <w:jc w:val="both"/>
              <w:rPr>
                <w:rFonts w:ascii="仿宋_GB2312" w:eastAsia="仿宋_GB2312" w:cs="仿宋_GB2312"/>
                <w:sz w:val="32"/>
                <w:szCs w:val="32"/>
              </w:rPr>
            </w:pPr>
            <w:r>
              <w:rPr>
                <w:rFonts w:hint="eastAsia" w:ascii="仿宋_GB2312" w:eastAsia="仿宋_GB2312" w:cs="仿宋_GB2312"/>
                <w:sz w:val="32"/>
                <w:szCs w:val="32"/>
              </w:rPr>
              <w:t>2021年，县财政下达我单位预算总收入2774.52万元，其中：一般公共预算财政拨款收入1925.52万元，政府性基金收入849.00万元；预算总支出2774.52万元；年末无结余，预算收支平衡。预算拨款总额比2020年增加1149.13万元，增加的主要原因政府加大了对农村的投入，项目增加。其中工资福利支出709.90万元，一般商品和服务支出179.48万元，项目支出1885.14万元。资金主要用于：</w:t>
            </w:r>
            <w:r>
              <w:rPr>
                <w:rFonts w:hint="eastAsia" w:ascii="仿宋_GB2312" w:hAnsi="仿宋" w:eastAsia="仿宋_GB2312" w:cs="仿宋"/>
                <w:kern w:val="2"/>
                <w:sz w:val="32"/>
                <w:szCs w:val="32"/>
              </w:rPr>
              <w:t>高标准农田建设</w:t>
            </w:r>
            <w:r>
              <w:rPr>
                <w:rFonts w:hint="eastAsia" w:ascii="仿宋_GB2312" w:hAnsi="仿宋" w:cs="仿宋"/>
                <w:kern w:val="2"/>
                <w:sz w:val="32"/>
                <w:szCs w:val="32"/>
              </w:rPr>
              <w:t>、</w:t>
            </w:r>
            <w:r>
              <w:rPr>
                <w:rFonts w:hint="eastAsia" w:ascii="仿宋_GB2312" w:hAnsi="仿宋" w:eastAsia="仿宋_GB2312" w:cs="仿宋"/>
                <w:kern w:val="2"/>
                <w:sz w:val="32"/>
                <w:szCs w:val="32"/>
              </w:rPr>
              <w:t>中型灌区节水</w:t>
            </w:r>
            <w:r>
              <w:rPr>
                <w:rFonts w:hint="eastAsia" w:ascii="仿宋_GB2312" w:eastAsia="仿宋_GB2312" w:cs="仿宋_GB2312"/>
                <w:sz w:val="32"/>
                <w:szCs w:val="32"/>
              </w:rPr>
              <w:t>配套建设</w:t>
            </w:r>
            <w:r>
              <w:rPr>
                <w:rFonts w:hint="eastAsia" w:ascii="仿宋_GB2312" w:hAnsi="仿宋" w:cs="仿宋"/>
                <w:kern w:val="2"/>
                <w:sz w:val="32"/>
                <w:szCs w:val="32"/>
              </w:rPr>
              <w:t>、</w:t>
            </w:r>
            <w:r>
              <w:rPr>
                <w:rFonts w:hint="eastAsia" w:ascii="仿宋_GB2312" w:hAnsi="仿宋" w:eastAsia="仿宋_GB2312" w:cs="仿宋"/>
                <w:kern w:val="2"/>
                <w:sz w:val="32"/>
                <w:szCs w:val="32"/>
              </w:rPr>
              <w:t>涝区治理</w:t>
            </w:r>
            <w:r>
              <w:rPr>
                <w:rFonts w:hint="eastAsia" w:ascii="仿宋_GB2312" w:hAnsi="仿宋" w:cs="仿宋"/>
                <w:kern w:val="2"/>
                <w:sz w:val="32"/>
                <w:szCs w:val="32"/>
              </w:rPr>
              <w:t>、</w:t>
            </w:r>
            <w:r>
              <w:rPr>
                <w:rFonts w:hint="eastAsia" w:ascii="仿宋_GB2312" w:hAnsi="仿宋" w:eastAsia="仿宋_GB2312" w:cs="仿宋"/>
                <w:kern w:val="2"/>
                <w:sz w:val="32"/>
                <w:szCs w:val="32"/>
              </w:rPr>
              <w:t>华容河综合治理</w:t>
            </w:r>
            <w:r>
              <w:rPr>
                <w:rFonts w:hint="eastAsia" w:ascii="仿宋_GB2312" w:hAnsi="仿宋" w:cs="仿宋"/>
                <w:kern w:val="2"/>
                <w:sz w:val="32"/>
                <w:szCs w:val="32"/>
              </w:rPr>
              <w:t>、</w:t>
            </w:r>
            <w:r>
              <w:rPr>
                <w:rFonts w:hint="eastAsia" w:ascii="仿宋_GB2312" w:hAnsi="仿宋" w:eastAsia="仿宋_GB2312" w:cs="仿宋"/>
                <w:kern w:val="2"/>
                <w:sz w:val="32"/>
                <w:szCs w:val="32"/>
              </w:rPr>
              <w:t>安全区二期建设</w:t>
            </w:r>
            <w:r>
              <w:rPr>
                <w:rFonts w:hint="eastAsia" w:ascii="仿宋_GB2312" w:hAnsi="仿宋" w:cs="仿宋"/>
                <w:kern w:val="2"/>
                <w:sz w:val="32"/>
                <w:szCs w:val="32"/>
              </w:rPr>
              <w:t>、</w:t>
            </w:r>
            <w:r>
              <w:rPr>
                <w:rFonts w:hint="eastAsia" w:ascii="仿宋_GB2312" w:hAnsi="仿宋" w:eastAsia="仿宋_GB2312" w:cs="仿宋"/>
                <w:kern w:val="2"/>
                <w:sz w:val="32"/>
                <w:szCs w:val="32"/>
              </w:rPr>
              <w:t>卫生院应急接诊点建设等项目。</w:t>
            </w:r>
          </w:p>
          <w:p>
            <w:pPr>
              <w:spacing w:line="56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二、部门整体支出管理及使用情况</w:t>
            </w:r>
          </w:p>
          <w:p>
            <w:pPr>
              <w:spacing w:line="56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（一）基本支出</w:t>
            </w:r>
          </w:p>
          <w:p>
            <w:pPr>
              <w:spacing w:line="56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1.</w:t>
            </w:r>
            <w:r>
              <w:rPr>
                <w:rFonts w:hint="eastAsia" w:ascii="仿宋_GB2312" w:eastAsia="仿宋_GB2312" w:cs="仿宋_GB2312"/>
                <w:b/>
                <w:sz w:val="32"/>
                <w:szCs w:val="32"/>
              </w:rPr>
              <w:t>收入情况</w:t>
            </w:r>
            <w:r>
              <w:rPr>
                <w:rFonts w:hint="eastAsia" w:ascii="仿宋_GB2312" w:eastAsia="仿宋_GB2312" w:cs="仿宋_GB2312"/>
                <w:sz w:val="32"/>
                <w:szCs w:val="32"/>
              </w:rPr>
              <w:t>：2021年预算总收入2774.52万元。其中：经费拨款2774.52万元。预算总支出2774.52万元。预算收支平衡。</w:t>
            </w:r>
          </w:p>
          <w:p>
            <w:pPr>
              <w:spacing w:line="56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2.</w:t>
            </w:r>
            <w:r>
              <w:rPr>
                <w:rFonts w:hint="eastAsia" w:ascii="仿宋_GB2312" w:eastAsia="仿宋_GB2312" w:cs="仿宋_GB2312"/>
                <w:b/>
                <w:sz w:val="32"/>
                <w:szCs w:val="32"/>
              </w:rPr>
              <w:t>支出情况</w:t>
            </w:r>
            <w:r>
              <w:rPr>
                <w:rFonts w:hint="eastAsia" w:ascii="仿宋_GB2312" w:eastAsia="仿宋_GB2312" w:cs="仿宋_GB2312"/>
                <w:sz w:val="32"/>
                <w:szCs w:val="32"/>
              </w:rPr>
              <w:t>：2021年预算总支出2774.52万元。其中：工资福利支出709.90万元，一般商品和服务支出179.48万元，项目支出1885.14万元。</w:t>
            </w:r>
          </w:p>
          <w:p>
            <w:pPr>
              <w:spacing w:line="56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3.</w:t>
            </w:r>
            <w:r>
              <w:rPr>
                <w:rFonts w:hint="eastAsia" w:ascii="仿宋_GB2312" w:eastAsia="仿宋_GB2312" w:cs="仿宋_GB2312"/>
                <w:b/>
                <w:sz w:val="32"/>
                <w:szCs w:val="32"/>
              </w:rPr>
              <w:t>“三公经费”支出情况分析</w:t>
            </w:r>
            <w:r>
              <w:rPr>
                <w:rFonts w:hint="eastAsia" w:ascii="仿宋_GB2312" w:eastAsia="仿宋_GB2312" w:cs="仿宋_GB2312"/>
                <w:sz w:val="32"/>
                <w:szCs w:val="32"/>
              </w:rPr>
              <w:t>：2021年华容县治河渡镇人民政府“三公经费”实际开支4.40万元。其中公务接待费4.40万元。</w:t>
            </w:r>
          </w:p>
          <w:p>
            <w:pPr>
              <w:spacing w:line="56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4.</w:t>
            </w:r>
            <w:r>
              <w:rPr>
                <w:rFonts w:hint="eastAsia" w:ascii="仿宋_GB2312" w:eastAsia="仿宋_GB2312" w:cs="仿宋_GB2312"/>
                <w:b/>
                <w:sz w:val="32"/>
                <w:szCs w:val="32"/>
              </w:rPr>
              <w:t>固定资产管理情况分析</w:t>
            </w:r>
            <w:r>
              <w:rPr>
                <w:rFonts w:hint="eastAsia" w:ascii="仿宋_GB2312" w:eastAsia="仿宋_GB2312" w:cs="仿宋_GB2312"/>
                <w:sz w:val="32"/>
                <w:szCs w:val="32"/>
              </w:rPr>
              <w:t>：按照例行节约，物尽其用的原则，华容县治河渡镇人民政府资产管理采取统一建账，统一核算管理，对每件固定资产使用明确保管职责，闲置的资产，由办公室统一调整，合理流动，发挥其效益；至2021年12月有固定资产318.30万元，全部在用，保证了资产的安全高效，防止资产流失。</w:t>
            </w:r>
          </w:p>
          <w:p>
            <w:pPr>
              <w:spacing w:line="56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（二）专项支出</w:t>
            </w:r>
          </w:p>
          <w:p>
            <w:pPr>
              <w:spacing w:line="56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1.</w:t>
            </w:r>
            <w:r>
              <w:rPr>
                <w:rFonts w:hint="eastAsia" w:ascii="仿宋_GB2312" w:eastAsia="仿宋_GB2312" w:cs="仿宋_GB2312"/>
                <w:b/>
                <w:sz w:val="32"/>
                <w:szCs w:val="32"/>
              </w:rPr>
              <w:t>专项资金安排落实、总投入等情况分析</w:t>
            </w:r>
          </w:p>
          <w:p>
            <w:pPr>
              <w:spacing w:line="56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2021年项目支出为1885.14万元，占总支出的67.94%，主要是项目建设支付的办公费、印刷费、差旅费、会议费、培训费、劳务费、基础设施建设、大型修缮等商品和服务支出。其中商品和服务支出1885.14万元。</w:t>
            </w:r>
          </w:p>
          <w:p>
            <w:pPr>
              <w:spacing w:line="56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2.</w:t>
            </w:r>
            <w:r>
              <w:rPr>
                <w:rFonts w:hint="eastAsia" w:ascii="仿宋_GB2312" w:eastAsia="仿宋_GB2312" w:cs="仿宋_GB2312"/>
                <w:b/>
                <w:sz w:val="32"/>
                <w:szCs w:val="32"/>
              </w:rPr>
              <w:t>专项资金实际使用情况分析</w:t>
            </w:r>
          </w:p>
          <w:p>
            <w:pPr>
              <w:spacing w:line="560" w:lineRule="exact"/>
              <w:ind w:firstLine="588" w:firstLineChars="184"/>
              <w:rPr>
                <w:rFonts w:ascii="仿宋_GB2312" w:eastAsia="仿宋_GB2312" w:cs="仿宋_GB2312"/>
                <w:sz w:val="32"/>
                <w:szCs w:val="32"/>
              </w:rPr>
            </w:pPr>
            <w:r>
              <w:rPr>
                <w:rFonts w:hint="eastAsia" w:ascii="仿宋_GB2312" w:eastAsia="仿宋_GB2312" w:cs="仿宋_GB2312"/>
                <w:sz w:val="32"/>
                <w:szCs w:val="32"/>
              </w:rPr>
              <w:t>2021年专项总收入1885.14万元，专项总支出1885.14万元，收支平衡，无资金结余。</w:t>
            </w:r>
          </w:p>
          <w:p>
            <w:pPr>
              <w:spacing w:line="560" w:lineRule="exact"/>
              <w:ind w:firstLine="640" w:firstLineChars="200"/>
              <w:rPr>
                <w:rFonts w:ascii="仿宋_GB2312" w:eastAsia="仿宋_GB2312" w:cs="仿宋_GB2312"/>
                <w:b/>
                <w:sz w:val="32"/>
                <w:szCs w:val="32"/>
              </w:rPr>
            </w:pPr>
            <w:r>
              <w:rPr>
                <w:rFonts w:hint="eastAsia" w:ascii="仿宋_GB2312" w:eastAsia="仿宋_GB2312" w:cs="仿宋_GB2312"/>
                <w:sz w:val="32"/>
                <w:szCs w:val="32"/>
              </w:rPr>
              <w:t>3.</w:t>
            </w:r>
            <w:r>
              <w:rPr>
                <w:rFonts w:hint="eastAsia" w:ascii="仿宋_GB2312" w:eastAsia="仿宋_GB2312" w:cs="仿宋_GB2312"/>
                <w:b/>
                <w:sz w:val="32"/>
                <w:szCs w:val="32"/>
              </w:rPr>
              <w:t>专项资金管理情况分析</w:t>
            </w:r>
          </w:p>
          <w:p>
            <w:pPr>
              <w:spacing w:line="56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为加强项目资金管理，规范项目资金管理行为，提高项目管理水平及项目资金使用效益，本部门制定了财务管理制度、项目资金管理制度、专项资金管理办法等，对项目管理职责、申报与组织实施、项目资金的管理、监督检查与验收等进行了规定，成立了工作领导小组、明确工作职责、确定责任单位、制定工作方案、项目实施细则、考核办法等。项目资金严格按指定用途专款专用，实行专项报告制度，并接受财政部门或上级部门的检查、验收。2021年本部门项目支出，基本能够严格按照相关制度规定等进行。</w:t>
            </w:r>
          </w:p>
          <w:p>
            <w:pPr>
              <w:spacing w:line="56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 xml:space="preserve"> 三、部门专项组织实施情况</w:t>
            </w:r>
          </w:p>
          <w:p>
            <w:pPr>
              <w:spacing w:line="56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（一）专项组织情况分析，主要包括项目招投标、调整、竣工验收等情况</w:t>
            </w:r>
          </w:p>
          <w:p>
            <w:pPr>
              <w:pStyle w:val="10"/>
              <w:widowControl/>
              <w:shd w:val="clear" w:color="auto" w:fill="FFFFFF"/>
              <w:spacing w:beforeAutospacing="0" w:afterAutospacing="0" w:line="510" w:lineRule="atLeast"/>
              <w:ind w:firstLine="420"/>
              <w:jc w:val="both"/>
              <w:rPr>
                <w:rFonts w:ascii="仿宋_GB2312" w:eastAsia="仿宋_GB2312" w:cs="仿宋_GB2312"/>
                <w:kern w:val="2"/>
                <w:sz w:val="32"/>
                <w:szCs w:val="32"/>
              </w:rPr>
            </w:pPr>
            <w:r>
              <w:rPr>
                <w:rFonts w:hint="eastAsia" w:ascii="仿宋_GB2312" w:eastAsia="仿宋_GB2312" w:cs="仿宋_GB2312"/>
                <w:kern w:val="2"/>
                <w:sz w:val="32"/>
                <w:szCs w:val="32"/>
              </w:rPr>
              <w:t>项目招投标方面，凡是单个货物项目采购金额达到40万元的，单个服务项目采购金额达到50万元的，单个工程项目采购金额达到60万元的，均依法采用公开招投标方式组织项目实施；一般情况下，不进行项目调整，确需要调整的，均依照财政部门规定，按照程序报批后方予以调整；所有项目竣工验收等工作，均由业务科室按照规定程序进行，验收完成后财务方开展报账和支付工作。</w:t>
            </w:r>
          </w:p>
          <w:p>
            <w:pPr>
              <w:pStyle w:val="10"/>
              <w:widowControl/>
              <w:shd w:val="clear" w:color="auto" w:fill="FFFFFF"/>
              <w:spacing w:beforeAutospacing="0" w:afterAutospacing="0" w:line="510" w:lineRule="atLeast"/>
              <w:ind w:firstLine="420"/>
              <w:jc w:val="both"/>
              <w:rPr>
                <w:rFonts w:ascii="仿宋_GB2312" w:eastAsia="仿宋_GB2312" w:cs="仿宋_GB2312"/>
                <w:kern w:val="2"/>
                <w:sz w:val="32"/>
                <w:szCs w:val="32"/>
              </w:rPr>
            </w:pPr>
            <w:r>
              <w:rPr>
                <w:rFonts w:hint="eastAsia" w:ascii="仿宋_GB2312" w:eastAsia="仿宋_GB2312" w:cs="仿宋_GB2312"/>
                <w:kern w:val="2"/>
                <w:sz w:val="32"/>
                <w:szCs w:val="32"/>
              </w:rPr>
              <w:t>（二）专项管理情况分析，主要包括项目管理制度建设、日常检查监督管理等情况</w:t>
            </w:r>
          </w:p>
          <w:p>
            <w:pPr>
              <w:pStyle w:val="10"/>
              <w:widowControl/>
              <w:shd w:val="clear" w:color="auto" w:fill="FFFFFF"/>
              <w:spacing w:beforeAutospacing="0" w:afterAutospacing="0" w:line="510" w:lineRule="atLeast"/>
              <w:ind w:firstLine="420"/>
              <w:jc w:val="both"/>
              <w:rPr>
                <w:rFonts w:ascii="仿宋_GB2312" w:eastAsia="仿宋_GB2312" w:cs="仿宋_GB2312"/>
                <w:kern w:val="2"/>
                <w:sz w:val="32"/>
                <w:szCs w:val="32"/>
              </w:rPr>
            </w:pPr>
            <w:r>
              <w:rPr>
                <w:rFonts w:hint="eastAsia" w:ascii="仿宋_GB2312" w:eastAsia="仿宋_GB2312" w:cs="仿宋_GB2312"/>
                <w:kern w:val="2"/>
                <w:sz w:val="32"/>
                <w:szCs w:val="32"/>
              </w:rPr>
              <w:t>为确保专项有效实施，提高专项资金的使用效率，根据省市级财政部门的专项项目和资金管理办法，我部门制定了《财务管理制度》；项目资金下达我单位后，合理编制项目预算并按照程序报批，加强项目实施前、实施中、实施后的监督管理，提高项目资金使用效益。</w:t>
            </w:r>
          </w:p>
          <w:p>
            <w:pPr>
              <w:numPr>
                <w:ilvl w:val="0"/>
                <w:numId w:val="2"/>
              </w:numPr>
              <w:spacing w:line="56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部门整体支出绩效情况</w:t>
            </w:r>
          </w:p>
          <w:p>
            <w:pPr>
              <w:widowControl/>
              <w:spacing w:line="540" w:lineRule="exact"/>
              <w:ind w:firstLine="643" w:firstLineChars="200"/>
              <w:jc w:val="left"/>
              <w:rPr>
                <w:rFonts w:ascii="仿宋_GB2312" w:hAnsi="仿宋_GB2312" w:eastAsia="仿宋_GB2312" w:cs="仿宋_GB2312"/>
                <w:sz w:val="32"/>
                <w:szCs w:val="32"/>
              </w:rPr>
            </w:pPr>
            <w:r>
              <w:rPr>
                <w:rFonts w:hint="eastAsia" w:ascii="楷体" w:hAnsi="楷体" w:eastAsia="楷体" w:cs="楷体"/>
                <w:b/>
                <w:bCs/>
                <w:sz w:val="32"/>
                <w:szCs w:val="32"/>
              </w:rPr>
              <w:t>1.培育乡村振兴新动能，建设“特色”治河。</w:t>
            </w:r>
            <w:r>
              <w:rPr>
                <w:rFonts w:hint="eastAsia" w:ascii="仿宋_GB2312" w:hAnsi="仿宋_GB2312" w:eastAsia="仿宋_GB2312" w:cs="仿宋_GB2312"/>
                <w:b/>
                <w:bCs/>
                <w:sz w:val="32"/>
                <w:szCs w:val="32"/>
              </w:rPr>
              <w:t>一是推行“党建+诚信金融”。</w:t>
            </w:r>
            <w:r>
              <w:rPr>
                <w:rFonts w:hint="eastAsia" w:ascii="仿宋_GB2312" w:hAnsi="仿宋_GB2312" w:eastAsia="仿宋_GB2312" w:cs="仿宋_GB2312"/>
                <w:sz w:val="32"/>
                <w:szCs w:val="32"/>
              </w:rPr>
              <w:t>成为全县首个整镇推进的乡镇。</w:t>
            </w:r>
            <w:r>
              <w:rPr>
                <w:rFonts w:hint="eastAsia" w:ascii="仿宋_GB2312" w:hAnsi="仿宋_GB2312" w:eastAsia="仿宋_GB2312" w:cs="仿宋_GB2312"/>
                <w:b/>
                <w:bCs/>
                <w:sz w:val="32"/>
                <w:szCs w:val="32"/>
              </w:rPr>
              <w:t>二是发展特色农业。</w:t>
            </w:r>
            <w:r>
              <w:rPr>
                <w:rFonts w:hint="eastAsia" w:ascii="仿宋_GB2312" w:hAnsi="仿宋_GB2312" w:eastAsia="仿宋_GB2312" w:cs="仿宋_GB2312"/>
                <w:sz w:val="32"/>
                <w:szCs w:val="32"/>
              </w:rPr>
              <w:t>保证了4.3万亩的粮食生产“红线”；深挖“八大农业产业板块”的集体经济潜力，进一步扩大了“潘家大辣椒”等农产品品牌的影响力。</w:t>
            </w:r>
            <w:r>
              <w:rPr>
                <w:rFonts w:hint="eastAsia" w:ascii="仿宋_GB2312" w:hAnsi="仿宋_GB2312" w:eastAsia="仿宋_GB2312" w:cs="仿宋_GB2312"/>
                <w:b/>
                <w:bCs/>
                <w:sz w:val="32"/>
                <w:szCs w:val="32"/>
              </w:rPr>
              <w:t>三是聚力乡村农旅。</w:t>
            </w:r>
            <w:r>
              <w:rPr>
                <w:rFonts w:hint="eastAsia" w:ascii="仿宋_GB2312" w:hAnsi="仿宋_GB2312" w:eastAsia="仿宋_GB2312" w:cs="仿宋_GB2312"/>
                <w:sz w:val="32"/>
                <w:szCs w:val="32"/>
              </w:rPr>
              <w:t>在黄蓬村幸福路打造了210亩的“开心菜园”。</w:t>
            </w:r>
          </w:p>
          <w:p>
            <w:pPr>
              <w:spacing w:line="540" w:lineRule="exact"/>
              <w:ind w:firstLine="643" w:firstLineChars="200"/>
              <w:rPr>
                <w:rFonts w:ascii="仿宋_GB2312" w:hAnsi="仿宋_GB2312" w:eastAsia="仿宋_GB2312" w:cs="仿宋_GB2312"/>
                <w:sz w:val="32"/>
                <w:szCs w:val="32"/>
              </w:rPr>
            </w:pPr>
            <w:r>
              <w:rPr>
                <w:rFonts w:hint="eastAsia" w:ascii="楷体" w:hAnsi="楷体" w:eastAsia="楷体" w:cs="楷体"/>
                <w:b/>
                <w:bCs/>
                <w:sz w:val="32"/>
                <w:szCs w:val="32"/>
              </w:rPr>
              <w:t>2.推进绿色发展新格局，建设“美丽”治河。</w:t>
            </w:r>
            <w:r>
              <w:rPr>
                <w:rFonts w:hint="eastAsia" w:ascii="仿宋_GB2312" w:hAnsi="仿宋_GB2312" w:eastAsia="仿宋_GB2312" w:cs="仿宋_GB2312"/>
                <w:b/>
                <w:bCs/>
                <w:sz w:val="32"/>
                <w:szCs w:val="32"/>
              </w:rPr>
              <w:t>一是</w:t>
            </w:r>
            <w:r>
              <w:rPr>
                <w:rFonts w:hint="eastAsia" w:ascii="仿宋_GB2312" w:hAnsi="仿宋_GB2312" w:eastAsia="仿宋_GB2312" w:cs="仿宋_GB2312"/>
                <w:b/>
                <w:bCs/>
                <w:color w:val="000000"/>
                <w:spacing w:val="-2"/>
                <w:sz w:val="32"/>
                <w:szCs w:val="32"/>
              </w:rPr>
              <w:t>人居环境亮“新颜”</w:t>
            </w:r>
            <w:r>
              <w:rPr>
                <w:rFonts w:hint="eastAsia" w:ascii="楷体" w:hAnsi="楷体" w:eastAsia="楷体"/>
                <w:b/>
                <w:bCs/>
                <w:spacing w:val="-2"/>
                <w:sz w:val="32"/>
                <w:szCs w:val="32"/>
              </w:rPr>
              <w:t>。</w:t>
            </w:r>
            <w:r>
              <w:rPr>
                <w:rFonts w:hint="eastAsia" w:ascii="仿宋_GB2312" w:hAnsi="仿宋" w:eastAsia="仿宋_GB2312" w:cs="仿宋"/>
                <w:sz w:val="32"/>
                <w:szCs w:val="32"/>
              </w:rPr>
              <w:t>坚持</w:t>
            </w:r>
            <w:r>
              <w:rPr>
                <w:rFonts w:hint="eastAsia" w:ascii="仿宋_GB2312" w:hAnsi="仿宋_GB2312" w:eastAsia="仿宋_GB2312" w:cs="仿宋_GB2312"/>
                <w:sz w:val="32"/>
                <w:szCs w:val="32"/>
              </w:rPr>
              <w:t>人居环境整治“网格化”管理、“林、路、渠”一体化管护模式，对村（社区）实行以奖代投</w:t>
            </w:r>
            <w:r>
              <w:rPr>
                <w:rFonts w:hint="eastAsia" w:ascii="仿宋_GB2312" w:hAnsi="仿宋_GB2312" w:eastAsia="仿宋_GB2312" w:cs="仿宋_GB2312"/>
                <w:color w:val="000000" w:themeColor="text1"/>
                <w:sz w:val="32"/>
                <w:szCs w:val="32"/>
              </w:rPr>
              <w:t>70</w:t>
            </w:r>
            <w:r>
              <w:rPr>
                <w:rFonts w:hint="eastAsia" w:ascii="仿宋_GB2312" w:hAnsi="仿宋_GB2312" w:eastAsia="仿宋_GB2312" w:cs="仿宋_GB2312"/>
                <w:sz w:val="32"/>
                <w:szCs w:val="32"/>
              </w:rPr>
              <w:t>多万元；拆除垃圾池、垃圾围</w:t>
            </w:r>
            <w:r>
              <w:rPr>
                <w:rFonts w:hint="eastAsia" w:ascii="仿宋_GB2312" w:hAnsi="仿宋_GB2312" w:eastAsia="仿宋_GB2312" w:cs="仿宋_GB2312"/>
                <w:color w:val="000000" w:themeColor="text1"/>
                <w:sz w:val="32"/>
                <w:szCs w:val="32"/>
              </w:rPr>
              <w:t>6147个，投入近50万元新建垃圾分类亭8个，设置</w:t>
            </w:r>
            <w:r>
              <w:rPr>
                <w:rFonts w:ascii="仿宋_GB2312" w:hAnsi="仿宋_GB2312" w:eastAsia="仿宋_GB2312" w:cs="仿宋_GB2312"/>
                <w:color w:val="000000" w:themeColor="text1"/>
                <w:sz w:val="32"/>
                <w:szCs w:val="32"/>
              </w:rPr>
              <w:t>分类垃圾桶</w:t>
            </w:r>
            <w:r>
              <w:rPr>
                <w:rFonts w:hint="eastAsia" w:ascii="仿宋_GB2312" w:hAnsi="仿宋_GB2312" w:eastAsia="仿宋_GB2312" w:cs="仿宋_GB2312"/>
                <w:color w:val="000000" w:themeColor="text1"/>
                <w:sz w:val="32"/>
                <w:szCs w:val="32"/>
              </w:rPr>
              <w:t>52</w:t>
            </w:r>
            <w:r>
              <w:rPr>
                <w:rFonts w:ascii="仿宋_GB2312" w:hAnsi="仿宋_GB2312" w:eastAsia="仿宋_GB2312" w:cs="仿宋_GB2312"/>
                <w:color w:val="000000" w:themeColor="text1"/>
                <w:sz w:val="32"/>
                <w:szCs w:val="32"/>
              </w:rPr>
              <w:t>00个</w:t>
            </w:r>
            <w:r>
              <w:rPr>
                <w:rFonts w:hint="eastAsia" w:ascii="仿宋_GB2312" w:hAnsi="仿宋_GB2312" w:eastAsia="仿宋_GB2312" w:cs="仿宋_GB2312"/>
                <w:sz w:val="32"/>
                <w:szCs w:val="32"/>
              </w:rPr>
              <w:t>；</w:t>
            </w:r>
            <w:r>
              <w:rPr>
                <w:rFonts w:hint="eastAsia" w:ascii="仿宋_GB2312" w:hAnsi="仿宋_GB2312" w:eastAsia="仿宋_GB2312" w:cs="仿宋_GB2312"/>
                <w:spacing w:val="-2"/>
                <w:sz w:val="32"/>
                <w:szCs w:val="32"/>
              </w:rPr>
              <w:t>完成绿化造林216亩，</w:t>
            </w:r>
            <w:r>
              <w:rPr>
                <w:rFonts w:hint="eastAsia" w:ascii="仿宋_GB2312" w:hAnsi="仿宋_GB2312" w:eastAsia="仿宋_GB2312" w:cs="仿宋_GB2312"/>
                <w:sz w:val="32"/>
                <w:szCs w:val="32"/>
              </w:rPr>
              <w:t>群众环保意识普遍提升，全镇人居环境面貌进一步改观。</w:t>
            </w:r>
            <w:r>
              <w:rPr>
                <w:rFonts w:hint="eastAsia" w:ascii="仿宋_GB2312" w:hAnsi="仿宋_GB2312" w:eastAsia="仿宋_GB2312" w:cs="仿宋_GB2312"/>
                <w:b/>
                <w:bCs/>
                <w:spacing w:val="-2"/>
                <w:sz w:val="32"/>
                <w:szCs w:val="32"/>
              </w:rPr>
              <w:t>二是“厕所革命”见成效。</w:t>
            </w:r>
            <w:r>
              <w:rPr>
                <w:rFonts w:hint="eastAsia" w:ascii="仿宋_GB2312" w:hAnsi="仿宋_GB2312" w:eastAsia="仿宋_GB2312" w:cs="仿宋_GB2312"/>
                <w:sz w:val="32"/>
                <w:szCs w:val="32"/>
              </w:rPr>
              <w:t>对13年以来的问题厕所进行摸底整改；新建化粪池300口、严家河公厕1个，获得市、县一致好评。</w:t>
            </w:r>
            <w:r>
              <w:rPr>
                <w:rFonts w:hint="eastAsia" w:ascii="仿宋_GB2312" w:hAnsi="仿宋_GB2312" w:eastAsia="仿宋_GB2312" w:cs="仿宋_GB2312"/>
                <w:b/>
                <w:bCs/>
                <w:sz w:val="32"/>
                <w:szCs w:val="32"/>
              </w:rPr>
              <w:t>三是“河长制”工作树“标杆”。</w:t>
            </w:r>
            <w:r>
              <w:rPr>
                <w:rFonts w:hint="eastAsia" w:ascii="仿宋_GB2312" w:hAnsi="仿宋_GB2312" w:eastAsia="仿宋_GB2312" w:cs="仿宋_GB2312"/>
                <w:sz w:val="32"/>
                <w:szCs w:val="32"/>
              </w:rPr>
              <w:t>全面推进小微水体治理，重点打造了潘华渠、湘中干渠2条样板渠；开展集中执法行动7次，共收缴渔网、地笼等违法渔具200多件，拆除沿堤钢架棚260平方、违章砖混结构建筑26多个平方，切实发挥好了镇村及民间河长“巡查、督办、销号”的职能。</w:t>
            </w:r>
          </w:p>
          <w:p>
            <w:pPr>
              <w:spacing w:line="540" w:lineRule="exact"/>
              <w:ind w:firstLine="643" w:firstLineChars="200"/>
              <w:rPr>
                <w:rFonts w:ascii="仿宋_GB2312" w:hAnsi="仿宋" w:eastAsia="仿宋_GB2312" w:cs="仿宋"/>
                <w:sz w:val="32"/>
                <w:szCs w:val="32"/>
              </w:rPr>
            </w:pPr>
            <w:r>
              <w:rPr>
                <w:rFonts w:hint="eastAsia" w:ascii="楷体" w:hAnsi="楷体" w:eastAsia="楷体" w:cs="楷体"/>
                <w:b/>
                <w:bCs/>
                <w:sz w:val="32"/>
                <w:szCs w:val="32"/>
              </w:rPr>
              <w:t>3.构建基层治理新体系，建设“平安”治河。</w:t>
            </w:r>
            <w:r>
              <w:rPr>
                <w:rFonts w:hint="eastAsia" w:ascii="仿宋_GB2312" w:hAnsi="楷体" w:eastAsia="仿宋_GB2312" w:cs="楷体"/>
                <w:b/>
                <w:bCs/>
                <w:sz w:val="32"/>
                <w:szCs w:val="32"/>
              </w:rPr>
              <w:t>疫情防控方面，</w:t>
            </w:r>
            <w:r>
              <w:rPr>
                <w:rFonts w:hint="eastAsia" w:ascii="仿宋_GB2312" w:hAnsi="仿宋" w:eastAsia="仿宋_GB2312" w:cs="仿宋"/>
                <w:sz w:val="32"/>
                <w:szCs w:val="32"/>
              </w:rPr>
              <w:t>全年累计接种疫苗37033人，排名全县第一；摸排风险地区返乡人员125人，均按要求严格管控到位，确保了镇域群众的生命安全。</w:t>
            </w:r>
            <w:r>
              <w:rPr>
                <w:rFonts w:hint="eastAsia" w:ascii="仿宋_GB2312" w:hAnsi="仿宋_GB2312" w:eastAsia="仿宋_GB2312" w:cs="仿宋_GB2312"/>
                <w:b/>
                <w:bCs/>
                <w:sz w:val="32"/>
                <w:szCs w:val="32"/>
                <w:shd w:val="clear" w:color="auto" w:fill="FFFFFF"/>
              </w:rPr>
              <w:t>防汛保安方面，</w:t>
            </w:r>
            <w:r>
              <w:rPr>
                <w:rFonts w:hint="eastAsia" w:ascii="仿宋_GB2312" w:hAnsi="仿宋" w:eastAsia="仿宋_GB2312"/>
                <w:sz w:val="32"/>
                <w:szCs w:val="32"/>
              </w:rPr>
              <w:t>重新调整营连防守堤段，设置了规范统一的责任牌，新建登艮闸、治河泵站砂石围建设，大堤防守能力大大增强。</w:t>
            </w:r>
            <w:r>
              <w:rPr>
                <w:rFonts w:hint="eastAsia" w:ascii="仿宋_GB2312" w:hAnsi="楷体" w:eastAsia="仿宋_GB2312" w:cs="楷体"/>
                <w:b/>
                <w:bCs/>
                <w:sz w:val="32"/>
                <w:szCs w:val="32"/>
              </w:rPr>
              <w:t>安全生产方面，</w:t>
            </w:r>
            <w:r>
              <w:rPr>
                <w:rFonts w:hint="eastAsia" w:ascii="仿宋_GB2312" w:hAnsi="仿宋" w:eastAsia="仿宋_GB2312" w:cs="仿宋"/>
                <w:sz w:val="32"/>
                <w:szCs w:val="32"/>
              </w:rPr>
              <w:t>打击违规经营鞭炮门店5家，收缴烟花鞭炮210件；排查安全隐患102处，其中重大安全隐患13处，全年无一起安生产生事故发生。</w:t>
            </w:r>
            <w:r>
              <w:rPr>
                <w:rFonts w:hint="eastAsia" w:ascii="仿宋_GB2312" w:hAnsi="楷体" w:eastAsia="仿宋_GB2312" w:cs="楷体"/>
                <w:b/>
                <w:bCs/>
                <w:sz w:val="32"/>
                <w:szCs w:val="32"/>
              </w:rPr>
              <w:t>信访维稳方面，</w:t>
            </w:r>
            <w:r>
              <w:rPr>
                <w:rFonts w:hint="eastAsia" w:ascii="仿宋_GB2312" w:hAnsi="楷体" w:eastAsia="仿宋_GB2312" w:cs="楷体"/>
                <w:sz w:val="32"/>
                <w:szCs w:val="32"/>
              </w:rPr>
              <w:t>受理网信14起、12345热线194件、市长热线3个，办结率、满意度均为100%，全年未出现</w:t>
            </w:r>
            <w:r>
              <w:rPr>
                <w:rFonts w:hint="eastAsia" w:ascii="仿宋_GB2312" w:hAnsi="仿宋" w:eastAsia="仿宋_GB2312" w:cs="仿宋"/>
                <w:sz w:val="32"/>
                <w:szCs w:val="32"/>
              </w:rPr>
              <w:t>一例出县进京非访事件。</w:t>
            </w:r>
            <w:r>
              <w:rPr>
                <w:rFonts w:hint="eastAsia" w:ascii="仿宋_GB2312" w:hAnsi="楷体" w:eastAsia="仿宋_GB2312" w:cs="楷体"/>
                <w:b/>
                <w:bCs/>
                <w:sz w:val="32"/>
                <w:szCs w:val="32"/>
              </w:rPr>
              <w:t>平安建设方面，</w:t>
            </w:r>
            <w:r>
              <w:rPr>
                <w:rFonts w:hint="eastAsia" w:ascii="仿宋_GB2312" w:hAnsi="仿宋" w:eastAsia="仿宋_GB2312" w:cs="仿宋"/>
                <w:sz w:val="32"/>
                <w:szCs w:val="32"/>
              </w:rPr>
              <w:t>处理电诈、涉黄、涉赌等犯罪人员1</w:t>
            </w:r>
            <w:r>
              <w:rPr>
                <w:rFonts w:ascii="仿宋_GB2312" w:hAnsi="仿宋" w:eastAsia="仿宋_GB2312" w:cs="仿宋"/>
                <w:sz w:val="32"/>
                <w:szCs w:val="32"/>
              </w:rPr>
              <w:t>6</w:t>
            </w:r>
            <w:r>
              <w:rPr>
                <w:rFonts w:hint="eastAsia" w:ascii="仿宋_GB2312" w:hAnsi="仿宋" w:eastAsia="仿宋_GB2312" w:cs="仿宋"/>
                <w:sz w:val="32"/>
                <w:szCs w:val="32"/>
              </w:rPr>
              <w:t>人；调解各类纠纷139起，提供法律援助8次，社会大局和谐稳定。</w:t>
            </w:r>
            <w:r>
              <w:rPr>
                <w:rFonts w:hint="eastAsia" w:ascii="仿宋_GB2312" w:hAnsi="仿宋" w:eastAsia="仿宋_GB2312" w:cs="仿宋"/>
                <w:b/>
                <w:bCs/>
                <w:sz w:val="32"/>
                <w:szCs w:val="32"/>
              </w:rPr>
              <w:t>武装工作方面，</w:t>
            </w:r>
            <w:r>
              <w:rPr>
                <w:rFonts w:hint="eastAsia" w:ascii="仿宋_GB2312" w:hAnsi="仿宋" w:eastAsia="仿宋_GB2312" w:cs="仿宋"/>
                <w:sz w:val="32"/>
                <w:szCs w:val="32"/>
              </w:rPr>
              <w:t>通过“四星级基层武装部”验收，武装干事尹章文代表市军分区在全省大比武中获得团体第一名的好成绩。</w:t>
            </w:r>
          </w:p>
          <w:p>
            <w:pPr>
              <w:pStyle w:val="15"/>
              <w:spacing w:before="0" w:beforeAutospacing="0" w:after="0" w:line="540" w:lineRule="exact"/>
              <w:ind w:firstLine="643"/>
              <w:rPr>
                <w:rFonts w:ascii="仿宋_GB2312" w:hAnsi="仿宋" w:cs="仿宋"/>
                <w:color w:val="0000FF"/>
              </w:rPr>
            </w:pPr>
            <w:r>
              <w:rPr>
                <w:rFonts w:hint="eastAsia" w:ascii="楷体" w:hAnsi="楷体" w:eastAsia="楷体" w:cs="楷体"/>
                <w:b/>
                <w:bCs/>
              </w:rPr>
              <w:t>4.提高民生保障新能力，建设“幸福”治河。</w:t>
            </w:r>
            <w:r>
              <w:rPr>
                <w:rFonts w:hint="eastAsia" w:ascii="仿宋_GB2312" w:hAnsi="仿宋" w:cs="仿宋"/>
                <w:b/>
                <w:bCs/>
              </w:rPr>
              <w:t>一是大力争取项目。</w:t>
            </w:r>
            <w:r>
              <w:rPr>
                <w:rFonts w:hint="eastAsia" w:ascii="仿宋_GB2312" w:hAnsi="仿宋" w:cs="仿宋"/>
              </w:rPr>
              <w:t>全年争取高标准农田建设、中型灌区节水配套建设、涝区治理、华容河综合治理、安全区二期建设、卫生院应急接诊点建设等7个项目1.721亿元；同时积极招商引资，</w:t>
            </w:r>
            <w:r>
              <w:rPr>
                <w:rFonts w:hint="eastAsia" w:ascii="仿宋_GB2312" w:hAnsi="仿宋" w:cs="仿宋"/>
                <w:color w:val="000000" w:themeColor="text1"/>
              </w:rPr>
              <w:t>洽谈了1家公司即将落户杨家桥工业园，</w:t>
            </w:r>
            <w:r>
              <w:rPr>
                <w:rFonts w:hint="eastAsia" w:ascii="仿宋_GB2312" w:hAnsi="仿宋" w:cs="仿宋"/>
              </w:rPr>
              <w:t>预计可年创产值5000万、年利税200万，提供就业岗位100多个。</w:t>
            </w:r>
            <w:r>
              <w:rPr>
                <w:rFonts w:hint="eastAsia" w:ascii="仿宋_GB2312" w:hAnsi="仿宋" w:cs="仿宋"/>
                <w:b/>
                <w:bCs/>
              </w:rPr>
              <w:t>二是抓实民生保障。</w:t>
            </w:r>
            <w:r>
              <w:rPr>
                <w:rFonts w:hint="eastAsia" w:ascii="仿宋_GB2312" w:hAnsi="仿宋" w:cs="仿宋"/>
              </w:rPr>
              <w:t>医保收缴率稳居全县前列；</w:t>
            </w:r>
            <w:r>
              <w:rPr>
                <w:rFonts w:hint="eastAsia" w:ascii="仿宋_GB2312" w:hAnsi="仿宋" w:cs="仿宋"/>
                <w:color w:val="000000" w:themeColor="text1"/>
              </w:rPr>
              <w:t>完成社保待遇核查追缴任务96926元清零；</w:t>
            </w:r>
            <w:r>
              <w:rPr>
                <w:rFonts w:hint="eastAsia" w:ascii="仿宋_GB2312" w:hAnsi="仿宋" w:cs="仿宋"/>
              </w:rPr>
              <w:t>创建了2021年度省级示范型乡镇退役军人服务站、紫南村市级示范型村（社区）退役军人服务站。</w:t>
            </w:r>
            <w:r>
              <w:rPr>
                <w:rFonts w:hint="eastAsia" w:ascii="仿宋_GB2312" w:hAnsi="仿宋" w:cs="仿宋"/>
                <w:b/>
                <w:bCs/>
              </w:rPr>
              <w:t>三是重视教育质量。</w:t>
            </w:r>
            <w:r>
              <w:rPr>
                <w:rFonts w:hint="eastAsia" w:ascii="仿宋_GB2312" w:hAnsi="仿宋" w:cs="仿宋"/>
              </w:rPr>
              <w:t>治河中学被评为全县“中考质量先进单位”，“职校招生先进单位”，我镇被评为全县“教育工作先进单位”；此外，充分利用乡友资源，为我镇教育基金分会募集</w:t>
            </w:r>
            <w:r>
              <w:rPr>
                <w:rFonts w:hint="eastAsia" w:ascii="仿宋_GB2312" w:hAnsi="仿宋" w:cs="仿宋"/>
                <w:color w:val="000000" w:themeColor="text1"/>
              </w:rPr>
              <w:t>资金60余万元，其中网络募捐今年新增12万元，居乡镇第一。</w:t>
            </w:r>
          </w:p>
          <w:p>
            <w:pPr>
              <w:spacing w:line="540" w:lineRule="exact"/>
              <w:ind w:firstLine="643" w:firstLineChars="200"/>
              <w:rPr>
                <w:rFonts w:ascii="仿宋_GB2312" w:hAnsi="仿宋_GB2312" w:eastAsia="仿宋_GB2312" w:cs="仿宋_GB2312"/>
                <w:sz w:val="32"/>
                <w:szCs w:val="32"/>
              </w:rPr>
            </w:pPr>
            <w:r>
              <w:rPr>
                <w:rFonts w:hint="eastAsia" w:ascii="楷体" w:hAnsi="楷体" w:eastAsia="楷体" w:cs="楷体"/>
                <w:b/>
                <w:bCs/>
                <w:sz w:val="32"/>
                <w:szCs w:val="32"/>
              </w:rPr>
              <w:t>5.彰显组织队伍新气象，建设“廉洁”治河。</w:t>
            </w:r>
            <w:r>
              <w:rPr>
                <w:rFonts w:hint="eastAsia" w:ascii="仿宋_GB2312" w:hAnsi="仿宋_GB2312" w:eastAsia="仿宋_GB2312" w:cs="仿宋_GB2312"/>
                <w:sz w:val="32"/>
                <w:szCs w:val="32"/>
              </w:rPr>
              <w:t>擦亮“四明确、四带头”党建工作品牌。</w:t>
            </w:r>
            <w:r>
              <w:rPr>
                <w:rFonts w:hint="eastAsia" w:ascii="仿宋_GB2312" w:hAnsi="仿宋_GB2312" w:eastAsia="仿宋_GB2312" w:cs="仿宋_GB2312"/>
                <w:b/>
                <w:bCs/>
                <w:sz w:val="32"/>
                <w:szCs w:val="32"/>
              </w:rPr>
              <w:t>一是优化基层组织队伍。</w:t>
            </w:r>
            <w:r>
              <w:rPr>
                <w:rFonts w:hint="eastAsia" w:ascii="仿宋_GB2312" w:hAnsi="仿宋_GB2312" w:eastAsia="仿宋_GB2312" w:cs="仿宋_GB2312"/>
                <w:sz w:val="32"/>
                <w:szCs w:val="32"/>
              </w:rPr>
              <w:t>顺利完成镇、村换届工作</w:t>
            </w:r>
            <w:r>
              <w:rPr>
                <w:rFonts w:hint="eastAsia" w:ascii="仿宋_GB2312" w:hAnsi="仿宋_GB2312" w:eastAsia="仿宋_GB2312" w:cs="仿宋_GB2312"/>
                <w:color w:val="000000" w:themeColor="text1"/>
                <w:sz w:val="32"/>
                <w:szCs w:val="32"/>
              </w:rPr>
              <w:t>；</w:t>
            </w:r>
            <w:r>
              <w:rPr>
                <w:rFonts w:hint="eastAsia" w:ascii="仿宋_GB2312" w:hAnsi="仿宋_GB2312" w:eastAsia="仿宋_GB2312" w:cs="仿宋_GB2312"/>
                <w:sz w:val="32"/>
                <w:szCs w:val="32"/>
              </w:rPr>
              <w:t>抓好抓常党员干部队伍党史学习教育，注重“内强素质、外强精神”，“一门式”办件量居全县前列。</w:t>
            </w:r>
            <w:r>
              <w:rPr>
                <w:rFonts w:hint="eastAsia" w:ascii="仿宋_GB2312" w:eastAsia="仿宋_GB2312" w:cs="仿宋_GB2312"/>
                <w:b/>
                <w:bCs/>
                <w:sz w:val="32"/>
                <w:szCs w:val="32"/>
              </w:rPr>
              <w:t>二是</w:t>
            </w:r>
            <w:r>
              <w:rPr>
                <w:rFonts w:hint="eastAsia" w:ascii="仿宋_GB2312" w:hAnsi="仿宋_GB2312" w:eastAsia="仿宋_GB2312" w:cs="仿宋_GB2312"/>
                <w:b/>
                <w:bCs/>
                <w:sz w:val="32"/>
                <w:szCs w:val="32"/>
              </w:rPr>
              <w:t>发挥基层自治作用。</w:t>
            </w:r>
            <w:r>
              <w:rPr>
                <w:rFonts w:hint="eastAsia" w:ascii="仿宋_GB2312" w:hAnsi="仿宋_GB2312" w:eastAsia="仿宋_GB2312" w:cs="仿宋_GB2312"/>
                <w:sz w:val="32"/>
                <w:szCs w:val="32"/>
              </w:rPr>
              <w:t>以党建为引领，村规民约约束作用明显，有威望的群众、党员骨干、“五老一新”参与村内事务、建设家园的积极性和主动性大幅提升。</w:t>
            </w:r>
            <w:r>
              <w:rPr>
                <w:rFonts w:hint="eastAsia" w:ascii="仿宋_GB2312" w:hAnsi="仿宋_GB2312" w:eastAsia="仿宋_GB2312" w:cs="仿宋_GB2312"/>
                <w:b/>
                <w:bCs/>
                <w:sz w:val="32"/>
                <w:szCs w:val="32"/>
              </w:rPr>
              <w:t>三是强化纪律作风建设。</w:t>
            </w:r>
            <w:r>
              <w:rPr>
                <w:rFonts w:hint="eastAsia" w:ascii="仿宋_GB2312" w:eastAsia="仿宋_GB2312" w:cs="仿宋_GB2312"/>
                <w:sz w:val="32"/>
                <w:szCs w:val="32"/>
              </w:rPr>
              <w:t>全年谈话58人；群情通管理工作</w:t>
            </w:r>
            <w:r>
              <w:rPr>
                <w:rFonts w:hint="eastAsia" w:ascii="仿宋_GB2312" w:hAnsi="仿宋_GB2312" w:eastAsia="仿宋_GB2312" w:cs="仿宋_GB2312"/>
                <w:sz w:val="32"/>
                <w:szCs w:val="32"/>
              </w:rPr>
              <w:t>居全市前列，稳居全县乡镇第一。</w:t>
            </w:r>
          </w:p>
          <w:p>
            <w:pPr>
              <w:pStyle w:val="2"/>
              <w:ind w:firstLine="320"/>
              <w:rPr>
                <w:rFonts w:ascii="仿宋_GB2312" w:eastAsia="仿宋_GB2312" w:cs="仿宋_GB2312"/>
                <w:sz w:val="32"/>
                <w:szCs w:val="32"/>
              </w:rPr>
            </w:pPr>
            <w:r>
              <w:rPr>
                <w:rFonts w:hint="eastAsia" w:ascii="仿宋_GB2312" w:eastAsia="仿宋_GB2312" w:cs="仿宋_GB2312"/>
                <w:sz w:val="32"/>
                <w:szCs w:val="32"/>
              </w:rPr>
              <w:t xml:space="preserve"> 五、存在的主要问题</w:t>
            </w:r>
          </w:p>
          <w:p>
            <w:pPr>
              <w:pStyle w:val="10"/>
              <w:widowControl/>
              <w:shd w:val="clear" w:color="auto" w:fill="FFFFFF"/>
              <w:spacing w:beforeAutospacing="0" w:afterAutospacing="0" w:line="33" w:lineRule="atLeast"/>
              <w:ind w:firstLine="420"/>
              <w:jc w:val="both"/>
              <w:rPr>
                <w:rFonts w:ascii="仿宋_GB2312" w:eastAsia="仿宋_GB2312" w:cs="仿宋_GB2312"/>
                <w:kern w:val="2"/>
                <w:sz w:val="32"/>
                <w:szCs w:val="32"/>
              </w:rPr>
            </w:pPr>
            <w:r>
              <w:rPr>
                <w:rFonts w:hint="eastAsia" w:ascii="仿宋_GB2312" w:eastAsia="仿宋_GB2312" w:cs="仿宋_GB2312"/>
                <w:kern w:val="2"/>
                <w:sz w:val="32"/>
                <w:szCs w:val="32"/>
              </w:rPr>
              <w:t>1、预算编制工作有待细化。预算编制不够明确和细化，预算编制的合理性需要提高，预算执行力度还要进一步加强。</w:t>
            </w:r>
          </w:p>
          <w:p>
            <w:pPr>
              <w:pStyle w:val="10"/>
              <w:widowControl/>
              <w:shd w:val="clear" w:color="auto" w:fill="FFFFFF"/>
              <w:spacing w:beforeAutospacing="0" w:afterAutospacing="0" w:line="33" w:lineRule="atLeast"/>
              <w:ind w:firstLine="420"/>
              <w:jc w:val="both"/>
              <w:rPr>
                <w:rFonts w:ascii="仿宋_GB2312" w:eastAsia="仿宋_GB2312" w:cs="仿宋_GB2312"/>
                <w:kern w:val="2"/>
                <w:sz w:val="32"/>
                <w:szCs w:val="32"/>
              </w:rPr>
            </w:pPr>
            <w:r>
              <w:rPr>
                <w:rFonts w:hint="eastAsia" w:ascii="仿宋_GB2312" w:eastAsia="仿宋_GB2312" w:cs="仿宋_GB2312"/>
                <w:kern w:val="2"/>
                <w:sz w:val="32"/>
                <w:szCs w:val="32"/>
              </w:rPr>
              <w:t>2、公用经费控制有一定难度，基本为刚性支出。</w:t>
            </w:r>
          </w:p>
          <w:p>
            <w:pPr>
              <w:pStyle w:val="10"/>
              <w:widowControl/>
              <w:shd w:val="clear" w:color="auto" w:fill="FFFFFF"/>
              <w:spacing w:beforeAutospacing="0" w:afterAutospacing="0" w:line="33" w:lineRule="atLeast"/>
              <w:ind w:firstLine="420"/>
              <w:jc w:val="both"/>
              <w:rPr>
                <w:rFonts w:ascii="仿宋_GB2312" w:eastAsia="仿宋_GB2312" w:cs="仿宋_GB2312"/>
                <w:kern w:val="2"/>
                <w:sz w:val="32"/>
                <w:szCs w:val="32"/>
              </w:rPr>
            </w:pPr>
            <w:r>
              <w:rPr>
                <w:rFonts w:hint="eastAsia" w:ascii="仿宋_GB2312" w:eastAsia="仿宋_GB2312" w:cs="仿宋_GB2312"/>
                <w:kern w:val="2"/>
                <w:sz w:val="32"/>
                <w:szCs w:val="32"/>
              </w:rPr>
              <w:t>3、财务管理和财务规范有待进一步加强。在实施内部监督制度和内部控制制度时，还未能完全达到新《会计法》规定要求。需要进一步修订财务管理制度和各项财务规章制度，加强财务监督。</w:t>
            </w:r>
          </w:p>
          <w:p>
            <w:pPr>
              <w:spacing w:line="560" w:lineRule="exact"/>
              <w:ind w:firstLine="480" w:firstLineChars="150"/>
              <w:rPr>
                <w:rFonts w:ascii="仿宋_GB2312" w:eastAsia="仿宋_GB2312" w:cs="仿宋_GB2312"/>
                <w:sz w:val="32"/>
                <w:szCs w:val="32"/>
              </w:rPr>
            </w:pPr>
            <w:r>
              <w:rPr>
                <w:rFonts w:hint="eastAsia" w:ascii="仿宋_GB2312" w:eastAsia="仿宋_GB2312" w:cs="仿宋_GB2312"/>
                <w:sz w:val="32"/>
                <w:szCs w:val="32"/>
              </w:rPr>
              <w:t>六、改进措施和有关建议</w:t>
            </w:r>
          </w:p>
          <w:p>
            <w:pPr>
              <w:pStyle w:val="10"/>
              <w:widowControl/>
              <w:shd w:val="clear" w:color="auto" w:fill="FFFFFF"/>
              <w:spacing w:beforeAutospacing="0" w:afterAutospacing="0" w:line="33" w:lineRule="atLeast"/>
              <w:ind w:firstLine="420"/>
              <w:jc w:val="both"/>
              <w:rPr>
                <w:rFonts w:ascii="仿宋_GB2312" w:eastAsia="仿宋_GB2312" w:cs="仿宋_GB2312"/>
                <w:kern w:val="2"/>
                <w:sz w:val="32"/>
                <w:szCs w:val="32"/>
              </w:rPr>
            </w:pPr>
            <w:r>
              <w:rPr>
                <w:rFonts w:hint="eastAsia" w:ascii="仿宋_GB2312" w:eastAsia="仿宋_GB2312" w:cs="仿宋_GB2312"/>
                <w:kern w:val="2"/>
                <w:sz w:val="32"/>
                <w:szCs w:val="32"/>
              </w:rPr>
              <w:t>针对上述存在的问题及对外整体支出管理工作的需要，拟实施的改进措施如下：</w:t>
            </w:r>
          </w:p>
          <w:p>
            <w:pPr>
              <w:pStyle w:val="10"/>
              <w:widowControl/>
              <w:shd w:val="clear" w:color="auto" w:fill="FFFFFF"/>
              <w:spacing w:beforeAutospacing="0" w:afterAutospacing="0" w:line="33" w:lineRule="atLeast"/>
              <w:ind w:firstLine="420"/>
              <w:jc w:val="both"/>
              <w:rPr>
                <w:rFonts w:ascii="仿宋_GB2312" w:eastAsia="仿宋_GB2312" w:cs="仿宋_GB2312"/>
                <w:kern w:val="2"/>
                <w:sz w:val="32"/>
                <w:szCs w:val="32"/>
              </w:rPr>
            </w:pPr>
            <w:r>
              <w:rPr>
                <w:rFonts w:hint="eastAsia" w:ascii="仿宋_GB2312" w:eastAsia="仿宋_GB2312" w:cs="仿宋_GB2312"/>
                <w:kern w:val="2"/>
                <w:sz w:val="32"/>
                <w:szCs w:val="32"/>
              </w:rPr>
              <w:t>1、细化预算编制工作，认真做好预算的编制。进一步加强预算管理意识，严格按照预算编制的相关制度和要求进行预算编制；全面编制预算项目，优先保障固定性的、相对刚性的费用支出项目，尽量压缩变动性的、有控制空间的费用项目，进一步提高预算编制的科学性、严谨性和可控性。加强内部预算编制的审核和预算控制指标的下达。</w:t>
            </w:r>
          </w:p>
          <w:p>
            <w:pPr>
              <w:pStyle w:val="10"/>
              <w:widowControl/>
              <w:shd w:val="clear" w:color="auto" w:fill="FFFFFF"/>
              <w:spacing w:beforeAutospacing="0" w:afterAutospacing="0" w:line="33" w:lineRule="atLeast"/>
              <w:ind w:firstLine="420"/>
              <w:jc w:val="both"/>
              <w:rPr>
                <w:rFonts w:ascii="仿宋_GB2312" w:eastAsia="仿宋_GB2312" w:cs="仿宋_GB2312"/>
                <w:kern w:val="2"/>
                <w:sz w:val="32"/>
                <w:szCs w:val="32"/>
              </w:rPr>
            </w:pPr>
            <w:r>
              <w:rPr>
                <w:rFonts w:hint="eastAsia" w:ascii="仿宋_GB2312" w:eastAsia="仿宋_GB2312" w:cs="仿宋_GB2312"/>
                <w:kern w:val="2"/>
                <w:sz w:val="32"/>
                <w:szCs w:val="32"/>
              </w:rPr>
              <w:t>2、加强财务管理，严格财务审核。加强单位财务管理，健全单位财务管理制度体系，规范单位财务行为。在费用报账支付时，按照预算规定的费用项目和用途进行资金使用审核、列报支付、财务核算，杜绝超支现象的发生。</w:t>
            </w:r>
          </w:p>
          <w:p>
            <w:pPr>
              <w:pStyle w:val="10"/>
              <w:widowControl/>
              <w:shd w:val="clear" w:color="auto" w:fill="FFFFFF"/>
              <w:spacing w:beforeAutospacing="0" w:afterAutospacing="0" w:line="33" w:lineRule="atLeast"/>
              <w:ind w:firstLine="420"/>
              <w:jc w:val="both"/>
              <w:rPr>
                <w:rFonts w:ascii="仿宋_GB2312" w:eastAsia="仿宋_GB2312" w:cs="仿宋_GB2312"/>
                <w:kern w:val="2"/>
                <w:sz w:val="32"/>
                <w:szCs w:val="32"/>
              </w:rPr>
            </w:pPr>
            <w:r>
              <w:rPr>
                <w:rFonts w:hint="eastAsia" w:ascii="仿宋_GB2312" w:eastAsia="仿宋_GB2312" w:cs="仿宋_GB2312"/>
                <w:kern w:val="2"/>
                <w:sz w:val="32"/>
                <w:szCs w:val="32"/>
              </w:rPr>
              <w:t>3、完善资产管理，抓好“三公”经费控制。严格编制政府采购年初预算和计划，规范各类资产的购置审批制度、资产出租出借和收入管理制度、资产采购制度、使用管理制度、资产处置和报废审批制度、资产管理岗位职责制度等，加强单位内部的资产管理工作。严格控制“三公”经费的规模和比例，把关“三公”经费支出的审核、审批，杜绝挪用和挤占其他预算资金行为；进一步细化“三公”经费的管理，合理压缩“三公”经费支出。</w:t>
            </w:r>
          </w:p>
          <w:p>
            <w:pPr>
              <w:pStyle w:val="10"/>
              <w:widowControl/>
              <w:shd w:val="clear" w:color="auto" w:fill="FFFFFF"/>
              <w:spacing w:beforeAutospacing="0" w:afterAutospacing="0" w:line="33" w:lineRule="atLeast"/>
              <w:ind w:firstLine="420"/>
              <w:jc w:val="both"/>
              <w:rPr>
                <w:rFonts w:ascii="仿宋_GB2312" w:eastAsia="仿宋_GB2312" w:cs="仿宋_GB2312"/>
                <w:kern w:val="2"/>
                <w:sz w:val="32"/>
                <w:szCs w:val="32"/>
              </w:rPr>
            </w:pPr>
            <w:r>
              <w:rPr>
                <w:rFonts w:hint="eastAsia" w:ascii="仿宋_GB2312" w:eastAsia="仿宋_GB2312" w:cs="仿宋_GB2312"/>
                <w:kern w:val="2"/>
                <w:sz w:val="32"/>
                <w:szCs w:val="32"/>
              </w:rPr>
              <w:t>4、对相关人员加强培训，特别是针对《预算法》、《行政事业单位会计制度》等学习培训，规范部门预算收支核算，切实提高部门预算收支管理水平。 </w:t>
            </w:r>
          </w:p>
          <w:p>
            <w:pPr>
              <w:pStyle w:val="10"/>
              <w:widowControl/>
              <w:shd w:val="clear" w:color="auto" w:fill="FFFFFF"/>
              <w:spacing w:beforeAutospacing="0" w:afterAutospacing="0" w:line="33" w:lineRule="atLeast"/>
              <w:jc w:val="both"/>
              <w:rPr>
                <w:rFonts w:ascii="仿宋_GB2312" w:eastAsia="仿宋_GB2312" w:cs="仿宋_GB2312"/>
                <w:kern w:val="2"/>
                <w:sz w:val="32"/>
                <w:szCs w:val="32"/>
              </w:rPr>
            </w:pPr>
          </w:p>
        </w:tc>
      </w:tr>
    </w:tbl>
    <w:p>
      <w:pPr>
        <w:spacing w:line="348" w:lineRule="auto"/>
        <w:rPr>
          <w:rFonts w:ascii="仿宋_GB2312" w:eastAsia="仿宋_GB2312" w:cs="仿宋_GB2312"/>
          <w:sz w:val="32"/>
          <w:szCs w:val="32"/>
        </w:rPr>
      </w:pPr>
    </w:p>
    <w:p>
      <w:pPr>
        <w:spacing w:beforeLines="50" w:line="760" w:lineRule="exact"/>
        <w:rPr>
          <w:rFonts w:ascii="黑体" w:hAnsi="黑体" w:eastAsia="黑体"/>
          <w:sz w:val="32"/>
          <w:szCs w:val="32"/>
        </w:rPr>
      </w:pPr>
      <w:r>
        <w:rPr>
          <w:rFonts w:hint="eastAsia" w:ascii="黑体" w:hAnsi="黑体" w:eastAsia="黑体"/>
          <w:sz w:val="32"/>
          <w:szCs w:val="32"/>
        </w:rPr>
        <w:t>附件3-1</w:t>
      </w:r>
    </w:p>
    <w:p>
      <w:pPr>
        <w:jc w:val="center"/>
        <w:rPr>
          <w:rFonts w:ascii="方正小标宋简体" w:eastAsia="方正小标宋简体"/>
          <w:sz w:val="38"/>
          <w:szCs w:val="38"/>
        </w:rPr>
      </w:pPr>
      <w:r>
        <w:rPr>
          <w:rFonts w:hint="eastAsia" w:ascii="方正小标宋简体" w:eastAsia="方正小标宋简体"/>
          <w:sz w:val="38"/>
          <w:szCs w:val="38"/>
        </w:rPr>
        <w:t>部门整体支出绩效评价评分表</w:t>
      </w:r>
    </w:p>
    <w:tbl>
      <w:tblPr>
        <w:tblStyle w:val="11"/>
        <w:tblW w:w="9894" w:type="dxa"/>
        <w:jc w:val="center"/>
        <w:tblLayout w:type="fixed"/>
        <w:tblCellMar>
          <w:top w:w="0" w:type="dxa"/>
          <w:left w:w="108" w:type="dxa"/>
          <w:bottom w:w="0" w:type="dxa"/>
          <w:right w:w="108" w:type="dxa"/>
        </w:tblCellMar>
      </w:tblPr>
      <w:tblGrid>
        <w:gridCol w:w="976"/>
        <w:gridCol w:w="939"/>
        <w:gridCol w:w="1389"/>
        <w:gridCol w:w="4171"/>
        <w:gridCol w:w="619"/>
        <w:gridCol w:w="720"/>
        <w:gridCol w:w="1080"/>
      </w:tblGrid>
      <w:tr>
        <w:tblPrEx>
          <w:tblCellMar>
            <w:top w:w="0" w:type="dxa"/>
            <w:left w:w="108" w:type="dxa"/>
            <w:bottom w:w="0" w:type="dxa"/>
            <w:right w:w="108" w:type="dxa"/>
          </w:tblCellMar>
        </w:tblPrEx>
        <w:trPr>
          <w:trHeight w:val="525" w:hRule="atLeast"/>
          <w:jc w:val="center"/>
        </w:trPr>
        <w:tc>
          <w:tcPr>
            <w:tcW w:w="9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7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1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spacing w:val="-10"/>
                <w:kern w:val="0"/>
                <w:sz w:val="18"/>
                <w:szCs w:val="18"/>
              </w:rPr>
            </w:pPr>
            <w:r>
              <w:rPr>
                <w:rFonts w:hint="eastAsia" w:ascii="仿宋_GB2312" w:hAnsi="宋体" w:eastAsia="仿宋_GB2312" w:cs="宋体"/>
                <w:b/>
                <w:bCs/>
                <w:spacing w:val="-10"/>
                <w:kern w:val="0"/>
                <w:sz w:val="18"/>
                <w:szCs w:val="18"/>
              </w:rPr>
              <w:t>扣分原因和其他说明</w:t>
            </w:r>
          </w:p>
        </w:tc>
      </w:tr>
      <w:tr>
        <w:tblPrEx>
          <w:tblCellMar>
            <w:top w:w="0" w:type="dxa"/>
            <w:left w:w="108" w:type="dxa"/>
            <w:bottom w:w="0" w:type="dxa"/>
            <w:right w:w="108" w:type="dxa"/>
          </w:tblCellMar>
        </w:tblPrEx>
        <w:trPr>
          <w:trHeight w:val="559"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投  入</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（15分）</w:t>
            </w: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预算配置</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财政供养人员</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以100%为标准。在职人员控制率</w:t>
            </w:r>
            <w:r>
              <w:rPr>
                <w:rFonts w:hint="eastAsia" w:ascii="宋体" w:hAnsi="宋体" w:cs="宋体"/>
                <w:kern w:val="0"/>
                <w:sz w:val="18"/>
                <w:szCs w:val="18"/>
              </w:rPr>
              <w:t>≦</w:t>
            </w:r>
            <w:r>
              <w:rPr>
                <w:rFonts w:hint="eastAsia" w:ascii="仿宋_GB2312" w:hAnsi="宋体" w:eastAsia="仿宋_GB2312" w:cs="宋体"/>
                <w:kern w:val="0"/>
                <w:sz w:val="18"/>
                <w:szCs w:val="18"/>
              </w:rPr>
              <w:t>100%，计5分；每超过一个百分点扣0.5分，扣完为止。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5</w:t>
            </w:r>
          </w:p>
        </w:tc>
        <w:tc>
          <w:tcPr>
            <w:tcW w:w="108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8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“三公经费”</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变动率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“三公经费”变动率</w:t>
            </w:r>
            <w:r>
              <w:rPr>
                <w:rFonts w:hint="eastAsia" w:ascii="宋体" w:hAnsi="宋体" w:cs="宋体"/>
                <w:kern w:val="0"/>
                <w:sz w:val="18"/>
                <w:szCs w:val="18"/>
              </w:rPr>
              <w:t>≦</w:t>
            </w:r>
            <w:r>
              <w:rPr>
                <w:rFonts w:hint="eastAsia" w:ascii="仿宋_GB2312" w:hAnsi="宋体" w:eastAsia="仿宋_GB2312" w:cs="宋体"/>
                <w:kern w:val="0"/>
                <w:sz w:val="18"/>
                <w:szCs w:val="18"/>
              </w:rPr>
              <w:t>0,计5分；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“三公经费”＞0，每超过一个百分点扣0.5分，扣完为止。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5</w:t>
            </w:r>
          </w:p>
        </w:tc>
        <w:tc>
          <w:tcPr>
            <w:tcW w:w="108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37"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重点支出</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安排率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重点支出安排率≥90%，计5分；80%（含）-90%，计4分；70%（含）-80%，计3分；60%（含）-70%，计2分；低于60%不得分。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5</w:t>
            </w:r>
          </w:p>
        </w:tc>
        <w:tc>
          <w:tcPr>
            <w:tcW w:w="108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76"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过  程</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（40分）</w:t>
            </w: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预算执行</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预算调整率=0，计3分；0-10%（含），计2分；10-20%（含），计1分；20-30%（含），计0.5分；大于30%不得分。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24"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支付进度</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每出现一个专项未按进度完成资金下达扣0.5分，扣完为止。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619"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资金结余</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无结余，3分；有结余，但不超过上年结转，2分；结余超过上年结转，不得分。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2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“三公经费”</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以100%为标准。三公经费控制率</w:t>
            </w:r>
            <w:r>
              <w:rPr>
                <w:rFonts w:hint="eastAsia" w:ascii="宋体" w:hAnsi="宋体" w:cs="宋体"/>
                <w:kern w:val="0"/>
                <w:sz w:val="18"/>
                <w:szCs w:val="18"/>
              </w:rPr>
              <w:t>≦</w:t>
            </w:r>
            <w:r>
              <w:rPr>
                <w:rFonts w:hint="eastAsia" w:ascii="仿宋_GB2312" w:hAnsi="宋体" w:eastAsia="仿宋_GB2312" w:cs="宋体"/>
                <w:kern w:val="0"/>
                <w:sz w:val="18"/>
                <w:szCs w:val="18"/>
              </w:rPr>
              <w:t>100%，计6分；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每超过一个百分点扣1分，扣完为止。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6</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6</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17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restart"/>
            <w:tcBorders>
              <w:top w:val="nil"/>
              <w:left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预算管理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管理制度</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①已制定或具有预算资金管理办法，内部财务管理制度、会计核算制度等管理制度，1分；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②相关管理制度合法、合规、完整，1分；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③相关管理制度得到有效执行，1分。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802"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left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资金使用</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合规性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①支出符合国家财经法规和财务管理制度规定以及有关专项资金管理办法的规定；</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②资金拨付有完整的审批程序和手续；</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③项目支出按规定经过评估论证；</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④支出符合部门预算批复的用途；</w:t>
            </w:r>
          </w:p>
          <w:p>
            <w:pPr>
              <w:widowControl/>
              <w:spacing w:line="240" w:lineRule="exact"/>
              <w:jc w:val="left"/>
              <w:rPr>
                <w:rFonts w:ascii="仿宋_GB2312" w:hAnsi="宋体" w:eastAsia="仿宋_GB2312" w:cs="宋体"/>
                <w:spacing w:val="-6"/>
                <w:kern w:val="0"/>
                <w:sz w:val="18"/>
                <w:szCs w:val="18"/>
              </w:rPr>
            </w:pPr>
            <w:r>
              <w:rPr>
                <w:rFonts w:hint="eastAsia" w:ascii="仿宋_GB2312" w:hAnsi="宋体" w:eastAsia="仿宋_GB2312" w:cs="宋体"/>
                <w:spacing w:val="-6"/>
                <w:kern w:val="0"/>
                <w:sz w:val="18"/>
                <w:szCs w:val="18"/>
              </w:rPr>
              <w:t>⑤资金使用无截留、挤占、挪用、虚列支出等情况。</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spacing w:val="-6"/>
                <w:kern w:val="0"/>
                <w:sz w:val="18"/>
                <w:szCs w:val="18"/>
              </w:rPr>
              <w:t>以上情况每出现一例不符合要求的扣1分，扣完为止。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245"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left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预决算信息公开性和完善性</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①按规定内容公开预决算信息，1分；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②按规定时限公开预决算信息，0.5分；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③基础数据信息和会计信息资料真实，0.5分；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④基础数据信息和会计信息资料完整，0.5分；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⑤基础数据信息和汇集信息资料准确，0.5分。                                            </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6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left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政府采购</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执行率</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政府采购执行率等于100%的，得3分；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每减少一个百分点，扣0.2分，扣完为止。</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3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公务卡刷卡率达70％以上的，得3分。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每减少一个百分点，扣0.2分，扣完为止。                                            </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101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（10分）</w:t>
            </w: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管理制度</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①已制定或具有资产管理制度，且相关资产管理制度合法、合规、完整，2分；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②相关资产管理制度得到有效执行，1分。                                           </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bl>
    <w:p/>
    <w:tbl>
      <w:tblPr>
        <w:tblStyle w:val="11"/>
        <w:tblW w:w="9937" w:type="dxa"/>
        <w:jc w:val="center"/>
        <w:tblLayout w:type="fixed"/>
        <w:tblCellMar>
          <w:top w:w="0" w:type="dxa"/>
          <w:left w:w="108" w:type="dxa"/>
          <w:bottom w:w="0" w:type="dxa"/>
          <w:right w:w="108" w:type="dxa"/>
        </w:tblCellMar>
      </w:tblPr>
      <w:tblGrid>
        <w:gridCol w:w="980"/>
        <w:gridCol w:w="943"/>
        <w:gridCol w:w="1395"/>
        <w:gridCol w:w="4190"/>
        <w:gridCol w:w="621"/>
        <w:gridCol w:w="723"/>
        <w:gridCol w:w="1085"/>
      </w:tblGrid>
      <w:tr>
        <w:tblPrEx>
          <w:tblCellMar>
            <w:top w:w="0" w:type="dxa"/>
            <w:left w:w="108" w:type="dxa"/>
            <w:bottom w:w="0" w:type="dxa"/>
            <w:right w:w="108" w:type="dxa"/>
          </w:tblCellMar>
        </w:tblPrEx>
        <w:trPr>
          <w:trHeight w:val="678" w:hRule="atLeast"/>
          <w:jc w:val="center"/>
        </w:trPr>
        <w:tc>
          <w:tcPr>
            <w:tcW w:w="9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9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9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2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3"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5"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spacing w:val="-12"/>
                <w:kern w:val="0"/>
                <w:sz w:val="18"/>
                <w:szCs w:val="18"/>
              </w:rPr>
            </w:pPr>
            <w:r>
              <w:rPr>
                <w:rFonts w:hint="eastAsia" w:ascii="仿宋_GB2312" w:hAnsi="宋体" w:eastAsia="仿宋_GB2312" w:cs="宋体"/>
                <w:b/>
                <w:bCs/>
                <w:spacing w:val="-12"/>
                <w:kern w:val="0"/>
                <w:sz w:val="18"/>
                <w:szCs w:val="18"/>
              </w:rPr>
              <w:t>扣分原因和其他说明</w:t>
            </w:r>
          </w:p>
        </w:tc>
      </w:tr>
      <w:tr>
        <w:tblPrEx>
          <w:tblCellMar>
            <w:top w:w="0" w:type="dxa"/>
            <w:left w:w="108" w:type="dxa"/>
            <w:bottom w:w="0" w:type="dxa"/>
            <w:right w:w="108" w:type="dxa"/>
          </w:tblCellMar>
        </w:tblPrEx>
        <w:trPr>
          <w:trHeight w:val="2216" w:hRule="atLeast"/>
          <w:jc w:val="center"/>
        </w:trPr>
        <w:tc>
          <w:tcPr>
            <w:tcW w:w="9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过  程</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（40分）</w:t>
            </w:r>
          </w:p>
        </w:tc>
        <w:tc>
          <w:tcPr>
            <w:tcW w:w="94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（10分）</w:t>
            </w:r>
          </w:p>
        </w:tc>
        <w:tc>
          <w:tcPr>
            <w:tcW w:w="139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安全性</w:t>
            </w:r>
          </w:p>
        </w:tc>
        <w:tc>
          <w:tcPr>
            <w:tcW w:w="419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①资产保存完整；</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②资产配置合理；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③资产处置规范； </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④资产账务管理合规，帐实相符；</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⑤资产有偿使用及处置收入及时足额上缴；</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以上情况每出现一例不符合有关要求的扣1分，扣完为止。</w:t>
            </w:r>
          </w:p>
        </w:tc>
        <w:tc>
          <w:tcPr>
            <w:tcW w:w="62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3"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1085"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859"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固定资产</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利用率</w:t>
            </w:r>
          </w:p>
        </w:tc>
        <w:tc>
          <w:tcPr>
            <w:tcW w:w="4190"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每低于100%一个百分点扣0.1分，扣完为止。</w:t>
            </w:r>
          </w:p>
        </w:tc>
        <w:tc>
          <w:tcPr>
            <w:tcW w:w="62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3"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1085"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98" w:hRule="atLeast"/>
          <w:jc w:val="center"/>
        </w:trPr>
        <w:tc>
          <w:tcPr>
            <w:tcW w:w="980" w:type="dxa"/>
            <w:vMerge w:val="restart"/>
            <w:tcBorders>
              <w:top w:val="single" w:color="auto" w:sz="4" w:space="0"/>
              <w:left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  出（25分）</w:t>
            </w:r>
          </w:p>
        </w:tc>
        <w:tc>
          <w:tcPr>
            <w:tcW w:w="943" w:type="dxa"/>
            <w:vMerge w:val="restart"/>
            <w:tcBorders>
              <w:top w:val="single" w:color="auto" w:sz="4" w:space="0"/>
              <w:left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职责履行</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（25分）</w:t>
            </w:r>
          </w:p>
        </w:tc>
        <w:tc>
          <w:tcPr>
            <w:tcW w:w="139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实施“三高四新”战略目标任务完成情况</w:t>
            </w:r>
          </w:p>
        </w:tc>
        <w:tc>
          <w:tcPr>
            <w:tcW w:w="4190" w:type="dxa"/>
            <w:vMerge w:val="restart"/>
            <w:tcBorders>
              <w:top w:val="single" w:color="auto" w:sz="4" w:space="0"/>
              <w:left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围绕部门和单位职责、年度重点工作任务，衡量评价部门和单位整体及核心业务实施效果</w:t>
            </w:r>
          </w:p>
          <w:p>
            <w:pPr>
              <w:widowControl/>
              <w:spacing w:line="240" w:lineRule="exact"/>
              <w:jc w:val="left"/>
              <w:rPr>
                <w:rFonts w:ascii="仿宋_GB2312" w:hAnsi="宋体" w:eastAsia="仿宋_GB2312" w:cs="宋体"/>
                <w:kern w:val="0"/>
                <w:sz w:val="18"/>
                <w:szCs w:val="18"/>
              </w:rPr>
            </w:pP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部门单位应根据部门实际进行调整，并将其细化成相应的个性化指标。。</w:t>
            </w:r>
          </w:p>
        </w:tc>
        <w:tc>
          <w:tcPr>
            <w:tcW w:w="62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723"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7</w:t>
            </w:r>
          </w:p>
        </w:tc>
        <w:tc>
          <w:tcPr>
            <w:tcW w:w="1085"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1013"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《政府工作报告》目标任务完成情况</w:t>
            </w:r>
          </w:p>
        </w:tc>
        <w:tc>
          <w:tcPr>
            <w:tcW w:w="419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3"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1085"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756"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省市重点民生实事完成情况</w:t>
            </w:r>
          </w:p>
        </w:tc>
        <w:tc>
          <w:tcPr>
            <w:tcW w:w="419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3"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1085"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98"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省市重点工程和重大项目建设完成情况</w:t>
            </w:r>
          </w:p>
        </w:tc>
        <w:tc>
          <w:tcPr>
            <w:tcW w:w="419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3"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1085"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888"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其他工作实绩指标完成情况</w:t>
            </w:r>
          </w:p>
        </w:tc>
        <w:tc>
          <w:tcPr>
            <w:tcW w:w="419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3"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1085"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69" w:hRule="atLeast"/>
          <w:jc w:val="center"/>
        </w:trPr>
        <w:tc>
          <w:tcPr>
            <w:tcW w:w="9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效  果</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（20分）</w:t>
            </w:r>
          </w:p>
        </w:tc>
        <w:tc>
          <w:tcPr>
            <w:tcW w:w="943"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履职效益</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（20分）</w:t>
            </w:r>
          </w:p>
        </w:tc>
        <w:tc>
          <w:tcPr>
            <w:tcW w:w="139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经济效益</w:t>
            </w:r>
          </w:p>
        </w:tc>
        <w:tc>
          <w:tcPr>
            <w:tcW w:w="419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此三项指标为设置部门整体支出绩效评价指标时必须考虑的共性要素。</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部门单位应根据部门实际并结合部门整体支出绩效目标设立情况有选择的进行设置，并将其细化为相应的个性化指标。</w:t>
            </w:r>
          </w:p>
        </w:tc>
        <w:tc>
          <w:tcPr>
            <w:tcW w:w="621"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w:t>
            </w:r>
          </w:p>
        </w:tc>
        <w:tc>
          <w:tcPr>
            <w:tcW w:w="723"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1085"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69"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社会效益</w:t>
            </w:r>
          </w:p>
        </w:tc>
        <w:tc>
          <w:tcPr>
            <w:tcW w:w="419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2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23"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1085"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69"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生态效益</w:t>
            </w:r>
          </w:p>
        </w:tc>
        <w:tc>
          <w:tcPr>
            <w:tcW w:w="419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2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23"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1085"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1051" w:hRule="atLeast"/>
          <w:jc w:val="center"/>
        </w:trPr>
        <w:tc>
          <w:tcPr>
            <w:tcW w:w="98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社会公众或服务对象满意度</w:t>
            </w:r>
          </w:p>
        </w:tc>
        <w:tc>
          <w:tcPr>
            <w:tcW w:w="419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95%（含）以上计5分；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85%（含）-95%，计3分；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75%（含）-85%，计1分；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低于75%计0分。</w:t>
            </w:r>
          </w:p>
        </w:tc>
        <w:tc>
          <w:tcPr>
            <w:tcW w:w="621"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3"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1085"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756" w:hRule="atLeast"/>
          <w:jc w:val="center"/>
        </w:trPr>
        <w:tc>
          <w:tcPr>
            <w:tcW w:w="980"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总 分</w:t>
            </w:r>
          </w:p>
        </w:tc>
        <w:tc>
          <w:tcPr>
            <w:tcW w:w="943"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1395"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419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621"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spacing w:val="-8"/>
                <w:kern w:val="0"/>
                <w:sz w:val="18"/>
                <w:szCs w:val="18"/>
              </w:rPr>
            </w:pPr>
            <w:r>
              <w:rPr>
                <w:rFonts w:hint="eastAsia" w:ascii="仿宋_GB2312" w:hAnsi="宋体" w:eastAsia="仿宋_GB2312" w:cs="宋体"/>
                <w:b/>
                <w:bCs/>
                <w:spacing w:val="-8"/>
                <w:kern w:val="0"/>
                <w:sz w:val="18"/>
                <w:szCs w:val="18"/>
              </w:rPr>
              <w:t>100</w:t>
            </w:r>
          </w:p>
        </w:tc>
        <w:tc>
          <w:tcPr>
            <w:tcW w:w="723"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94</w:t>
            </w:r>
          </w:p>
        </w:tc>
        <w:tc>
          <w:tcPr>
            <w:tcW w:w="1085"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r>
    </w:tbl>
    <w:p>
      <w:pPr>
        <w:adjustRightInd w:val="0"/>
        <w:snapToGrid w:val="0"/>
        <w:spacing w:beforeLines="50"/>
        <w:contextualSpacing/>
        <w:rPr>
          <w:rFonts w:ascii="仿宋_GB2312" w:hAnsi="宋体" w:eastAsia="仿宋_GB2312" w:cs="宋体"/>
          <w:kern w:val="0"/>
          <w:szCs w:val="21"/>
        </w:rPr>
      </w:pPr>
      <w:r>
        <w:rPr>
          <w:rFonts w:hint="eastAsia" w:ascii="仿宋_GB2312" w:hAnsi="宋体" w:eastAsia="仿宋_GB2312" w:cs="宋体"/>
          <w:kern w:val="0"/>
          <w:szCs w:val="21"/>
        </w:rPr>
        <w:t>备注：部门（单位）可根据本部门实际情况，对评价指标体系</w:t>
      </w:r>
      <w:r>
        <w:rPr>
          <w:rFonts w:hint="eastAsia" w:ascii="仿宋_GB2312" w:eastAsia="仿宋_GB2312"/>
        </w:rPr>
        <w:t>进一步完善、量化、细化个性指标，形成本部门的指标体系。</w:t>
      </w:r>
    </w:p>
    <w:p>
      <w:pPr>
        <w:adjustRightInd w:val="0"/>
        <w:snapToGrid w:val="0"/>
        <w:spacing w:beforeLines="50"/>
        <w:ind w:firstLine="960" w:firstLineChars="300"/>
        <w:contextualSpacing/>
        <w:rPr>
          <w:rFonts w:eastAsia="仿宋_GB2312"/>
          <w:sz w:val="32"/>
        </w:rPr>
      </w:pPr>
    </w:p>
    <w:sectPr>
      <w:footerReference r:id="rId5" w:type="default"/>
      <w:footerReference r:id="rId6" w:type="even"/>
      <w:pgSz w:w="11906" w:h="16838"/>
      <w:pgMar w:top="1588" w:right="1588" w:bottom="1588"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新宋体-18030">
    <w:altName w:val="宋体"/>
    <w:panose1 w:val="00000000000000000000"/>
    <w:charset w:val="00"/>
    <w:family w:val="auto"/>
    <w:pitch w:val="default"/>
    <w:sig w:usb0="00000000" w:usb1="00000000" w:usb2="00000000" w:usb3="00000000" w:csb0="00040001"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altName w:val="宋体"/>
    <w:panose1 w:val="03000509000000000000"/>
    <w:charset w:val="86"/>
    <w:family w:val="script"/>
    <w:pitch w:val="default"/>
    <w:sig w:usb0="00000000" w:usb1="00000000" w:usb2="00000010" w:usb3="00000000" w:csb0="00040000" w:csb1="00000000"/>
  </w:font>
  <w:font w:name="????">
    <w:altName w:val="Times New Roman"/>
    <w:panose1 w:val="00000000000000000000"/>
    <w:charset w:val="00"/>
    <w:family w:val="auto"/>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outside" w:y="1"/>
      <w:rPr>
        <w:rStyle w:val="13"/>
        <w:sz w:val="24"/>
        <w:szCs w:val="24"/>
      </w:rPr>
    </w:pPr>
    <w:r>
      <w:rPr>
        <w:rStyle w:val="13"/>
        <w:rFonts w:hint="eastAsia"/>
        <w:sz w:val="24"/>
        <w:szCs w:val="24"/>
      </w:rPr>
      <w:t xml:space="preserve">— </w:t>
    </w:r>
    <w:r>
      <w:rPr>
        <w:sz w:val="24"/>
        <w:szCs w:val="24"/>
      </w:rPr>
      <w:fldChar w:fldCharType="begin"/>
    </w:r>
    <w:r>
      <w:rPr>
        <w:rStyle w:val="13"/>
        <w:sz w:val="24"/>
        <w:szCs w:val="24"/>
      </w:rPr>
      <w:instrText xml:space="preserve">PAGE  </w:instrText>
    </w:r>
    <w:r>
      <w:rPr>
        <w:sz w:val="24"/>
        <w:szCs w:val="24"/>
      </w:rPr>
      <w:fldChar w:fldCharType="separate"/>
    </w:r>
    <w:r>
      <w:rPr>
        <w:rStyle w:val="13"/>
        <w:sz w:val="24"/>
        <w:szCs w:val="24"/>
      </w:rPr>
      <w:t>1</w:t>
    </w:r>
    <w:r>
      <w:rPr>
        <w:sz w:val="24"/>
        <w:szCs w:val="24"/>
      </w:rPr>
      <w:fldChar w:fldCharType="end"/>
    </w:r>
    <w:r>
      <w:rPr>
        <w:rStyle w:val="13"/>
        <w:rFonts w:hint="eastAsia"/>
        <w:sz w:val="24"/>
        <w:szCs w:val="24"/>
      </w:rPr>
      <w:t xml:space="preserve"> —</w:t>
    </w:r>
  </w:p>
  <w:p>
    <w:pP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outside" w:y="1"/>
    </w:pPr>
    <w:r>
      <w:fldChar w:fldCharType="begin"/>
    </w:r>
    <w:r>
      <w:instrText xml:space="preserve">PAGE  </w:instrText>
    </w:r>
    <w:r>
      <w:fldChar w:fldCharType="separate"/>
    </w:r>
    <w:r>
      <w:t>- 15 -</w:t>
    </w:r>
    <w:r>
      <w:fldChar w:fldCharType="end"/>
    </w:r>
  </w:p>
  <w:p>
    <w:pP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outside" w:y="1"/>
      <w:rPr>
        <w:rStyle w:val="13"/>
        <w:sz w:val="24"/>
        <w:szCs w:val="24"/>
      </w:rPr>
    </w:pPr>
    <w:r>
      <w:rPr>
        <w:rStyle w:val="13"/>
        <w:rFonts w:hint="eastAsia"/>
        <w:sz w:val="24"/>
        <w:szCs w:val="24"/>
      </w:rPr>
      <w:t xml:space="preserve">— </w:t>
    </w:r>
    <w:r>
      <w:rPr>
        <w:sz w:val="24"/>
        <w:szCs w:val="24"/>
      </w:rPr>
      <w:fldChar w:fldCharType="begin"/>
    </w:r>
    <w:r>
      <w:rPr>
        <w:rStyle w:val="13"/>
        <w:sz w:val="24"/>
        <w:szCs w:val="24"/>
      </w:rPr>
      <w:instrText xml:space="preserve">PAGE  </w:instrText>
    </w:r>
    <w:r>
      <w:rPr>
        <w:sz w:val="24"/>
        <w:szCs w:val="24"/>
      </w:rPr>
      <w:fldChar w:fldCharType="separate"/>
    </w:r>
    <w:r>
      <w:rPr>
        <w:rStyle w:val="13"/>
        <w:sz w:val="24"/>
        <w:szCs w:val="24"/>
      </w:rPr>
      <w:t>17</w:t>
    </w:r>
    <w:r>
      <w:rPr>
        <w:sz w:val="24"/>
        <w:szCs w:val="24"/>
      </w:rPr>
      <w:fldChar w:fldCharType="end"/>
    </w:r>
    <w:r>
      <w:rPr>
        <w:rStyle w:val="13"/>
        <w:rFonts w:hint="eastAsia"/>
        <w:sz w:val="24"/>
        <w:szCs w:val="24"/>
      </w:rPr>
      <w:t xml:space="preserve"> —</w:t>
    </w:r>
  </w:p>
  <w:p>
    <w:pPr>
      <w:pStyle w:val="7"/>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outside" w:y="1"/>
      <w:rPr>
        <w:rStyle w:val="13"/>
      </w:rPr>
    </w:pPr>
    <w:r>
      <w:fldChar w:fldCharType="begin"/>
    </w:r>
    <w:r>
      <w:rPr>
        <w:rStyle w:val="13"/>
      </w:rPr>
      <w:instrText xml:space="preserve">PAGE  </w:instrText>
    </w:r>
    <w:r>
      <w:fldChar w:fldCharType="end"/>
    </w:r>
  </w:p>
  <w:p>
    <w:pPr>
      <w:pStyle w:val="7"/>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606FBDD"/>
    <w:multiLevelType w:val="singleLevel"/>
    <w:tmpl w:val="F606FBDD"/>
    <w:lvl w:ilvl="0" w:tentative="0">
      <w:start w:val="2"/>
      <w:numFmt w:val="chineseCounting"/>
      <w:suff w:val="nothing"/>
      <w:lvlText w:val="（%1）"/>
      <w:lvlJc w:val="left"/>
      <w:pPr>
        <w:ind w:left="-430"/>
      </w:pPr>
      <w:rPr>
        <w:rFonts w:hint="eastAsia"/>
      </w:rPr>
    </w:lvl>
  </w:abstractNum>
  <w:abstractNum w:abstractNumId="1">
    <w:nsid w:val="7A2B9B5A"/>
    <w:multiLevelType w:val="singleLevel"/>
    <w:tmpl w:val="7A2B9B5A"/>
    <w:lvl w:ilvl="0" w:tentative="0">
      <w:start w:val="4"/>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2"/>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ZTY4MGI1MDQ0NzVmNzQxYjk1YmFiMjQ0MGNmMjE3ZWMifQ=="/>
  </w:docVars>
  <w:rsids>
    <w:rsidRoot w:val="2CE55C20"/>
    <w:rsid w:val="00030413"/>
    <w:rsid w:val="000778E6"/>
    <w:rsid w:val="000F0B35"/>
    <w:rsid w:val="002204CB"/>
    <w:rsid w:val="00245D4A"/>
    <w:rsid w:val="002614AD"/>
    <w:rsid w:val="002B6D1D"/>
    <w:rsid w:val="00347106"/>
    <w:rsid w:val="00347823"/>
    <w:rsid w:val="00426ECF"/>
    <w:rsid w:val="004836F9"/>
    <w:rsid w:val="005D270E"/>
    <w:rsid w:val="0061153B"/>
    <w:rsid w:val="006A6E48"/>
    <w:rsid w:val="006D0818"/>
    <w:rsid w:val="006D70BB"/>
    <w:rsid w:val="00773F76"/>
    <w:rsid w:val="00774A3E"/>
    <w:rsid w:val="00780DC2"/>
    <w:rsid w:val="007B2063"/>
    <w:rsid w:val="008006DF"/>
    <w:rsid w:val="008137C2"/>
    <w:rsid w:val="00845553"/>
    <w:rsid w:val="00886440"/>
    <w:rsid w:val="008C0B70"/>
    <w:rsid w:val="00993AB4"/>
    <w:rsid w:val="00A455CA"/>
    <w:rsid w:val="00A94B29"/>
    <w:rsid w:val="00BA5294"/>
    <w:rsid w:val="00BA7BA8"/>
    <w:rsid w:val="00C2339C"/>
    <w:rsid w:val="00C35694"/>
    <w:rsid w:val="00C67DA1"/>
    <w:rsid w:val="00C868CB"/>
    <w:rsid w:val="00C9566A"/>
    <w:rsid w:val="00CF0939"/>
    <w:rsid w:val="00D2252A"/>
    <w:rsid w:val="00D95EA0"/>
    <w:rsid w:val="00DC3440"/>
    <w:rsid w:val="00DC46D3"/>
    <w:rsid w:val="00DF0B13"/>
    <w:rsid w:val="00EA5B0B"/>
    <w:rsid w:val="00ED6855"/>
    <w:rsid w:val="00F04BFA"/>
    <w:rsid w:val="00F56174"/>
    <w:rsid w:val="00FE27D7"/>
    <w:rsid w:val="00FF1028"/>
    <w:rsid w:val="00FF7E99"/>
    <w:rsid w:val="01C12073"/>
    <w:rsid w:val="083749E7"/>
    <w:rsid w:val="0C5C3A6E"/>
    <w:rsid w:val="0CB679B8"/>
    <w:rsid w:val="0DE528CD"/>
    <w:rsid w:val="0FD100BD"/>
    <w:rsid w:val="10054735"/>
    <w:rsid w:val="12E73478"/>
    <w:rsid w:val="1336279F"/>
    <w:rsid w:val="164906D3"/>
    <w:rsid w:val="16D12757"/>
    <w:rsid w:val="18591495"/>
    <w:rsid w:val="18725427"/>
    <w:rsid w:val="1F3C6017"/>
    <w:rsid w:val="1F4A2055"/>
    <w:rsid w:val="2527620E"/>
    <w:rsid w:val="254E2FC7"/>
    <w:rsid w:val="25B607B7"/>
    <w:rsid w:val="263C173A"/>
    <w:rsid w:val="289D055E"/>
    <w:rsid w:val="2A770606"/>
    <w:rsid w:val="2C0B2FE1"/>
    <w:rsid w:val="2C9F197B"/>
    <w:rsid w:val="2CA33441"/>
    <w:rsid w:val="2CE55C20"/>
    <w:rsid w:val="2F287302"/>
    <w:rsid w:val="30426D13"/>
    <w:rsid w:val="367904CC"/>
    <w:rsid w:val="37020C57"/>
    <w:rsid w:val="3A43255A"/>
    <w:rsid w:val="3A6A0AB2"/>
    <w:rsid w:val="3D6201A1"/>
    <w:rsid w:val="3EC46785"/>
    <w:rsid w:val="3F8A6044"/>
    <w:rsid w:val="42AC2663"/>
    <w:rsid w:val="43A702D9"/>
    <w:rsid w:val="44592EA4"/>
    <w:rsid w:val="45A60C70"/>
    <w:rsid w:val="472B7292"/>
    <w:rsid w:val="477245B4"/>
    <w:rsid w:val="49617FA5"/>
    <w:rsid w:val="4B384C42"/>
    <w:rsid w:val="4BAD6FBB"/>
    <w:rsid w:val="4C2E0FB2"/>
    <w:rsid w:val="4D171D42"/>
    <w:rsid w:val="4E4F0BB0"/>
    <w:rsid w:val="534E714B"/>
    <w:rsid w:val="53C75F39"/>
    <w:rsid w:val="561F7B55"/>
    <w:rsid w:val="59A43D8B"/>
    <w:rsid w:val="5AFE0027"/>
    <w:rsid w:val="5BE95901"/>
    <w:rsid w:val="68071BA7"/>
    <w:rsid w:val="6A0A15CD"/>
    <w:rsid w:val="6D452F22"/>
    <w:rsid w:val="6DC85BA0"/>
    <w:rsid w:val="6DF352BD"/>
    <w:rsid w:val="6F306E05"/>
    <w:rsid w:val="705E3E6D"/>
    <w:rsid w:val="71C1048A"/>
    <w:rsid w:val="7396188C"/>
    <w:rsid w:val="73A6715E"/>
    <w:rsid w:val="73F35F5B"/>
    <w:rsid w:val="74275169"/>
    <w:rsid w:val="79C04582"/>
    <w:rsid w:val="79E7401E"/>
    <w:rsid w:val="7D1F0DA2"/>
    <w:rsid w:val="7FE622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next w:val="1"/>
    <w:qFormat/>
    <w:uiPriority w:val="0"/>
    <w:pPr>
      <w:ind w:firstLine="420" w:firstLineChars="100"/>
    </w:pPr>
  </w:style>
  <w:style w:type="paragraph" w:styleId="3">
    <w:name w:val="Body Text"/>
    <w:basedOn w:val="1"/>
    <w:next w:val="4"/>
    <w:qFormat/>
    <w:uiPriority w:val="0"/>
    <w:pPr>
      <w:spacing w:before="100" w:beforeAutospacing="1" w:after="120"/>
    </w:pPr>
  </w:style>
  <w:style w:type="paragraph" w:customStyle="1" w:styleId="4">
    <w:name w:val="正文首行缩进1"/>
    <w:basedOn w:val="1"/>
    <w:qFormat/>
    <w:uiPriority w:val="0"/>
    <w:pPr>
      <w:spacing w:after="120"/>
      <w:ind w:firstLine="420" w:firstLineChars="100"/>
    </w:pPr>
  </w:style>
  <w:style w:type="paragraph" w:styleId="5">
    <w:name w:val="Normal Indent"/>
    <w:basedOn w:val="1"/>
    <w:unhideWhenUsed/>
    <w:qFormat/>
    <w:uiPriority w:val="0"/>
    <w:pPr>
      <w:ind w:firstLine="420" w:firstLineChars="200"/>
    </w:pPr>
    <w:rPr>
      <w:rFonts w:hint="eastAsia"/>
    </w:rPr>
  </w:style>
  <w:style w:type="paragraph" w:styleId="6">
    <w:name w:val="Body Text Indent 2"/>
    <w:basedOn w:val="1"/>
    <w:unhideWhenUsed/>
    <w:qFormat/>
    <w:uiPriority w:val="0"/>
    <w:pPr>
      <w:ind w:firstLine="588" w:firstLineChars="200"/>
    </w:pPr>
    <w:rPr>
      <w:rFonts w:ascii="仿宋_GB2312" w:hAnsi="Calibri" w:eastAsia="仿宋_GB2312"/>
      <w:sz w:val="32"/>
    </w:rPr>
  </w:style>
  <w:style w:type="paragraph" w:styleId="7">
    <w:name w:val="footer"/>
    <w:basedOn w:val="1"/>
    <w:qFormat/>
    <w:uiPriority w:val="0"/>
    <w:pPr>
      <w:tabs>
        <w:tab w:val="center" w:pos="4153"/>
        <w:tab w:val="right" w:pos="8306"/>
      </w:tabs>
      <w:snapToGrid w:val="0"/>
      <w:jc w:val="left"/>
    </w:pPr>
    <w:rPr>
      <w:kern w:val="0"/>
      <w:sz w:val="18"/>
      <w:szCs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9">
    <w:name w:val="toc 1"/>
    <w:basedOn w:val="1"/>
    <w:next w:val="1"/>
    <w:qFormat/>
    <w:uiPriority w:val="0"/>
  </w:style>
  <w:style w:type="paragraph" w:styleId="10">
    <w:name w:val="Normal (Web)"/>
    <w:basedOn w:val="1"/>
    <w:qFormat/>
    <w:uiPriority w:val="0"/>
    <w:pPr>
      <w:spacing w:beforeAutospacing="1" w:afterAutospacing="1"/>
      <w:jc w:val="left"/>
    </w:pPr>
    <w:rPr>
      <w:kern w:val="0"/>
      <w:sz w:val="24"/>
    </w:rPr>
  </w:style>
  <w:style w:type="character" w:styleId="13">
    <w:name w:val="page number"/>
    <w:qFormat/>
    <w:uiPriority w:val="0"/>
  </w:style>
  <w:style w:type="character" w:styleId="14">
    <w:name w:val="Hyperlink"/>
    <w:basedOn w:val="12"/>
    <w:qFormat/>
    <w:uiPriority w:val="0"/>
    <w:rPr>
      <w:color w:val="0000FF"/>
      <w:u w:val="single"/>
    </w:rPr>
  </w:style>
  <w:style w:type="paragraph" w:customStyle="1" w:styleId="15">
    <w:name w:val="BodyText"/>
    <w:basedOn w:val="1"/>
    <w:next w:val="1"/>
    <w:qFormat/>
    <w:uiPriority w:val="0"/>
    <w:pPr>
      <w:widowControl/>
      <w:spacing w:before="100" w:beforeAutospacing="1" w:after="120" w:line="560" w:lineRule="exact"/>
      <w:ind w:firstLine="640" w:firstLineChars="200"/>
      <w:textAlignment w:val="baseline"/>
    </w:pPr>
    <w:rPr>
      <w:rFonts w:eastAsia="仿宋_GB2312" w:asciiTheme="minorHAnsi" w:hAnsiTheme="minorHAnsi"/>
      <w:sz w:val="32"/>
      <w:szCs w:val="32"/>
    </w:rPr>
  </w:style>
  <w:style w:type="paragraph" w:customStyle="1" w:styleId="16">
    <w:name w:val="xl27"/>
    <w:basedOn w:val="1"/>
    <w:qFormat/>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center"/>
    </w:pPr>
    <w:rPr>
      <w:rFonts w:ascii="新宋体-18030" w:hAnsi="新宋体-18030" w:eastAsia="新宋体-18030" w:cs="新宋体-18030"/>
      <w:kern w:val="0"/>
    </w:rPr>
  </w:style>
  <w:style w:type="character" w:customStyle="1" w:styleId="17">
    <w:name w:val="标题 3 Char Char"/>
    <w:qFormat/>
    <w:uiPriority w:val="0"/>
    <w:rPr>
      <w:rFonts w:eastAsia="楷体_GB2312"/>
      <w:b/>
      <w:kern w:val="2"/>
      <w:sz w:val="32"/>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18</Pages>
  <Words>7357</Words>
  <Characters>7922</Characters>
  <Lines>65</Lines>
  <Paragraphs>18</Paragraphs>
  <TotalTime>215</TotalTime>
  <ScaleCrop>false</ScaleCrop>
  <LinksUpToDate>false</LinksUpToDate>
  <CharactersWithSpaces>8450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2019-05-08T01:00:00Z</dcterms:created>
  <dc:creator>Administrator</dc:creator>
  <cp:lastModifiedBy>揪咪</cp:lastModifiedBy>
  <cp:lastPrinted>2022-10-17T04:15:36Z</cp:lastPrinted>
  <dcterms:modified xsi:type="dcterms:W3CDTF">2022-10-17T04:36:47Z</dcterms:modified>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377A56B318954603893BD5B869B7BB42</vt:lpwstr>
  </property>
</Properties>
</file>