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华容县</w:t>
      </w:r>
      <w:r>
        <w:rPr>
          <w:rFonts w:hint="eastAsia" w:eastAsia="方正小标宋简体"/>
          <w:bCs/>
          <w:sz w:val="44"/>
          <w:szCs w:val="44"/>
        </w:rPr>
        <w:t>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>瓦圻村枳实药材种植基地</w:t>
      </w:r>
      <w:r>
        <w:rPr>
          <w:rFonts w:hint="eastAsia" w:eastAsia="仿宋_GB2312"/>
          <w:sz w:val="32"/>
          <w:u w:val="single"/>
        </w:rPr>
        <w:t xml:space="preserve">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eastAsia="zh-CN"/>
        </w:rPr>
        <w:t>华容县</w:t>
      </w:r>
      <w:r>
        <w:rPr>
          <w:rFonts w:hint="eastAsia" w:eastAsia="仿宋_GB2312"/>
          <w:sz w:val="32"/>
          <w:u w:val="single"/>
          <w:lang w:val="en-US" w:eastAsia="zh-CN"/>
        </w:rPr>
        <w:t>禹山镇瓦圻村</w:t>
      </w:r>
      <w:r>
        <w:rPr>
          <w:rFonts w:hint="eastAsia" w:eastAsia="仿宋_GB2312"/>
          <w:sz w:val="32"/>
          <w:u w:val="single"/>
        </w:rPr>
        <w:t xml:space="preserve">   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>禹山镇人民政府乡村振兴办</w:t>
      </w:r>
      <w:r>
        <w:rPr>
          <w:rFonts w:hint="eastAsia" w:eastAsia="仿宋_GB2312"/>
          <w:sz w:val="32"/>
          <w:u w:val="single"/>
        </w:rPr>
        <w:t xml:space="preserve">  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 xml:space="preserve">  年 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 xml:space="preserve"> 月 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 xml:space="preserve"> 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财政局（制）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5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段琪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13487762556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华容县禹山镇瓦圻村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ind w:firstLine="1190" w:firstLineChars="496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年  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 xml:space="preserve">  月起至 </w:t>
            </w: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 年 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75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药材基地建设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75万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75万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完成628亩药材基地种植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完成628亩药材基地种植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种植面积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628亩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628亩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成活株数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8万株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8万株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宋体"/>
                <w:sz w:val="17"/>
                <w:lang w:eastAsia="zh-CN"/>
              </w:rPr>
              <w:t>任务完成时间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sz w:val="16"/>
                <w:szCs w:val="16"/>
                <w:lang w:val="en-US" w:eastAsia="zh-CN"/>
              </w:rPr>
              <w:t>2022年10月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宋体"/>
                <w:sz w:val="17"/>
                <w:lang w:eastAsia="zh-CN"/>
              </w:rPr>
              <w:t>预算控制数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40"/>
                <w:lang w:val="en-US" w:eastAsia="zh-CN"/>
              </w:rPr>
              <w:t>≤</w:t>
            </w:r>
            <w:r>
              <w:rPr>
                <w:rFonts w:hint="eastAsia"/>
                <w:sz w:val="18"/>
                <w:szCs w:val="28"/>
                <w:lang w:val="en-US" w:eastAsia="zh-CN"/>
              </w:rPr>
              <w:t>75万元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18"/>
                <w:szCs w:val="28"/>
                <w:lang w:val="en-US" w:eastAsia="zh-CN"/>
              </w:rPr>
              <w:t>75万元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每亩效益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3000元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17"/>
                <w:lang w:eastAsia="zh-CN"/>
              </w:rPr>
              <w:t>绿化荒山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/>
                <w:sz w:val="20"/>
                <w:szCs w:val="32"/>
                <w:lang w:val="en-US" w:eastAsia="zh-CN"/>
              </w:rPr>
              <w:t>628亩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0"/>
                <w:szCs w:val="32"/>
                <w:lang w:val="en-US" w:eastAsia="zh-CN"/>
              </w:rPr>
              <w:t>628亩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综合利用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满意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段琪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党委副书记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禹山镇人民政府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陈拓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扶贫专干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禹山镇人民政府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陈拓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13574025935</w:t>
      </w: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eastAsia="zh-CN"/>
              </w:rPr>
              <w:t>禹山镇瓦圻村药材基地建设项目</w:t>
            </w:r>
          </w:p>
          <w:p>
            <w:pPr>
              <w:jc w:val="center"/>
              <w:rPr>
                <w:rFonts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概</w:t>
            </w: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禹山镇瓦圻村位于禹山镇西部，东与终南山社区毗邻，南临禹山村，西与新河乡相连，北靠八岭村。全村集雨面积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7.78平方公里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，其中耕地面积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5116亩，共有农户1010户，人口3866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人，辖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32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个村民小组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是一个以生产粮食、蔬菜、棉花、龙虾养殖为主的农业村场。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建设项目概况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为了壮大村集体经济，巩固脱贫攻坚成果，带动村民共同致富，经支村两委、村民代表大会研究决定对瓦圻村药材基地进行建设，北三渠夏家4、5、6、10组和瓦圻3、4、5、6组113亩，老大堤夏家6、7、9、10组383亩，闲置地132亩新开发药材枳壳套种金丝皇菊。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预算投资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45万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元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左右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，该项目预计在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2022年3月15日开工，至4月30日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完工。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该项目总计投资约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  <w:t>左右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，其中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衔接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资金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>85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工程质量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按合同设计标准进行施工，由项目监督理事会全程跟踪进行项目质量监督，及时报告质量。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建设方式及组织管理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该项目严格按照上级有关部门的要求进行施工，工程按照“四自两会三公开”的程序，采取自建的方式进行。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该项目工程实施由村委会负责，村党总支负责项目建设，环境的协调，项目监督理事会负责工程质量及财务管理，并聘请党员，村民代表参加监督。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工程项目建设后效益分析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通过该项目的实施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壮大了集体经济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发展了乡村振兴，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打造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美丽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瓦圻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840" w:firstLineChars="300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hAnsi="宋体" w:eastAsia="仿宋_GB2312" w:cs="宋体"/>
          <w:kern w:val="0"/>
          <w:szCs w:val="21"/>
          <w:lang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5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99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华容县</w:t>
      </w:r>
      <w:r>
        <w:rPr>
          <w:rFonts w:hint="eastAsia" w:eastAsia="方正小标宋简体"/>
          <w:bCs/>
          <w:sz w:val="44"/>
          <w:szCs w:val="44"/>
        </w:rPr>
        <w:t>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>禹山镇脱贫攻坚衔接乡村振兴项目建设</w:t>
      </w:r>
      <w:r>
        <w:rPr>
          <w:rFonts w:hint="eastAsia" w:eastAsia="仿宋_GB2312"/>
          <w:sz w:val="32"/>
          <w:u w:val="single"/>
        </w:rPr>
        <w:t xml:space="preserve">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>禹山镇人民政府</w:t>
      </w:r>
      <w:r>
        <w:rPr>
          <w:rFonts w:hint="eastAsia" w:eastAsia="仿宋_GB2312"/>
          <w:sz w:val="32"/>
          <w:u w:val="single"/>
        </w:rPr>
        <w:t xml:space="preserve">    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>禹山镇人民政府乡村振兴办</w:t>
      </w:r>
      <w:r>
        <w:rPr>
          <w:rFonts w:hint="eastAsia" w:eastAsia="仿宋_GB2312"/>
          <w:sz w:val="32"/>
          <w:u w:val="single"/>
        </w:rPr>
        <w:t xml:space="preserve">     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 xml:space="preserve">  年 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 xml:space="preserve"> 月 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 xml:space="preserve"> 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财政局（制）</w:t>
      </w: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5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段琪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13487762556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鱼口村、八岭村、青山村、建华村、老河口村、终南村、松树岭村等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ind w:firstLine="1190" w:firstLineChars="496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年 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 xml:space="preserve"> 月起至 </w:t>
            </w: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hint="eastAsia" w:eastAsia="仿宋_GB2312"/>
                <w:sz w:val="24"/>
              </w:rPr>
              <w:t xml:space="preserve">  年 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347.58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347.58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347.58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乡村振兴建设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347.58万元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347.58万元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完成15个村社区乡村振兴29个项目建设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完成29项目建设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项目个数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2"/>
                <w:szCs w:val="22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验收合格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宋体"/>
                <w:sz w:val="17"/>
                <w:lang w:eastAsia="zh-CN"/>
              </w:rPr>
              <w:t>任务完成时间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16"/>
                <w:szCs w:val="16"/>
                <w:lang w:val="en-US" w:eastAsia="zh-CN"/>
              </w:rPr>
              <w:t>2022年10月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2022年10月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宋体"/>
                <w:sz w:val="17"/>
                <w:lang w:eastAsia="zh-CN"/>
              </w:rPr>
              <w:t>预算控制数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/>
                <w:sz w:val="17"/>
                <w:lang w:val="en-US" w:eastAsia="zh-CN"/>
              </w:rPr>
              <w:t>347.58万元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17"/>
                <w:lang w:val="en-US" w:eastAsia="zh-CN"/>
              </w:rPr>
              <w:t>347.58万元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农户增收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400万元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400万元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17"/>
                <w:lang w:eastAsia="zh-CN"/>
              </w:rPr>
              <w:t>服务群众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/>
                <w:sz w:val="21"/>
                <w:szCs w:val="36"/>
                <w:lang w:val="en-US" w:eastAsia="zh-CN"/>
              </w:rPr>
              <w:t>2000户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36"/>
                <w:lang w:val="en-US" w:eastAsia="zh-CN"/>
              </w:rPr>
              <w:t>2000户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综合利用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满意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段琪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党委副书记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禹山镇人民政府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陈拓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扶贫专干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禹山镇人民政府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陈拓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13574025935</w:t>
      </w: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为贯彻落实党中央助推脱贫攻坚向乡村振兴有效衔接的要求，加快我镇乡村振兴项目建设，加大集体经济增收力度，根据省市县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一部署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安排，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我镇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完成15个村、29个乡村振兴项目建设任务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山镇乡村振兴项目建设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由禹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山镇党委政府牵头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振兴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和财政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</w:rPr>
              <w:t>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统一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</w:rPr>
              <w:t>协调指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eastAsia="zh-CN"/>
              </w:rPr>
              <w:t>导，由村具体组织实施，并明确专人负责。统筹推进，全镇乡村振兴项目实施完成率和合格率达95%以上。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eastAsia="zh-CN"/>
              </w:rPr>
              <w:t>全镇乡村振兴项目共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eastAsia="zh-CN"/>
              </w:rPr>
              <w:t>个，分布全镇16个村社区，其中壮大集体经济项目九个，基础设施建设2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eastAsia="zh-CN"/>
              </w:rPr>
              <w:t>个，所有项目建设采取“四直两会三公开”的模式统一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组织项目实施，由乡村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振兴办负责项目前期的绩效目标的评估和审核，财政所负责项目建设的监管和资金拨付，镇党委政府组织专人进行验收，整个项目建设资金实行了全封闭管理，确保了我镇乡村振兴项目建设高效有序的进行实施。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960" w:firstLineChars="3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960" w:firstLineChars="300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项目建成后，据估算可为集体经济建设创收每年达200万元以上，服务群众达万人以上。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hAnsi="宋体" w:eastAsia="仿宋_GB2312" w:cs="宋体"/>
          <w:kern w:val="0"/>
          <w:szCs w:val="21"/>
          <w:lang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  <w:bookmarkStart w:id="0" w:name="_GoBack"/>
      <w:bookmarkEnd w:id="0"/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5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0462D5"/>
    <w:multiLevelType w:val="singleLevel"/>
    <w:tmpl w:val="BD0462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MWE5ZjgzYjAxOWM4NjAxNmRlNWU4MzlkNjE0NTAifQ=="/>
  </w:docVars>
  <w:rsids>
    <w:rsidRoot w:val="2CE55C20"/>
    <w:rsid w:val="007B2063"/>
    <w:rsid w:val="083749E7"/>
    <w:rsid w:val="08F43E3C"/>
    <w:rsid w:val="0CB679B8"/>
    <w:rsid w:val="0DE528CD"/>
    <w:rsid w:val="10054735"/>
    <w:rsid w:val="1336279F"/>
    <w:rsid w:val="18725427"/>
    <w:rsid w:val="19DF65DC"/>
    <w:rsid w:val="222608A0"/>
    <w:rsid w:val="254E2FC7"/>
    <w:rsid w:val="25B607B7"/>
    <w:rsid w:val="263C173A"/>
    <w:rsid w:val="289D055E"/>
    <w:rsid w:val="2A533CD8"/>
    <w:rsid w:val="2A770606"/>
    <w:rsid w:val="2B362100"/>
    <w:rsid w:val="2C9F197B"/>
    <w:rsid w:val="2CA33441"/>
    <w:rsid w:val="2CE55C20"/>
    <w:rsid w:val="2F287302"/>
    <w:rsid w:val="2F4D5528"/>
    <w:rsid w:val="30426D13"/>
    <w:rsid w:val="35444A13"/>
    <w:rsid w:val="3A43255A"/>
    <w:rsid w:val="3CDB3167"/>
    <w:rsid w:val="3D6201A1"/>
    <w:rsid w:val="3EC46785"/>
    <w:rsid w:val="3F8A6044"/>
    <w:rsid w:val="43A702D9"/>
    <w:rsid w:val="44592EA4"/>
    <w:rsid w:val="477245B4"/>
    <w:rsid w:val="49617FA5"/>
    <w:rsid w:val="4BAD6FBB"/>
    <w:rsid w:val="4D171D42"/>
    <w:rsid w:val="4E4F0BB0"/>
    <w:rsid w:val="5BE95901"/>
    <w:rsid w:val="66D271DE"/>
    <w:rsid w:val="6A0A15CD"/>
    <w:rsid w:val="6D194017"/>
    <w:rsid w:val="6D452F22"/>
    <w:rsid w:val="6DC85BA0"/>
    <w:rsid w:val="6DF352BD"/>
    <w:rsid w:val="705E3E6D"/>
    <w:rsid w:val="71C1048A"/>
    <w:rsid w:val="7396188C"/>
    <w:rsid w:val="73A6715E"/>
    <w:rsid w:val="73F35F5B"/>
    <w:rsid w:val="7672290A"/>
    <w:rsid w:val="79C04582"/>
    <w:rsid w:val="7A70182E"/>
    <w:rsid w:val="7D1F0DA2"/>
    <w:rsid w:val="7FDD5977"/>
    <w:rsid w:val="7F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qFormat/>
    <w:uiPriority w:val="0"/>
  </w:style>
  <w:style w:type="character" w:customStyle="1" w:styleId="8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8553</Words>
  <Characters>9110</Characters>
  <Lines>0</Lines>
  <Paragraphs>0</Paragraphs>
  <TotalTime>0</TotalTime>
  <ScaleCrop>false</ScaleCrop>
  <LinksUpToDate>false</LinksUpToDate>
  <CharactersWithSpaces>10576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杰杰</cp:lastModifiedBy>
  <cp:lastPrinted>2022-10-13T02:05:00Z</cp:lastPrinted>
  <dcterms:modified xsi:type="dcterms:W3CDTF">2022-10-14T02:24:38Z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B3BA4FB20123407BBC246745607549EB</vt:lpwstr>
  </property>
</Properties>
</file>