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lang w:val="en-US" w:eastAsia="zh-CN"/>
        </w:rPr>
        <w:t>21</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eastAsia="zh-CN"/>
        </w:rPr>
        <w:t>禹山镇财政所</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 xml:space="preserve">   </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010001</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 xml:space="preserve">报告日期： </w:t>
      </w:r>
      <w:r>
        <w:rPr>
          <w:rFonts w:hint="eastAsia" w:eastAsia="仿宋_GB2312"/>
          <w:sz w:val="32"/>
          <w:lang w:val="en-US" w:eastAsia="zh-CN"/>
        </w:rPr>
        <w:t>2022</w:t>
      </w:r>
      <w:r>
        <w:rPr>
          <w:rFonts w:hint="eastAsia" w:eastAsia="仿宋_GB2312"/>
          <w:sz w:val="32"/>
        </w:rPr>
        <w:t xml:space="preserve">  年 </w:t>
      </w:r>
      <w:r>
        <w:rPr>
          <w:rFonts w:hint="eastAsia" w:eastAsia="仿宋_GB2312"/>
          <w:sz w:val="32"/>
          <w:lang w:val="en-US" w:eastAsia="zh-CN"/>
        </w:rPr>
        <w:t>10</w:t>
      </w:r>
      <w:r>
        <w:rPr>
          <w:rFonts w:hint="eastAsia" w:eastAsia="仿宋_GB2312"/>
          <w:sz w:val="32"/>
        </w:rPr>
        <w:t>月</w:t>
      </w:r>
      <w:r>
        <w:rPr>
          <w:rFonts w:hint="eastAsia" w:eastAsia="仿宋_GB2312"/>
          <w:sz w:val="32"/>
          <w:lang w:val="en-US" w:eastAsia="zh-CN"/>
        </w:rPr>
        <w:t>13</w:t>
      </w:r>
      <w:r>
        <w:rPr>
          <w:rFonts w:hint="eastAsia" w:eastAsia="仿宋_GB2312"/>
          <w:sz w:val="32"/>
        </w:rPr>
        <w:t>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7"/>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徐进</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17707305123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 xml:space="preserve"> 贯彻执行国家有关财政管理等方面的法律、法规和规章；拟定和执行乡镇财政发展规划及其他有关政策。编制乡镇年度财政预算草案并组织执行；向乡镇人大报告财政决算；管理和监督乡镇各项财政收支。负责对各类专项资金的监管，提高财政资金使用效率。提出加强财政管理的政策建议，负责财政税收政策法规的宣传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任务1：</w:t>
            </w:r>
            <w:r>
              <w:rPr>
                <w:rFonts w:hint="eastAsia" w:ascii="仿宋_GB2312" w:hAnsi="仿宋_GB2312" w:eastAsia="仿宋_GB2312" w:cs="仿宋_GB2312"/>
                <w:color w:val="000000"/>
                <w:sz w:val="24"/>
                <w:lang w:eastAsia="zh-CN"/>
              </w:rPr>
              <w:t>组织和管理乡镇财政收入和支出，编制执行乡镇年度财政预算，监督乡镇单位预算执行，编制财政决算。</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任务2：</w:t>
            </w:r>
            <w:r>
              <w:rPr>
                <w:rFonts w:hint="eastAsia" w:ascii="仿宋_GB2312" w:hAnsi="仿宋_GB2312" w:eastAsia="仿宋_GB2312" w:cs="仿宋_GB2312"/>
                <w:color w:val="000000"/>
                <w:sz w:val="24"/>
                <w:lang w:eastAsia="zh-CN"/>
              </w:rPr>
              <w:t>履行乡镇七站八所财务代管和服务、监督管理、统发工资、人事工作、乡镇国有资产管理和乡镇政府债务管理乡镇，村组财务公开、债权债务清理、行政事业性票据管理等各项工作。</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任务3：</w:t>
            </w:r>
            <w:r>
              <w:rPr>
                <w:rFonts w:hint="eastAsia" w:ascii="仿宋_GB2312" w:hAnsi="仿宋_GB2312" w:eastAsia="仿宋_GB2312" w:cs="仿宋_GB2312"/>
                <w:color w:val="000000"/>
                <w:sz w:val="24"/>
                <w:lang w:eastAsia="zh-CN"/>
              </w:rPr>
              <w:t>负责乡镇非税收入的管理；乡镇财政专项资金的管理等。</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任务</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认真完成上级主管部门和乡镇交办的其他事项。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我</w:t>
            </w:r>
            <w:r>
              <w:rPr>
                <w:rFonts w:hint="eastAsia" w:ascii="仿宋_GB2312" w:hAnsi="仿宋_GB2312" w:eastAsia="仿宋_GB2312" w:cs="仿宋_GB2312"/>
                <w:color w:val="000000"/>
                <w:sz w:val="24"/>
                <w:lang w:eastAsia="zh-CN"/>
              </w:rPr>
              <w:t>们始终坚持用习近平新时代中国特色社会主义思想武装头脑、指导实践、推动工作，始终树牢“四个意识”，坚定“四个自信”，做到“两个维护”，不折不扣地落实镇党委、镇政府和县财政局的决策部署。不断加强党性教育，强化廉政风险防控管理，规范权力运行流程，全所干部职工，坚决做到政治上不触“红线”、工作上不划“虚线”、生活上不越“底线”。一年来，全所干部通过培训学、自己学、互相学，全都熟悉掌握各种工作软件、系统程序，确保工作“零失误”。实现财政档案电子化管理，将各种原始凭证、档案、账务等进行系统化整理，实现一分钟查阅，做到借还“留痕”</w:t>
            </w:r>
            <w:r>
              <w:rPr>
                <w:rFonts w:hint="eastAsia" w:ascii="仿宋_GB2312" w:hAnsi="宋体" w:eastAsia="仿宋_GB2312" w:cs="仿宋_GB2312"/>
                <w:color w:val="000000"/>
                <w:sz w:val="32"/>
                <w:szCs w:val="3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110</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110</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110</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110</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110</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93.3</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16.7</w:t>
            </w: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110</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93.3</w:t>
            </w:r>
          </w:p>
        </w:tc>
        <w:tc>
          <w:tcPr>
            <w:tcW w:w="2160" w:type="dxa"/>
            <w:gridSpan w:val="4"/>
            <w:noWrap w:val="0"/>
            <w:vAlign w:val="center"/>
          </w:tcPr>
          <w:p>
            <w:pPr>
              <w:autoSpaceDN w:val="0"/>
              <w:spacing w:line="320" w:lineRule="exact"/>
              <w:jc w:val="center"/>
              <w:textAlignment w:val="center"/>
              <w:rPr>
                <w:rFonts w:hint="eastAsia" w:ascii="Times New Roman" w:hAnsi="Times New Roman" w:eastAsia="宋体" w:cs="Times New Roman"/>
                <w:kern w:val="2"/>
                <w:sz w:val="21"/>
                <w:szCs w:val="24"/>
                <w:lang w:val="en-US" w:eastAsia="zh-CN" w:bidi="ar-SA"/>
              </w:rPr>
            </w:pPr>
            <w:r>
              <w:rPr>
                <w:rFonts w:hint="eastAsia"/>
                <w:lang w:val="en-US" w:eastAsia="zh-CN"/>
              </w:rPr>
              <w:t>16.7</w:t>
            </w: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0.5</w:t>
            </w:r>
          </w:p>
        </w:tc>
        <w:tc>
          <w:tcPr>
            <w:tcW w:w="1355" w:type="dxa"/>
            <w:gridSpan w:val="2"/>
            <w:tcBorders>
              <w:left w:val="single" w:color="auto" w:sz="4" w:space="0"/>
            </w:tcBorders>
            <w:noWrap w:val="0"/>
            <w:vAlign w:val="center"/>
          </w:tcPr>
          <w:p>
            <w:pPr>
              <w:autoSpaceDN w:val="0"/>
              <w:spacing w:line="320" w:lineRule="exact"/>
              <w:ind w:firstLine="480" w:firstLineChars="200"/>
              <w:jc w:val="both"/>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0.5</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0.5</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0.5</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179.53</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179.53</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50"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bookmarkStart w:id="0" w:name="_GoBack"/>
            <w:bookmarkEnd w:id="0"/>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179.53</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179.53</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3774" w:type="dxa"/>
            <w:gridSpan w:val="7"/>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目标1：</w:t>
            </w:r>
            <w:r>
              <w:rPr>
                <w:rFonts w:hint="eastAsia" w:ascii="仿宋_GB2312" w:hAnsi="仿宋_GB2312" w:eastAsia="仿宋_GB2312" w:cs="仿宋_GB2312"/>
                <w:color w:val="000000"/>
                <w:sz w:val="24"/>
                <w:lang w:eastAsia="zh-CN"/>
              </w:rPr>
              <w:t>全面提升乡村财政财务管理水平，充分发挥乡镇财政服务农民群众、促进农村经济社会发展的职能作用。</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目标2：</w:t>
            </w:r>
            <w:r>
              <w:rPr>
                <w:rFonts w:hint="eastAsia" w:ascii="仿宋_GB2312" w:hAnsi="仿宋_GB2312" w:eastAsia="仿宋_GB2312" w:cs="仿宋_GB2312"/>
                <w:color w:val="000000"/>
                <w:sz w:val="24"/>
                <w:lang w:eastAsia="zh-CN"/>
              </w:rPr>
              <w:t>规范财政惠民惠农补贴“一卡通”发放管理确保财政补贴资金及时、安全、便捷发放到户。</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3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各项工作全面完成预期目标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46"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财政所业务培训</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3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2021年1月1日至2021年12月31日</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3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不超过预算总成本</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为群众提供服务</w:t>
            </w:r>
          </w:p>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加强财政各项资金管理</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生态环境普及全民参与</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惠民惠农补贴发放及乡村账务</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徐进</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所长</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禹山镇财政所</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华岚</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副所长</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禹山镇财政所</w:t>
            </w:r>
          </w:p>
        </w:tc>
        <w:tc>
          <w:tcPr>
            <w:tcW w:w="3106" w:type="dxa"/>
            <w:gridSpan w:val="8"/>
            <w:noWrap w:val="0"/>
            <w:vAlign w:val="center"/>
          </w:tcPr>
          <w:p>
            <w:pPr>
              <w:autoSpaceDN w:val="0"/>
              <w:spacing w:line="320" w:lineRule="exact"/>
              <w:jc w:val="center"/>
              <w:textAlignment w:val="center"/>
              <w:rPr>
                <w:rFonts w:hint="eastAsia"/>
              </w:rPr>
            </w:pPr>
          </w:p>
          <w:p>
            <w:pPr>
              <w:bidi w:val="0"/>
              <w:jc w:val="left"/>
              <w:rPr>
                <w:rFonts w:hint="eastAsia" w:ascii="Times New Roman" w:hAnsi="Times New Roman" w:eastAsia="宋体" w:cs="Times New Roman"/>
                <w:kern w:val="2"/>
                <w:sz w:val="21"/>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汤建军</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党支部副书记</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禹山镇财政所</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hint="eastAsia" w:eastAsia="仿宋_GB2312" w:cs="仿宋_GB2312"/>
          <w:bCs/>
          <w:sz w:val="28"/>
          <w:szCs w:val="28"/>
          <w:lang w:eastAsia="zh-CN"/>
        </w:rPr>
        <w:t>冯立新</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18673015921</w:t>
      </w:r>
    </w:p>
    <w:tbl>
      <w:tblPr>
        <w:tblStyle w:val="7"/>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jc w:val="center"/>
              <w:rPr>
                <w:rFonts w:hint="eastAsia"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hint="eastAsia" w:eastAsia="仿宋_GB2312"/>
                <w:sz w:val="32"/>
                <w:szCs w:val="32"/>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560" w:lineRule="exact"/>
              <w:ind w:firstLine="420" w:firstLineChars="200"/>
              <w:rPr>
                <w:rFonts w:hint="eastAsia"/>
                <w:lang w:val="en-US" w:eastAsia="zh-CN"/>
              </w:rPr>
            </w:pPr>
            <w:r>
              <w:rPr>
                <w:rFonts w:hint="eastAsia"/>
                <w:lang w:val="en-US" w:eastAsia="zh-CN"/>
              </w:rPr>
              <w:t>人员编制：财政所共有编制人员7人（行政编制6人，事业编制1人）实有人数7人。</w:t>
            </w:r>
          </w:p>
          <w:p>
            <w:pPr>
              <w:pStyle w:val="2"/>
              <w:ind w:left="0" w:leftChars="0" w:firstLine="0" w:firstLineChars="0"/>
              <w:rPr>
                <w:rFonts w:hint="default" w:ascii="Times New Roman" w:hAnsi="Times New Roman" w:eastAsia="宋体" w:cs="Times New Roman"/>
                <w:kern w:val="2"/>
                <w:sz w:val="21"/>
                <w:szCs w:val="24"/>
                <w:lang w:val="en-US" w:eastAsia="zh-CN" w:bidi="ar-SA"/>
              </w:rPr>
            </w:pPr>
            <w:r>
              <w:rPr>
                <w:rFonts w:hint="eastAsia"/>
                <w:lang w:val="en-US" w:eastAsia="zh-CN"/>
              </w:rPr>
              <w:t xml:space="preserve">   </w:t>
            </w:r>
            <w:r>
              <w:rPr>
                <w:rFonts w:hint="eastAsia" w:ascii="Times New Roman" w:hAnsi="Times New Roman" w:eastAsia="宋体" w:cs="Times New Roman"/>
                <w:kern w:val="2"/>
                <w:sz w:val="21"/>
                <w:szCs w:val="24"/>
                <w:lang w:val="en-US" w:eastAsia="zh-CN" w:bidi="ar-SA"/>
              </w:rPr>
              <w:t>职能职责概述</w:t>
            </w:r>
            <w:r>
              <w:rPr>
                <w:rFonts w:hint="eastAsia"/>
                <w:lang w:val="en-US" w:eastAsia="zh-CN"/>
              </w:rPr>
              <w:t>：</w:t>
            </w:r>
            <w:r>
              <w:rPr>
                <w:rFonts w:hint="eastAsia" w:ascii="Times New Roman" w:hAnsi="Times New Roman" w:eastAsia="宋体" w:cs="Times New Roman"/>
                <w:kern w:val="2"/>
                <w:sz w:val="21"/>
                <w:szCs w:val="24"/>
                <w:lang w:val="en-US" w:eastAsia="zh-CN" w:bidi="ar-SA"/>
              </w:rPr>
              <w:t>贯彻执行国家有关财政管理等方面的法律、法规和规章；拟定和执行乡镇财政发展规划及其他有关政策。编制乡镇年度财政预算草案并组织执行；向乡镇人大报告财政决算；管理和监督乡镇各项财政收支。负责对各类专项资金的监管，提高财政资金使用效率。提出加强财政管理的政策建议，负责财政税收政策法规的宣传工作。</w:t>
            </w:r>
          </w:p>
          <w:p>
            <w:pPr>
              <w:numPr>
                <w:ilvl w:val="0"/>
                <w:numId w:val="1"/>
              </w:numPr>
              <w:spacing w:line="560" w:lineRule="exact"/>
              <w:ind w:firstLine="560" w:firstLineChars="200"/>
              <w:rPr>
                <w:rFonts w:hint="eastAsia"/>
              </w:rPr>
            </w:pPr>
            <w:r>
              <w:rPr>
                <w:rFonts w:hint="eastAsia" w:ascii="仿宋_GB2312" w:hAnsi="仿宋_GB2312" w:eastAsia="仿宋_GB2312" w:cs="仿宋_GB2312"/>
                <w:bCs/>
                <w:sz w:val="28"/>
                <w:szCs w:val="28"/>
              </w:rPr>
              <w:t>部门（单位）整体支出规模、使用方向和主要内容、涉及范围等</w:t>
            </w:r>
          </w:p>
          <w:p>
            <w:pPr>
              <w:pStyle w:val="2"/>
              <w:rPr>
                <w:rFonts w:hint="default"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本年实现年度收入112万元，其中公共财政预算拨款112万元，本年度实际支出112万元，主要是基本支出112万元，其中人员经费支出95.3万元，公用经费支出16.7万元。</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pStyle w:val="2"/>
              <w:rPr>
                <w:rFonts w:hint="default"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本年度实现年度收入112万元，实际支出112万元，其中人员经费支出95.3万元，公用经费支出16.7万元，主要是用于工资福利、行政运行、日常公用支出等。</w:t>
            </w:r>
          </w:p>
          <w:p>
            <w:pPr>
              <w:numPr>
                <w:ilvl w:val="0"/>
                <w:numId w:val="1"/>
              </w:numPr>
              <w:spacing w:line="560" w:lineRule="exact"/>
              <w:ind w:left="0" w:leftChars="0"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项目支出</w:t>
            </w:r>
          </w:p>
          <w:p>
            <w:pPr>
              <w:pStyle w:val="2"/>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无项目支出</w:t>
            </w:r>
          </w:p>
          <w:p>
            <w:pPr>
              <w:numPr>
                <w:ilvl w:val="0"/>
                <w:numId w:val="2"/>
              </w:numPr>
              <w:spacing w:line="560" w:lineRule="exact"/>
              <w:ind w:firstLine="560" w:firstLineChars="200"/>
              <w:rPr>
                <w:rFonts w:hint="eastAsia"/>
                <w:lang w:eastAsia="zh-CN"/>
              </w:rPr>
            </w:pPr>
            <w:r>
              <w:rPr>
                <w:rFonts w:hint="eastAsia" w:ascii="仿宋_GB2312" w:hAnsi="仿宋_GB2312" w:eastAsia="仿宋_GB2312" w:cs="仿宋_GB2312"/>
                <w:bCs/>
                <w:sz w:val="28"/>
                <w:szCs w:val="28"/>
                <w:lang w:eastAsia="zh-CN"/>
              </w:rPr>
              <w:t>项目</w:t>
            </w:r>
            <w:r>
              <w:rPr>
                <w:rFonts w:hint="eastAsia" w:ascii="仿宋_GB2312" w:hAnsi="仿宋_GB2312" w:eastAsia="仿宋_GB2312" w:cs="仿宋_GB2312"/>
                <w:bCs/>
                <w:sz w:val="28"/>
                <w:szCs w:val="28"/>
              </w:rPr>
              <w:t>资金安排落实、总投入等情况分析</w:t>
            </w:r>
            <w:r>
              <w:rPr>
                <w:rFonts w:hint="eastAsia" w:ascii="仿宋_GB2312" w:hAnsi="仿宋_GB2312" w:eastAsia="仿宋_GB2312" w:cs="仿宋_GB2312"/>
                <w:bCs/>
                <w:sz w:val="28"/>
                <w:szCs w:val="28"/>
                <w:lang w:eastAsia="zh-CN"/>
              </w:rPr>
              <w:t>：无</w:t>
            </w:r>
          </w:p>
          <w:p>
            <w:p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rPr>
              <w:t>2、</w:t>
            </w:r>
            <w:r>
              <w:rPr>
                <w:rFonts w:hint="eastAsia" w:ascii="仿宋_GB2312" w:hAnsi="仿宋_GB2312" w:eastAsia="仿宋_GB2312" w:cs="仿宋_GB2312"/>
                <w:bCs/>
                <w:sz w:val="28"/>
                <w:szCs w:val="28"/>
                <w:lang w:eastAsia="zh-CN"/>
              </w:rPr>
              <w:t>项目</w:t>
            </w:r>
            <w:r>
              <w:rPr>
                <w:rFonts w:hint="eastAsia" w:ascii="仿宋_GB2312" w:hAnsi="仿宋_GB2312" w:eastAsia="仿宋_GB2312" w:cs="仿宋_GB2312"/>
                <w:bCs/>
                <w:sz w:val="28"/>
                <w:szCs w:val="28"/>
              </w:rPr>
              <w:t>资金实际使用情况分析</w:t>
            </w:r>
            <w:r>
              <w:rPr>
                <w:rFonts w:hint="eastAsia" w:ascii="仿宋_GB2312" w:hAnsi="仿宋_GB2312" w:eastAsia="仿宋_GB2312" w:cs="仿宋_GB2312"/>
                <w:bCs/>
                <w:sz w:val="28"/>
                <w:szCs w:val="28"/>
                <w:lang w:eastAsia="zh-CN"/>
              </w:rPr>
              <w:t>：无</w:t>
            </w:r>
          </w:p>
          <w:p>
            <w:p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rPr>
              <w:t>3、</w:t>
            </w:r>
            <w:r>
              <w:rPr>
                <w:rFonts w:hint="eastAsia" w:ascii="仿宋_GB2312" w:hAnsi="仿宋_GB2312" w:eastAsia="仿宋_GB2312" w:cs="仿宋_GB2312"/>
                <w:bCs/>
                <w:sz w:val="28"/>
                <w:szCs w:val="28"/>
                <w:lang w:eastAsia="zh-CN"/>
              </w:rPr>
              <w:t>项目</w:t>
            </w:r>
            <w:r>
              <w:rPr>
                <w:rFonts w:hint="eastAsia" w:ascii="仿宋_GB2312" w:hAnsi="仿宋_GB2312" w:eastAsia="仿宋_GB2312" w:cs="仿宋_GB2312"/>
                <w:bCs/>
                <w:sz w:val="28"/>
                <w:szCs w:val="28"/>
              </w:rPr>
              <w:t>资金管理情况分析</w:t>
            </w:r>
            <w:r>
              <w:rPr>
                <w:rFonts w:hint="eastAsia" w:ascii="仿宋_GB2312" w:hAnsi="仿宋_GB2312" w:eastAsia="仿宋_GB2312" w:cs="仿宋_GB2312"/>
                <w:bCs/>
                <w:sz w:val="28"/>
                <w:szCs w:val="28"/>
                <w:lang w:eastAsia="zh-CN"/>
              </w:rPr>
              <w:t>：无</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三、部门（单位）</w:t>
            </w:r>
            <w:r>
              <w:rPr>
                <w:rFonts w:hint="eastAsia" w:ascii="黑体" w:hAnsi="黑体" w:eastAsia="黑体" w:cs="黑体"/>
                <w:bCs/>
                <w:sz w:val="28"/>
                <w:szCs w:val="28"/>
                <w:lang w:eastAsia="zh-CN"/>
              </w:rPr>
              <w:t>项目</w:t>
            </w:r>
            <w:r>
              <w:rPr>
                <w:rFonts w:hint="eastAsia" w:ascii="黑体" w:hAnsi="黑体" w:eastAsia="黑体" w:cs="黑体"/>
                <w:bCs/>
                <w:sz w:val="28"/>
                <w:szCs w:val="28"/>
              </w:rPr>
              <w:t>组织实施情况</w:t>
            </w:r>
          </w:p>
          <w:p>
            <w:p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rPr>
              <w:t>（一）</w:t>
            </w:r>
            <w:r>
              <w:rPr>
                <w:rFonts w:hint="eastAsia" w:ascii="仿宋_GB2312" w:hAnsi="仿宋_GB2312" w:eastAsia="仿宋_GB2312" w:cs="仿宋_GB2312"/>
                <w:bCs/>
                <w:sz w:val="28"/>
                <w:szCs w:val="28"/>
                <w:lang w:eastAsia="zh-CN"/>
              </w:rPr>
              <w:t>项目</w:t>
            </w:r>
            <w:r>
              <w:rPr>
                <w:rFonts w:hint="eastAsia" w:ascii="仿宋_GB2312" w:hAnsi="仿宋_GB2312" w:eastAsia="仿宋_GB2312" w:cs="仿宋_GB2312"/>
                <w:bCs/>
                <w:sz w:val="28"/>
                <w:szCs w:val="28"/>
              </w:rPr>
              <w:t>组织情况分析</w:t>
            </w:r>
            <w:r>
              <w:rPr>
                <w:rFonts w:hint="eastAsia" w:ascii="仿宋_GB2312" w:hAnsi="仿宋_GB2312" w:eastAsia="仿宋_GB2312" w:cs="仿宋_GB2312"/>
                <w:bCs/>
                <w:sz w:val="28"/>
                <w:szCs w:val="28"/>
                <w:lang w:eastAsia="zh-CN"/>
              </w:rPr>
              <w:t>：无</w:t>
            </w:r>
          </w:p>
          <w:p>
            <w:p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rPr>
              <w:t>（二）</w:t>
            </w:r>
            <w:r>
              <w:rPr>
                <w:rFonts w:hint="eastAsia" w:ascii="仿宋_GB2312" w:hAnsi="仿宋_GB2312" w:eastAsia="仿宋_GB2312" w:cs="仿宋_GB2312"/>
                <w:bCs/>
                <w:sz w:val="28"/>
                <w:szCs w:val="28"/>
                <w:lang w:eastAsia="zh-CN"/>
              </w:rPr>
              <w:t>项目</w:t>
            </w:r>
            <w:r>
              <w:rPr>
                <w:rFonts w:hint="eastAsia" w:ascii="仿宋_GB2312" w:hAnsi="仿宋_GB2312" w:eastAsia="仿宋_GB2312" w:cs="仿宋_GB2312"/>
                <w:bCs/>
                <w:sz w:val="28"/>
                <w:szCs w:val="28"/>
              </w:rPr>
              <w:t>管理情况分析</w:t>
            </w:r>
            <w:r>
              <w:rPr>
                <w:rFonts w:hint="eastAsia" w:ascii="仿宋_GB2312" w:hAnsi="仿宋_GB2312" w:eastAsia="仿宋_GB2312" w:cs="仿宋_GB2312"/>
                <w:bCs/>
                <w:sz w:val="28"/>
                <w:szCs w:val="28"/>
                <w:lang w:eastAsia="zh-CN"/>
              </w:rPr>
              <w:t>：无</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四、部门（单位）整体支出绩效情况</w:t>
            </w:r>
          </w:p>
          <w:p>
            <w:pPr>
              <w:pStyle w:val="2"/>
              <w:rPr>
                <w:rFonts w:hint="eastAsia" w:ascii="仿宋" w:hAnsi="仿宋" w:eastAsia="仿宋" w:cs="仿宋"/>
                <w:i w:val="0"/>
                <w:iCs w:val="0"/>
                <w:caps w:val="0"/>
                <w:color w:val="333333"/>
                <w:spacing w:val="0"/>
                <w:sz w:val="32"/>
                <w:szCs w:val="32"/>
              </w:rPr>
            </w:pPr>
            <w:r>
              <w:rPr>
                <w:rFonts w:ascii="仿宋" w:hAnsi="仿宋" w:eastAsia="仿宋" w:cs="仿宋"/>
                <w:i w:val="0"/>
                <w:iCs w:val="0"/>
                <w:caps w:val="0"/>
                <w:color w:val="333333"/>
                <w:spacing w:val="0"/>
                <w:sz w:val="32"/>
                <w:szCs w:val="32"/>
              </w:rPr>
              <w:t>结合本单位实际，重点建立和完善工作、纪律、财务、内控等基本制度，使我乡业务建设、队伍建设、廉政建设、协作协调等各项工作有章可循。如制订了《财务管理制度》、《内务管理制度》等制度，从而使干部自律与制度监管相结合，内部监督与外部监督相结合，学习教育与查处惩戒相结合，确保对全体机关干部特别是领导干部监督的落实到位。健立健全内部管理制度体系。健全集体领导和分工负责制度，坚持重大决策、重大项目安排、大额度资金使用集体研究，严格执行部门预算、国库集中支付、政府采购和</w:t>
            </w:r>
            <w:r>
              <w:rPr>
                <w:rFonts w:hint="eastAsia" w:ascii="仿宋" w:hAnsi="仿宋" w:eastAsia="仿宋" w:cs="仿宋"/>
                <w:i w:val="0"/>
                <w:iCs w:val="0"/>
                <w:caps w:val="0"/>
                <w:color w:val="333333"/>
                <w:spacing w:val="0"/>
                <w:sz w:val="32"/>
                <w:szCs w:val="32"/>
              </w:rPr>
              <w:t>“收支两条线”，坚决禁止“小金库” 等财务管理制度。严控“三公”经费，坚决贯彻中央八项规定，切实降低“三公”经费开支。</w:t>
            </w:r>
          </w:p>
          <w:p>
            <w:pPr>
              <w:pStyle w:val="2"/>
              <w:rPr>
                <w:rFonts w:ascii="仿宋" w:hAnsi="仿宋" w:eastAsia="仿宋" w:cs="仿宋"/>
                <w:i w:val="0"/>
                <w:iCs w:val="0"/>
                <w:caps w:val="0"/>
                <w:color w:val="333333"/>
                <w:spacing w:val="0"/>
                <w:sz w:val="32"/>
                <w:szCs w:val="32"/>
                <w:shd w:val="clear" w:fill="FFFFFF"/>
              </w:rPr>
            </w:pPr>
            <w:r>
              <w:rPr>
                <w:rFonts w:ascii="仿宋" w:hAnsi="仿宋" w:eastAsia="仿宋" w:cs="仿宋"/>
                <w:i w:val="0"/>
                <w:iCs w:val="0"/>
                <w:caps w:val="0"/>
                <w:color w:val="333333"/>
                <w:spacing w:val="0"/>
                <w:sz w:val="32"/>
                <w:szCs w:val="32"/>
                <w:shd w:val="clear" w:fill="FFFFFF"/>
              </w:rPr>
              <w:t>本单位严格按照规定进行科学、合理的预算绩效编制，确保绩效目标填报的完整性和可行性、绩效目标过程监控的规范性和长效性、绩效评价的客观性和公正性。</w:t>
            </w:r>
          </w:p>
          <w:p>
            <w:pPr>
              <w:pStyle w:val="2"/>
              <w:rPr>
                <w:rFonts w:ascii="仿宋" w:hAnsi="仿宋" w:eastAsia="仿宋" w:cs="仿宋"/>
                <w:i w:val="0"/>
                <w:iCs w:val="0"/>
                <w:caps w:val="0"/>
                <w:color w:val="333333"/>
                <w:spacing w:val="0"/>
                <w:sz w:val="32"/>
                <w:szCs w:val="32"/>
                <w:shd w:val="clear" w:fill="FFFFFF"/>
              </w:rPr>
            </w:pPr>
            <w:r>
              <w:rPr>
                <w:rFonts w:ascii="仿宋" w:hAnsi="仿宋" w:eastAsia="仿宋" w:cs="仿宋"/>
                <w:i w:val="0"/>
                <w:iCs w:val="0"/>
                <w:caps w:val="0"/>
                <w:color w:val="333333"/>
                <w:spacing w:val="0"/>
                <w:sz w:val="32"/>
                <w:szCs w:val="32"/>
                <w:shd w:val="clear" w:fill="FFFFFF"/>
              </w:rPr>
              <w:t>本单位严格按规定进行政府性债务管理、非税收入执收、政府采购实施计划、资产管理、内控制度管理、信息公开、绩效评价和依法接受财政监督等。</w:t>
            </w:r>
          </w:p>
          <w:p>
            <w:pPr>
              <w:pStyle w:val="2"/>
              <w:rPr>
                <w:rFonts w:hint="eastAsia" w:eastAsia="仿宋"/>
                <w:lang w:eastAsia="zh-CN"/>
              </w:rPr>
            </w:pPr>
            <w:r>
              <w:rPr>
                <w:rFonts w:ascii="仿宋" w:hAnsi="仿宋" w:eastAsia="仿宋" w:cs="仿宋"/>
                <w:i w:val="0"/>
                <w:iCs w:val="0"/>
                <w:caps w:val="0"/>
                <w:color w:val="333333"/>
                <w:spacing w:val="0"/>
                <w:sz w:val="32"/>
                <w:szCs w:val="32"/>
              </w:rPr>
              <w:t>本单位严格预算管理、确保预算编制准确</w:t>
            </w:r>
            <w:r>
              <w:rPr>
                <w:rFonts w:hint="eastAsia" w:ascii="仿宋" w:hAnsi="仿宋" w:eastAsia="仿宋" w:cs="仿宋"/>
                <w:i w:val="0"/>
                <w:iCs w:val="0"/>
                <w:caps w:val="0"/>
                <w:color w:val="333333"/>
                <w:spacing w:val="0"/>
                <w:sz w:val="32"/>
                <w:szCs w:val="32"/>
              </w:rPr>
              <w:t>;严格支出控制，在资金预算、动态调整、审批、执行、支付等环节中能做到层层把关，按制度执行，确保财政资金的安全和高效运行;能按时、按质、按量完成。无违规记录等情况。</w:t>
            </w:r>
          </w:p>
          <w:p>
            <w:pPr>
              <w:numPr>
                <w:ilvl w:val="0"/>
                <w:numId w:val="3"/>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存在的主要问题</w:t>
            </w:r>
          </w:p>
          <w:p>
            <w:pPr>
              <w:pStyle w:val="2"/>
              <w:numPr>
                <w:ilvl w:val="0"/>
                <w:numId w:val="0"/>
              </w:numPr>
              <w:rPr>
                <w:rFonts w:hint="eastAsia" w:eastAsia="仿宋_GB2312"/>
                <w:lang w:eastAsia="zh-CN"/>
              </w:rPr>
            </w:pPr>
            <w:r>
              <w:rPr>
                <w:rFonts w:ascii="仿宋" w:hAnsi="仿宋" w:eastAsia="仿宋" w:cs="仿宋"/>
                <w:i w:val="0"/>
                <w:iCs w:val="0"/>
                <w:caps w:val="0"/>
                <w:color w:val="333333"/>
                <w:spacing w:val="0"/>
                <w:sz w:val="32"/>
                <w:szCs w:val="32"/>
                <w:shd w:val="clear" w:fill="FFFFFF"/>
              </w:rPr>
              <w:t>随着资金管理改革的进一步推进，我单位内部机构进行了相应的优化，建立健全了财务管理制度、固定资产管理制度、费用报销规程等制度，但仍需进一步强化财务约束监督体制。</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六、改进措施和有关建议</w:t>
            </w:r>
          </w:p>
          <w:p>
            <w:pPr>
              <w:rPr>
                <w:rFonts w:eastAsia="楷体_GB2312"/>
                <w:bCs/>
                <w:sz w:val="28"/>
                <w:szCs w:val="28"/>
              </w:rPr>
            </w:pPr>
            <w:r>
              <w:rPr>
                <w:rFonts w:ascii="仿宋" w:hAnsi="仿宋" w:eastAsia="仿宋" w:cs="仿宋"/>
                <w:i w:val="0"/>
                <w:iCs w:val="0"/>
                <w:caps w:val="0"/>
                <w:color w:val="333333"/>
                <w:spacing w:val="0"/>
                <w:sz w:val="32"/>
                <w:szCs w:val="32"/>
                <w:shd w:val="clear" w:fill="FFFFFF"/>
              </w:rPr>
              <w:t>加强队伍建设及相关业务知识，严格执行预算，提高预算编制的科学性及合理性,为资金管理及绩效评价工作开展创造好的条件。</w:t>
            </w:r>
          </w:p>
        </w:tc>
      </w:tr>
    </w:tbl>
    <w:p>
      <w:pPr>
        <w:spacing w:line="348" w:lineRule="auto"/>
        <w:rPr>
          <w:rFonts w:eastAsia="楷体_GB2312"/>
          <w:bCs/>
          <w:sz w:val="28"/>
          <w:szCs w:val="28"/>
        </w:rPr>
      </w:pPr>
    </w:p>
    <w:p>
      <w:pPr>
        <w:rPr>
          <w:rFonts w:ascii="黑体" w:hAnsi="黑体" w:eastAsia="黑体"/>
          <w:sz w:val="32"/>
          <w:szCs w:val="32"/>
        </w:rPr>
      </w:pPr>
      <w:r>
        <w:rPr>
          <w:rFonts w:eastAsia="楷体_GB2312"/>
          <w:bCs/>
          <w:sz w:val="28"/>
          <w:szCs w:val="28"/>
        </w:rPr>
        <w:br w:type="page"/>
      </w:r>
    </w:p>
    <w:p>
      <w:pPr>
        <w:rPr>
          <w:rFonts w:hint="eastAsia" w:ascii="黑体" w:hAnsi="黑体" w:eastAsia="黑体"/>
          <w:sz w:val="32"/>
          <w:szCs w:val="32"/>
        </w:rPr>
      </w:pP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7"/>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预算管理</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7"/>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①资产保存完整；</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②资产配置合理；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  出（25分</w:t>
            </w:r>
            <w:r>
              <w:rPr>
                <w:rFonts w:hint="eastAsia" w:ascii="仿宋_GB2312" w:hAnsi="宋体" w:eastAsia="仿宋_GB2312" w:cs="宋体"/>
                <w:kern w:val="0"/>
                <w:sz w:val="18"/>
                <w:szCs w:val="18"/>
                <w:lang w:eastAsia="zh-CN"/>
              </w:rPr>
              <w:t>）</w:t>
            </w:r>
          </w:p>
        </w:tc>
        <w:tc>
          <w:tcPr>
            <w:tcW w:w="943"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实施“三高四新”战略</w:t>
            </w:r>
            <w:r>
              <w:rPr>
                <w:rFonts w:hint="eastAsia" w:ascii="仿宋_GB2312" w:hAnsi="宋体" w:eastAsia="仿宋_GB2312" w:cs="宋体"/>
                <w:kern w:val="0"/>
                <w:sz w:val="18"/>
                <w:szCs w:val="18"/>
              </w:rPr>
              <w:t>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hint="eastAsia" w:ascii="仿宋_GB2312" w:hAnsi="宋体" w:eastAsia="仿宋_GB2312" w:cs="宋体"/>
                <w:kern w:val="0"/>
                <w:sz w:val="18"/>
                <w:szCs w:val="18"/>
                <w:lang w:eastAsia="zh-CN"/>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8</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8</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4.5</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99</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adjustRightInd w:val="0"/>
        <w:snapToGrid w:val="0"/>
        <w:spacing w:before="156" w:beforeLines="50"/>
        <w:ind w:firstLine="960" w:firstLineChars="300"/>
        <w:contextualSpacing/>
        <w:rPr>
          <w:rFonts w:hint="eastAsia" w:eastAsia="仿宋_GB2312"/>
          <w:sz w:val="32"/>
        </w:rPr>
      </w:pPr>
    </w:p>
    <w:p>
      <w:pPr>
        <w:pStyle w:val="11"/>
        <w:keepNext w:val="0"/>
        <w:keepLines w:val="0"/>
        <w:pageBreakBefore w:val="0"/>
        <w:kinsoku/>
        <w:wordWrap/>
        <w:overflowPunct/>
        <w:topLinePunct w:val="0"/>
        <w:bidi w:val="0"/>
        <w:snapToGrid/>
        <w:spacing w:line="560" w:lineRule="exact"/>
        <w:jc w:val="center"/>
        <w:rPr>
          <w:rStyle w:val="10"/>
        </w:rPr>
      </w:pPr>
      <w:r>
        <w:rPr>
          <w:rStyle w:val="10"/>
          <w:rFonts w:hint="eastAsia"/>
        </w:rPr>
        <w:t>2021年度预算绩效情况说明</w:t>
      </w:r>
    </w:p>
    <w:p>
      <w:pPr>
        <w:keepNext w:val="0"/>
        <w:keepLines w:val="0"/>
        <w:pageBreakBefore w:val="0"/>
        <w:kinsoku/>
        <w:wordWrap/>
        <w:overflowPunct/>
        <w:topLinePunct w:val="0"/>
        <w:autoSpaceDE w:val="0"/>
        <w:autoSpaceDN w:val="0"/>
        <w:bidi w:val="0"/>
        <w:adjustRightInd w:val="0"/>
        <w:snapToGrid/>
        <w:spacing w:line="560" w:lineRule="exact"/>
        <w:ind w:firstLine="643"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（1）绩效管理评价工作开展情况</w:t>
      </w:r>
      <w:r>
        <w:rPr>
          <w:rFonts w:hint="eastAsia" w:cs="黑体" w:asciiTheme="minorEastAsia" w:hAnsiTheme="minorEastAsia"/>
          <w:color w:val="000000"/>
          <w:kern w:val="0"/>
          <w:sz w:val="32"/>
          <w:szCs w:val="32"/>
        </w:rPr>
        <w:t>。</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根据预算绩效管理要求，我部门组织对</w:t>
      </w:r>
      <w:r>
        <w:rPr>
          <w:rFonts w:cs="黑体" w:asciiTheme="minorEastAsia" w:hAnsiTheme="minorEastAsia"/>
          <w:color w:val="000000"/>
          <w:kern w:val="0"/>
          <w:sz w:val="32"/>
          <w:szCs w:val="32"/>
        </w:rPr>
        <w:t>2021</w:t>
      </w:r>
      <w:r>
        <w:rPr>
          <w:rFonts w:hint="eastAsia" w:cs="黑体" w:asciiTheme="minorEastAsia" w:hAnsiTheme="minorEastAsia"/>
          <w:color w:val="000000"/>
          <w:kern w:val="0"/>
          <w:sz w:val="32"/>
          <w:szCs w:val="32"/>
        </w:rPr>
        <w:t>年度一般公共预算项目支出全面开展绩效自评，</w:t>
      </w:r>
      <w:r>
        <w:rPr>
          <w:rFonts w:hint="eastAsia" w:cs="黑体" w:asciiTheme="minorEastAsia" w:hAnsiTheme="minorEastAsia"/>
          <w:kern w:val="0"/>
          <w:sz w:val="32"/>
          <w:szCs w:val="32"/>
        </w:rPr>
        <w:t>共涉及资金</w:t>
      </w:r>
      <w:r>
        <w:rPr>
          <w:rFonts w:hint="eastAsia" w:ascii="宋体" w:hAnsi="Calibri" w:eastAsia="宋体" w:cs="宋体"/>
          <w:bCs/>
          <w:sz w:val="32"/>
          <w:szCs w:val="32"/>
        </w:rPr>
        <w:t>0</w:t>
      </w:r>
      <w:r>
        <w:rPr>
          <w:rFonts w:hint="eastAsia" w:cs="黑体" w:asciiTheme="minorEastAsia" w:hAnsiTheme="minorEastAsia"/>
          <w:kern w:val="0"/>
          <w:sz w:val="32"/>
          <w:szCs w:val="32"/>
        </w:rPr>
        <w:t>万元，</w:t>
      </w:r>
      <w:r>
        <w:rPr>
          <w:rFonts w:hint="eastAsia" w:cs="黑体" w:asciiTheme="minorEastAsia" w:hAnsiTheme="minorEastAsia"/>
          <w:color w:val="000000"/>
          <w:kern w:val="0"/>
          <w:sz w:val="32"/>
          <w:szCs w:val="32"/>
        </w:rPr>
        <w:t>占一般公共预算项目支出总额的100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。组织对</w:t>
      </w:r>
      <w:r>
        <w:rPr>
          <w:rFonts w:cs="黑体" w:asciiTheme="minorEastAsia" w:hAnsiTheme="minorEastAsia"/>
          <w:color w:val="000000"/>
          <w:kern w:val="0"/>
          <w:sz w:val="32"/>
          <w:szCs w:val="32"/>
        </w:rPr>
        <w:t>2021</w:t>
      </w:r>
      <w:r>
        <w:rPr>
          <w:rFonts w:hint="eastAsia" w:cs="黑体" w:asciiTheme="minorEastAsia" w:hAnsiTheme="minorEastAsia"/>
          <w:color w:val="000000"/>
          <w:kern w:val="0"/>
          <w:sz w:val="32"/>
          <w:szCs w:val="32"/>
        </w:rPr>
        <w:t>年度政府性基金预算项目支出开展绩效自评，共涉及资金</w:t>
      </w:r>
      <w:r>
        <w:rPr>
          <w:rFonts w:hint="eastAsia" w:ascii="宋体" w:hAnsi="Calibri" w:eastAsia="宋体" w:cs="宋体"/>
          <w:bCs/>
          <w:sz w:val="32"/>
          <w:szCs w:val="32"/>
        </w:rPr>
        <w:t>0</w:t>
      </w:r>
      <w:r>
        <w:rPr>
          <w:rFonts w:hint="eastAsia" w:cs="黑体" w:asciiTheme="minorEastAsia" w:hAnsiTheme="minorEastAsia"/>
          <w:color w:val="000000"/>
          <w:kern w:val="0"/>
          <w:sz w:val="32"/>
          <w:szCs w:val="32"/>
        </w:rPr>
        <w:t>万元，占政府性基金预算项目支出总额的100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。组织对</w:t>
      </w:r>
      <w:r>
        <w:rPr>
          <w:rFonts w:cs="黑体" w:asciiTheme="minorEastAsia" w:hAnsiTheme="minorEastAsia"/>
          <w:color w:val="000000"/>
          <w:kern w:val="0"/>
          <w:sz w:val="32"/>
          <w:szCs w:val="32"/>
        </w:rPr>
        <w:t>2021</w:t>
      </w:r>
      <w:r>
        <w:rPr>
          <w:rFonts w:hint="eastAsia" w:cs="黑体" w:asciiTheme="minorEastAsia" w:hAnsiTheme="minorEastAsia"/>
          <w:color w:val="000000"/>
          <w:kern w:val="0"/>
          <w:sz w:val="32"/>
          <w:szCs w:val="32"/>
        </w:rPr>
        <w:t>年度国有资本经营预算项目支出开展绩效自评，共涉及资金0</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万元，占国有资本经营预算项目支出总额的100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组织对项目开展了部门评价，涉及一般公共预算支出</w:t>
      </w:r>
      <w:r>
        <w:rPr>
          <w:rFonts w:hint="eastAsia" w:ascii="宋体" w:hAnsi="Calibri" w:eastAsia="宋体" w:cs="宋体"/>
          <w:bCs/>
          <w:sz w:val="32"/>
          <w:szCs w:val="32"/>
        </w:rPr>
        <w:t>0</w:t>
      </w:r>
      <w:r>
        <w:rPr>
          <w:rFonts w:hint="eastAsia" w:cs="黑体" w:asciiTheme="minorEastAsia" w:hAnsiTheme="minorEastAsia"/>
          <w:color w:val="000000"/>
          <w:kern w:val="0"/>
          <w:sz w:val="32"/>
          <w:szCs w:val="32"/>
        </w:rPr>
        <w:t>万元，政府性基金预算支出</w:t>
      </w:r>
      <w:r>
        <w:rPr>
          <w:rFonts w:hint="eastAsia" w:ascii="宋体" w:hAnsi="Calibri" w:eastAsia="宋体" w:cs="宋体"/>
          <w:bCs/>
          <w:sz w:val="32"/>
          <w:szCs w:val="32"/>
        </w:rPr>
        <w:t>0</w:t>
      </w:r>
      <w:r>
        <w:rPr>
          <w:rFonts w:hint="eastAsia" w:cs="黑体" w:asciiTheme="minorEastAsia" w:hAnsiTheme="minorEastAsia"/>
          <w:color w:val="000000"/>
          <w:kern w:val="0"/>
          <w:sz w:val="32"/>
          <w:szCs w:val="32"/>
        </w:rPr>
        <w:t>万元，国有资本经营预算支出0万元。</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组织对单位开展整体支出绩效评价，涉及一般公共预算支出</w:t>
      </w:r>
      <w:r>
        <w:rPr>
          <w:rFonts w:ascii="宋体" w:hAnsi="Times New Roman" w:eastAsia="宋体" w:cs="宋体"/>
          <w:sz w:val="32"/>
          <w:szCs w:val="32"/>
        </w:rPr>
        <w:t>110</w:t>
      </w:r>
      <w:r>
        <w:rPr>
          <w:rFonts w:hint="eastAsia" w:cs="黑体" w:asciiTheme="minorEastAsia" w:hAnsiTheme="minorEastAsia"/>
          <w:color w:val="000000"/>
          <w:kern w:val="0"/>
          <w:sz w:val="32"/>
          <w:szCs w:val="32"/>
        </w:rPr>
        <w:t>万元，政府性基金预算支出</w:t>
      </w:r>
      <w:r>
        <w:rPr>
          <w:rFonts w:hint="eastAsia" w:ascii="宋体" w:hAnsi="Calibri" w:eastAsia="宋体" w:cs="宋体"/>
          <w:bCs/>
          <w:sz w:val="32"/>
          <w:szCs w:val="32"/>
        </w:rPr>
        <w:t>0</w:t>
      </w:r>
      <w:r>
        <w:rPr>
          <w:rFonts w:hint="eastAsia" w:cs="黑体" w:asciiTheme="minorEastAsia" w:hAnsiTheme="minorEastAsia"/>
          <w:color w:val="000000"/>
          <w:kern w:val="0"/>
          <w:sz w:val="32"/>
          <w:szCs w:val="32"/>
        </w:rPr>
        <w:t>万元。从评价情况来看，</w:t>
      </w:r>
      <w:r>
        <w:rPr>
          <w:rFonts w:hint="eastAsia" w:ascii="宋体" w:hAnsi="Calibri" w:eastAsia="宋体" w:cs="宋体"/>
          <w:bCs/>
          <w:kern w:val="0"/>
          <w:sz w:val="32"/>
          <w:szCs w:val="32"/>
        </w:rPr>
        <w:t>单位根据年初工作规划和重点工作，围绕县委、县政府的工作部署，积极履行职责，强化管理，较好地完成了年度工作目标，同时加强预算收支的管理，建立健全内部管理制度，严格内部管理流程，严控三公经费，厉行节约压减一般性支出，部门整体支出管理得到了提升。</w:t>
      </w:r>
      <w:r>
        <w:rPr>
          <w:rFonts w:hint="eastAsia" w:ascii="宋体" w:hAnsi="Calibri" w:eastAsia="宋体" w:cs="宋体"/>
          <w:bCs/>
          <w:sz w:val="32"/>
          <w:szCs w:val="32"/>
        </w:rPr>
        <w:t>通过整体绩效评价结果显示</w:t>
      </w:r>
      <w:r>
        <w:rPr>
          <w:rFonts w:ascii="宋体" w:hAnsi="Calibri" w:eastAsia="宋体" w:cs="宋体"/>
          <w:bCs/>
          <w:sz w:val="32"/>
          <w:szCs w:val="32"/>
        </w:rPr>
        <w:t>2021</w:t>
      </w:r>
      <w:r>
        <w:rPr>
          <w:rFonts w:hint="eastAsia" w:ascii="宋体" w:hAnsi="Calibri" w:eastAsia="宋体" w:cs="宋体"/>
          <w:bCs/>
          <w:sz w:val="32"/>
          <w:szCs w:val="32"/>
        </w:rPr>
        <w:t>年度整体绩效目标完成情况较好</w:t>
      </w:r>
      <w:r>
        <w:rPr>
          <w:rFonts w:hint="eastAsia" w:cs="黑体" w:asciiTheme="minorEastAsia" w:hAnsiTheme="minorEastAsia"/>
          <w:color w:val="000000"/>
          <w:kern w:val="0"/>
          <w:sz w:val="32"/>
          <w:szCs w:val="32"/>
        </w:rPr>
        <w:t>。</w:t>
      </w:r>
    </w:p>
    <w:p>
      <w:pPr>
        <w:keepNext w:val="0"/>
        <w:keepLines w:val="0"/>
        <w:pageBreakBefore w:val="0"/>
        <w:kinsoku/>
        <w:wordWrap/>
        <w:overflowPunct/>
        <w:topLinePunct w:val="0"/>
        <w:autoSpaceDE w:val="0"/>
        <w:autoSpaceDN w:val="0"/>
        <w:bidi w:val="0"/>
        <w:adjustRightInd w:val="0"/>
        <w:snapToGrid/>
        <w:spacing w:line="560" w:lineRule="exact"/>
        <w:ind w:firstLine="643"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（2）部门评价项目绩效评价结果。</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部门（单位）评价项目绩效评价报告详见附件，同本部门的部门决算一同公开。部门（单位）评价项目绩效评价详见本单位整体支出绩效评价报告。</w:t>
      </w:r>
    </w:p>
    <w:p>
      <w:pPr>
        <w:keepNext w:val="0"/>
        <w:keepLines w:val="0"/>
        <w:pageBreakBefore w:val="0"/>
        <w:kinsoku/>
        <w:wordWrap/>
        <w:overflowPunct/>
        <w:topLinePunct w:val="0"/>
        <w:bidi w:val="0"/>
        <w:snapToGrid/>
        <w:spacing w:line="560" w:lineRule="exact"/>
      </w:pPr>
    </w:p>
    <w:p>
      <w:pPr>
        <w:pStyle w:val="2"/>
        <w:keepNext w:val="0"/>
        <w:keepLines w:val="0"/>
        <w:pageBreakBefore w:val="0"/>
        <w:kinsoku/>
        <w:wordWrap/>
        <w:overflowPunct/>
        <w:topLinePunct w:val="0"/>
        <w:bidi w:val="0"/>
        <w:snapToGrid/>
        <w:spacing w:line="560" w:lineRule="exact"/>
        <w:rPr>
          <w:rFonts w:hint="eastAsia"/>
        </w:rPr>
      </w:pP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18030">
    <w:altName w:val="Times New Roman"/>
    <w:panose1 w:val="00000000000000000000"/>
    <w:charset w:val="00"/>
    <w:family w:val="auto"/>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sz w:val="24"/>
        <w:szCs w:val="24"/>
      </w:rPr>
    </w:pPr>
    <w:r>
      <w:rPr>
        <w:rStyle w:val="9"/>
        <w:rFonts w:hint="eastAsia"/>
        <w:sz w:val="24"/>
        <w:szCs w:val="24"/>
      </w:rPr>
      <w:t xml:space="preserve">— </w:t>
    </w:r>
    <w:r>
      <w:rPr>
        <w:sz w:val="24"/>
        <w:szCs w:val="24"/>
      </w:rPr>
      <w:fldChar w:fldCharType="begin"/>
    </w:r>
    <w:r>
      <w:rPr>
        <w:rStyle w:val="9"/>
        <w:sz w:val="24"/>
        <w:szCs w:val="24"/>
      </w:rPr>
      <w:instrText xml:space="preserve">PAGE  </w:instrText>
    </w:r>
    <w:r>
      <w:rPr>
        <w:sz w:val="24"/>
        <w:szCs w:val="24"/>
      </w:rPr>
      <w:fldChar w:fldCharType="separate"/>
    </w:r>
    <w:r>
      <w:rPr>
        <w:rStyle w:val="9"/>
        <w:sz w:val="24"/>
        <w:szCs w:val="24"/>
      </w:rPr>
      <w:t>1</w:t>
    </w:r>
    <w:r>
      <w:rPr>
        <w:sz w:val="24"/>
        <w:szCs w:val="24"/>
      </w:rPr>
      <w:fldChar w:fldCharType="end"/>
    </w:r>
    <w:r>
      <w:rPr>
        <w:rStyle w:val="9"/>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sz w:val="24"/>
        <w:szCs w:val="24"/>
      </w:rPr>
    </w:pPr>
    <w:r>
      <w:rPr>
        <w:rStyle w:val="9"/>
        <w:rFonts w:hint="eastAsia"/>
        <w:sz w:val="24"/>
        <w:szCs w:val="24"/>
      </w:rPr>
      <w:t xml:space="preserve">— </w:t>
    </w:r>
    <w:r>
      <w:rPr>
        <w:sz w:val="24"/>
        <w:szCs w:val="24"/>
      </w:rPr>
      <w:fldChar w:fldCharType="begin"/>
    </w:r>
    <w:r>
      <w:rPr>
        <w:rStyle w:val="9"/>
        <w:sz w:val="24"/>
        <w:szCs w:val="24"/>
      </w:rPr>
      <w:instrText xml:space="preserve">PAGE  </w:instrText>
    </w:r>
    <w:r>
      <w:rPr>
        <w:sz w:val="24"/>
        <w:szCs w:val="24"/>
      </w:rPr>
      <w:fldChar w:fldCharType="separate"/>
    </w:r>
    <w:r>
      <w:rPr>
        <w:rStyle w:val="9"/>
        <w:sz w:val="24"/>
        <w:szCs w:val="24"/>
      </w:rPr>
      <w:t>18</w:t>
    </w:r>
    <w:r>
      <w:rPr>
        <w:sz w:val="24"/>
        <w:szCs w:val="24"/>
      </w:rPr>
      <w:fldChar w:fldCharType="end"/>
    </w:r>
    <w:r>
      <w:rPr>
        <w:rStyle w:val="9"/>
        <w:rFonts w:hint="eastAsia"/>
        <w:sz w:val="24"/>
        <w:szCs w:val="24"/>
      </w:rPr>
      <w:t xml:space="preserve"> —</w:t>
    </w:r>
  </w:p>
  <w:p>
    <w:pPr>
      <w:pStyle w:val="5"/>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Pr>
    </w:pPr>
    <w:r>
      <w:fldChar w:fldCharType="begin"/>
    </w:r>
    <w:r>
      <w:rPr>
        <w:rStyle w:val="9"/>
      </w:rPr>
      <w:instrText xml:space="preserve">PAGE  </w:instrText>
    </w:r>
    <w:r>
      <w:fldChar w:fldCharType="end"/>
    </w:r>
  </w:p>
  <w:p>
    <w:pPr>
      <w:pStyle w:val="5"/>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B5F4A6"/>
    <w:multiLevelType w:val="singleLevel"/>
    <w:tmpl w:val="ACB5F4A6"/>
    <w:lvl w:ilvl="0" w:tentative="0">
      <w:start w:val="5"/>
      <w:numFmt w:val="chineseCounting"/>
      <w:suff w:val="nothing"/>
      <w:lvlText w:val="%1、"/>
      <w:lvlJc w:val="left"/>
      <w:rPr>
        <w:rFonts w:hint="eastAsia"/>
      </w:rPr>
    </w:lvl>
  </w:abstractNum>
  <w:abstractNum w:abstractNumId="1">
    <w:nsid w:val="D9DBD3F8"/>
    <w:multiLevelType w:val="singleLevel"/>
    <w:tmpl w:val="D9DBD3F8"/>
    <w:lvl w:ilvl="0" w:tentative="0">
      <w:start w:val="1"/>
      <w:numFmt w:val="decimal"/>
      <w:suff w:val="nothing"/>
      <w:lvlText w:val="%1、"/>
      <w:lvlJc w:val="left"/>
    </w:lvl>
  </w:abstractNum>
  <w:abstractNum w:abstractNumId="2">
    <w:nsid w:val="6C6456E2"/>
    <w:multiLevelType w:val="singleLevel"/>
    <w:tmpl w:val="6C6456E2"/>
    <w:lvl w:ilvl="0" w:tentative="0">
      <w:start w:val="2"/>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zZjc5NTllMGFiYmY5NmVhMTllZTJlYTQ3YTVjMjgifQ=="/>
  </w:docVars>
  <w:rsids>
    <w:rsidRoot w:val="2CE55C20"/>
    <w:rsid w:val="007B2063"/>
    <w:rsid w:val="04C335CE"/>
    <w:rsid w:val="05F72E03"/>
    <w:rsid w:val="083749E7"/>
    <w:rsid w:val="0A110938"/>
    <w:rsid w:val="0AA7013C"/>
    <w:rsid w:val="0CB679B8"/>
    <w:rsid w:val="0DE528CD"/>
    <w:rsid w:val="0E370B89"/>
    <w:rsid w:val="0FE97C61"/>
    <w:rsid w:val="10054735"/>
    <w:rsid w:val="12103BCB"/>
    <w:rsid w:val="129465AA"/>
    <w:rsid w:val="12971BF6"/>
    <w:rsid w:val="1336279F"/>
    <w:rsid w:val="14911533"/>
    <w:rsid w:val="18725427"/>
    <w:rsid w:val="1BCC11CE"/>
    <w:rsid w:val="1C3B24EC"/>
    <w:rsid w:val="204D1B46"/>
    <w:rsid w:val="233413B5"/>
    <w:rsid w:val="23B77CC6"/>
    <w:rsid w:val="254E2FC7"/>
    <w:rsid w:val="25B607B7"/>
    <w:rsid w:val="263C173A"/>
    <w:rsid w:val="27E92DC7"/>
    <w:rsid w:val="289D055E"/>
    <w:rsid w:val="2A770606"/>
    <w:rsid w:val="2BB807BB"/>
    <w:rsid w:val="2BDC5F40"/>
    <w:rsid w:val="2C9F197B"/>
    <w:rsid w:val="2CA33441"/>
    <w:rsid w:val="2CE55C20"/>
    <w:rsid w:val="2DA76D39"/>
    <w:rsid w:val="2DAC07F4"/>
    <w:rsid w:val="2F287302"/>
    <w:rsid w:val="2F6B44A8"/>
    <w:rsid w:val="30426D13"/>
    <w:rsid w:val="31470958"/>
    <w:rsid w:val="34B05F98"/>
    <w:rsid w:val="353E07FF"/>
    <w:rsid w:val="35EB04E4"/>
    <w:rsid w:val="3A43255A"/>
    <w:rsid w:val="3BDF3093"/>
    <w:rsid w:val="3D6201A1"/>
    <w:rsid w:val="3DF151A7"/>
    <w:rsid w:val="3EC46785"/>
    <w:rsid w:val="3F8A6044"/>
    <w:rsid w:val="420E781C"/>
    <w:rsid w:val="43A702D9"/>
    <w:rsid w:val="44592EA4"/>
    <w:rsid w:val="45F873AB"/>
    <w:rsid w:val="477245B4"/>
    <w:rsid w:val="49617FA5"/>
    <w:rsid w:val="4A2F2787"/>
    <w:rsid w:val="4ADB4F09"/>
    <w:rsid w:val="4BAD6FBB"/>
    <w:rsid w:val="4D171D42"/>
    <w:rsid w:val="4E4F0BB0"/>
    <w:rsid w:val="4EEA0D24"/>
    <w:rsid w:val="52AD62F0"/>
    <w:rsid w:val="580A7D41"/>
    <w:rsid w:val="5BE95901"/>
    <w:rsid w:val="5EB67FEE"/>
    <w:rsid w:val="65A16F34"/>
    <w:rsid w:val="6A0A15CD"/>
    <w:rsid w:val="6D452F22"/>
    <w:rsid w:val="6DC85BA0"/>
    <w:rsid w:val="6DF352BD"/>
    <w:rsid w:val="6FED5B27"/>
    <w:rsid w:val="705E3E6D"/>
    <w:rsid w:val="712A5284"/>
    <w:rsid w:val="71920D86"/>
    <w:rsid w:val="71C1048A"/>
    <w:rsid w:val="7396188C"/>
    <w:rsid w:val="73A6715E"/>
    <w:rsid w:val="73F35F5B"/>
    <w:rsid w:val="75FF45E7"/>
    <w:rsid w:val="79C04582"/>
    <w:rsid w:val="79D56455"/>
    <w:rsid w:val="7A635363"/>
    <w:rsid w:val="7D1F0DA2"/>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BodyText"/>
    <w:basedOn w:val="1"/>
    <w:next w:val="3"/>
    <w:qFormat/>
    <w:uiPriority w:val="0"/>
    <w:pPr>
      <w:widowControl/>
      <w:spacing w:before="100" w:beforeAutospacing="1" w:after="120" w:line="560" w:lineRule="exact"/>
      <w:ind w:firstLine="640" w:firstLineChars="200"/>
      <w:textAlignment w:val="baseline"/>
    </w:pPr>
    <w:rPr>
      <w:rFonts w:eastAsia="仿宋_GB2312"/>
      <w:sz w:val="32"/>
      <w:szCs w:val="32"/>
    </w:rPr>
  </w:style>
  <w:style w:type="paragraph" w:customStyle="1" w:styleId="3">
    <w:name w:val="UserStyle_3"/>
    <w:basedOn w:val="1"/>
    <w:qFormat/>
    <w:uiPriority w:val="0"/>
    <w:pPr>
      <w:widowControl/>
      <w:pBdr>
        <w:top w:val="single" w:color="000000" w:sz="4" w:space="0"/>
        <w:left w:val="single" w:color="000000" w:sz="8" w:space="0"/>
        <w:bottom w:val="single" w:color="000000" w:sz="4" w:space="0"/>
        <w:right w:val="single" w:color="000000" w:sz="4" w:space="0"/>
      </w:pBdr>
      <w:spacing w:before="100" w:beforeAutospacing="1" w:after="100" w:afterAutospacing="1" w:line="560" w:lineRule="exact"/>
      <w:ind w:firstLine="640" w:firstLineChars="200"/>
      <w:jc w:val="center"/>
      <w:textAlignment w:val="baseline"/>
    </w:pPr>
    <w:rPr>
      <w:rFonts w:ascii="???-18030" w:hAnsi="???-18030" w:eastAsia="仿宋_GB2312"/>
      <w:kern w:val="0"/>
      <w:sz w:val="32"/>
      <w:szCs w:val="22"/>
    </w:rPr>
  </w:style>
  <w:style w:type="paragraph" w:styleId="4">
    <w:name w:val="Body Text Indent 2"/>
    <w:basedOn w:val="1"/>
    <w:unhideWhenUsed/>
    <w:qFormat/>
    <w:uiPriority w:val="0"/>
    <w:pPr>
      <w:ind w:firstLine="588" w:firstLineChars="200"/>
    </w:pPr>
    <w:rPr>
      <w:rFonts w:ascii="仿宋_GB2312" w:hAnsi="Calibri" w:eastAsia="仿宋_GB2312"/>
      <w:sz w:val="32"/>
    </w:rPr>
  </w:style>
  <w:style w:type="paragraph" w:styleId="5">
    <w:name w:val="footer"/>
    <w:basedOn w:val="1"/>
    <w:qFormat/>
    <w:uiPriority w:val="0"/>
    <w:pPr>
      <w:tabs>
        <w:tab w:val="center" w:pos="4153"/>
        <w:tab w:val="right" w:pos="8306"/>
      </w:tabs>
      <w:snapToGrid w:val="0"/>
      <w:jc w:val="left"/>
    </w:pPr>
    <w:rPr>
      <w:kern w:val="0"/>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page number"/>
    <w:qFormat/>
    <w:uiPriority w:val="0"/>
  </w:style>
  <w:style w:type="character" w:customStyle="1" w:styleId="10">
    <w:name w:val="标题 3 Char Char"/>
    <w:qFormat/>
    <w:uiPriority w:val="0"/>
    <w:rPr>
      <w:rFonts w:eastAsia="楷体_GB2312"/>
      <w:b/>
      <w:kern w:val="2"/>
      <w:sz w:val="32"/>
      <w:szCs w:val="24"/>
      <w:lang w:val="en-US" w:eastAsia="zh-CN" w:bidi="ar-SA"/>
    </w:rPr>
  </w:style>
  <w:style w:type="paragraph" w:customStyle="1" w:styleId="11">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4821</Words>
  <Characters>5070</Characters>
  <Lines>0</Lines>
  <Paragraphs>0</Paragraphs>
  <TotalTime>1</TotalTime>
  <ScaleCrop>false</ScaleCrop>
  <LinksUpToDate>false</LinksUpToDate>
  <CharactersWithSpaces>5594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戴</cp:lastModifiedBy>
  <cp:lastPrinted>2021-07-12T08:27:00Z</cp:lastPrinted>
  <dcterms:modified xsi:type="dcterms:W3CDTF">2022-11-04T03:01:44Z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67FE81282808428994564729947AD4E3</vt:lpwstr>
  </property>
</Properties>
</file>