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华容县水旱灾害防御事务中心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40003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10 月13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张琼</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13787842533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指挥防汛抗旱，减轻灾害损失。防汛抗旱管理，防洪调度；抗洪抢险组织；抗旱组织。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任务1：协调指导全县防洪，排涝，抗旱工作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任务2：负责全县境内江河湖泊水库的防汛抗旱调度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1，预算平衡情况：2021年预算总收入356.94万元。其中：经费拨款356.94万元；纳入一般公共预算管理的非税收入0万元。预算总支出356.94万元。预算收支平衡。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预算支出分析：2021年基本支出234.94万元，其中：工资福利支出158.8万元；一般商品和服务支出6.21万元；对个人和家庭的补助69.93万元；其他支出0万元。项目支出122万元，其中：专项商品服务支出122万元；专项对个人和家庭的补助万元；债务利息及费用支出0万元；资本性支出（基本建设）0万元；资本性支出828.46万元；对企业补助（基本建设）0万元；对企业补助0万元；对社会保障基金补助0万元；其他支出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 心</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356.94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2、水旱灾害防御事务中心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356.94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172.76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62.19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76.14</w:t>
            </w:r>
            <w:bookmarkStart w:id="0" w:name="_GoBack"/>
            <w:bookmarkEnd w:id="0"/>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 心</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 心</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目标1：防汛抗灾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目标2：抗旱组织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指标1：社会工资水平</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指标1：防守一线大堤325公里</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指标2：防守垸内渍堤129公里</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指标1：2021年度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指标2：2021年度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指标1：人员基本支出经费</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指标2：公用经费金额</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指标1：科学精准调度，成功防御流域性大洪水，有力保障了人民生命财产安全和社会大局稳定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指标1：促进社会健康发展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指标2：维护系统工作健康发展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指标2：社会认可</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肖建华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陈丽华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刘五一</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 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胡向荣</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水旱灾害防御事务中心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张琼             联系电话：13787842533</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根据编委核定，2021年我单位设股室4个。2021年末，我单位共人编制15人，其中行政人员3人，事业人员11人。退休人员4人。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ascii="仿宋_GB2312" w:hAnsi="仿宋_GB2312"/>
                <w:sz w:val="28"/>
                <w:szCs w:val="28"/>
              </w:rPr>
              <w:t>20</w:t>
            </w:r>
            <w:r>
              <w:rPr>
                <w:rFonts w:hint="eastAsia" w:ascii="仿宋_GB2312" w:hAnsi="仿宋_GB2312"/>
                <w:sz w:val="28"/>
                <w:szCs w:val="28"/>
              </w:rPr>
              <w:t>21</w:t>
            </w:r>
            <w:r>
              <w:rPr>
                <w:rFonts w:hint="eastAsia" w:ascii="??_GB2312" w:hAnsi="??_GB2312"/>
                <w:sz w:val="28"/>
                <w:szCs w:val="28"/>
              </w:rPr>
              <w:t>年本单位对财政拨入资金，首先严格按照财政“节约、低耗、高效”的原则开展工作，统筹安排，合理支出。保障和改善民生为重点，增加移民收入，增加移民自我发展能力为目标，维护库区和移民安置社会大局稳定，营造经济和谐发展良好环境。</w:t>
            </w:r>
          </w:p>
          <w:p>
            <w:pPr>
              <w:spacing w:line="560" w:lineRule="exact"/>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cs="仿宋_GB2312"/>
                <w:bCs/>
                <w:sz w:val="28"/>
                <w:szCs w:val="28"/>
              </w:rPr>
            </w:pPr>
            <w:r>
              <w:rPr>
                <w:rFonts w:hint="eastAsia" w:ascii="??_GB2312" w:hAnsi="??_GB2312"/>
                <w:sz w:val="28"/>
                <w:szCs w:val="28"/>
              </w:rPr>
              <w:t>基本支出的主要用途是人员经费和日常公用经费，主要包括人员工资、津贴补贴、年终一次性奖金、社会保障缴费、办公费、印刷费、水费、电费、邮电费、差旅费、维修（护）费、会议费、培训费、“三公”经费、生活补助、住房公积金、其他对个人和家庭的补助支出；其资金的管理通过国库集中支付；对“三公”经费的使用和管理，严格按照“只减不增”的原则控制，本单位“三公”经费及公务接待费</w:t>
            </w:r>
            <w:r>
              <w:rPr>
                <w:rFonts w:hint="eastAsia" w:ascii="仿宋_GB2312" w:hAnsi="仿宋_GB2312" w:eastAsia="仿宋_GB2312" w:cs="仿宋_GB2312"/>
                <w:color w:val="000000"/>
                <w:sz w:val="24"/>
              </w:rPr>
              <w:t>0.5</w:t>
            </w:r>
            <w:r>
              <w:rPr>
                <w:rFonts w:hint="eastAsia" w:ascii="??_GB2312" w:hAnsi="??_GB2312"/>
                <w:sz w:val="28"/>
                <w:szCs w:val="28"/>
              </w:rPr>
              <w:t>万元，公车运行及维护费为0万元.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88" w:firstLineChars="196"/>
              <w:rPr>
                <w:rFonts w:eastAsia="仿宋"/>
                <w:color w:val="000000" w:themeColor="text1"/>
                <w:sz w:val="30"/>
                <w:szCs w:val="30"/>
                <w14:textFill>
                  <w14:solidFill>
                    <w14:schemeClr w14:val="tx1"/>
                  </w14:solidFill>
                </w14:textFill>
              </w:rPr>
            </w:pPr>
            <w:r>
              <w:rPr>
                <w:rFonts w:hint="eastAsia" w:eastAsia="仿宋"/>
                <w:color w:val="000000" w:themeColor="text1"/>
                <w:sz w:val="30"/>
                <w:szCs w:val="30"/>
                <w14:textFill>
                  <w14:solidFill>
                    <w14:schemeClr w14:val="tx1"/>
                  </w14:solidFill>
                </w14:textFill>
              </w:rPr>
              <w:t>我县高度重视防汛抗灾工作，建立了县级防御管理机构，防御管理机构人员配备齐全，职责分工明确，相关经费纳入同级财政预算；在资金管理、项目管理、监督检查等方面均制定了相应的规章制度，后期防汛救灾各项工作基本做到有法可依、有章可循、有据可查、有人负责。</w:t>
            </w:r>
          </w:p>
          <w:p>
            <w:pPr>
              <w:ind w:firstLine="548" w:firstLineChars="196"/>
              <w:rPr>
                <w:rFonts w:eastAsia="仿宋"/>
                <w:color w:val="000000" w:themeColor="text1"/>
                <w:sz w:val="30"/>
                <w:szCs w:val="30"/>
                <w14:textFill>
                  <w14:solidFill>
                    <w14:schemeClr w14:val="tx1"/>
                  </w14:solidFill>
                </w14:textFill>
              </w:rPr>
            </w:pPr>
            <w:r>
              <w:rPr>
                <w:rFonts w:hint="eastAsia" w:eastAsia="仿宋"/>
                <w:color w:val="000000" w:themeColor="text1"/>
                <w:sz w:val="28"/>
                <w:szCs w:val="28"/>
                <w14:textFill>
                  <w14:solidFill>
                    <w14:schemeClr w14:val="tx1"/>
                  </w14:solidFill>
                </w14:textFill>
              </w:rPr>
              <w:t>按照上级防御主管部门要求，2</w:t>
            </w:r>
            <w:r>
              <w:rPr>
                <w:rFonts w:eastAsia="仿宋"/>
                <w:color w:val="000000" w:themeColor="text1"/>
                <w:sz w:val="28"/>
                <w:szCs w:val="28"/>
                <w14:textFill>
                  <w14:solidFill>
                    <w14:schemeClr w14:val="tx1"/>
                  </w14:solidFill>
                </w14:textFill>
              </w:rPr>
              <w:t>021年</w:t>
            </w:r>
            <w:r>
              <w:rPr>
                <w:rFonts w:hint="eastAsia" w:eastAsia="仿宋"/>
                <w:color w:val="000000" w:themeColor="text1"/>
                <w:sz w:val="28"/>
                <w:szCs w:val="28"/>
                <w14:textFill>
                  <w14:solidFill>
                    <w14:schemeClr w14:val="tx1"/>
                  </w14:solidFill>
                </w14:textFill>
              </w:rPr>
              <w:t>我中心组织</w:t>
            </w:r>
            <w:r>
              <w:rPr>
                <w:rFonts w:hint="eastAsia" w:ascii="仿宋_GB2312" w:hAnsi="仿宋_GB2312" w:eastAsia="仿宋_GB2312" w:cs="仿宋_GB2312"/>
                <w:b/>
                <w:color w:val="000000"/>
                <w:sz w:val="28"/>
                <w:szCs w:val="28"/>
              </w:rPr>
              <w:t>狠抓防汛准备工作，筑牢防汛基础保障：制订完善了《防汛应急预案》，《蓄洪垸运用预案》等各类预案14个。2高效组织指挥，确保上下：“一盘棋”，科学调度防汛。</w:t>
            </w:r>
            <w:r>
              <w:rPr>
                <w:rFonts w:hint="eastAsia" w:eastAsia="仿宋"/>
                <w:color w:val="000000" w:themeColor="text1"/>
                <w:sz w:val="28"/>
                <w:szCs w:val="28"/>
                <w14:textFill>
                  <w14:solidFill>
                    <w14:schemeClr w14:val="tx1"/>
                  </w14:solidFill>
                </w14:textFill>
              </w:rPr>
              <w:t>并相应建立和完善了“十四五”规划项目库建设，保证了项</w:t>
            </w:r>
            <w:r>
              <w:rPr>
                <w:rFonts w:hint="eastAsia" w:eastAsia="仿宋"/>
                <w:color w:val="000000" w:themeColor="text1"/>
                <w:sz w:val="30"/>
                <w:szCs w:val="30"/>
                <w14:textFill>
                  <w14:solidFill>
                    <w14:schemeClr w14:val="tx1"/>
                  </w14:solidFill>
                </w14:textFill>
              </w:rPr>
              <w:t>目的可行性、效益性和前瞻性。</w:t>
            </w:r>
          </w:p>
          <w:p>
            <w:pPr>
              <w:spacing w:line="560" w:lineRule="exact"/>
              <w:ind w:firstLine="600" w:firstLineChars="200"/>
              <w:rPr>
                <w:rFonts w:eastAsia="仿宋"/>
                <w:color w:val="000000" w:themeColor="text1"/>
                <w:sz w:val="30"/>
                <w:szCs w:val="30"/>
                <w14:textFill>
                  <w14:solidFill>
                    <w14:schemeClr w14:val="tx1"/>
                  </w14:solidFill>
                </w14:textFill>
              </w:rPr>
            </w:pPr>
            <w:r>
              <w:rPr>
                <w:rFonts w:hint="eastAsia" w:eastAsia="仿宋"/>
                <w:color w:val="000000" w:themeColor="text1"/>
                <w:sz w:val="30"/>
                <w:szCs w:val="30"/>
                <w14:textFill>
                  <w14:solidFill>
                    <w14:schemeClr w14:val="tx1"/>
                  </w14:solidFill>
                </w14:textFill>
              </w:rPr>
              <w:t>认真开展内审工作，配合上级开展内审、审计、稽察，对存在的问题及时落实整改措施，整改到位。</w:t>
            </w:r>
          </w:p>
          <w:p>
            <w:pPr>
              <w:ind w:firstLine="588" w:firstLineChars="196"/>
              <w:rPr>
                <w:rFonts w:eastAsia="仿宋"/>
                <w:color w:val="000000" w:themeColor="text1"/>
                <w:sz w:val="30"/>
                <w:szCs w:val="30"/>
                <w14:textFill>
                  <w14:solidFill>
                    <w14:schemeClr w14:val="tx1"/>
                  </w14:solidFill>
                </w14:textFill>
              </w:rPr>
            </w:pPr>
            <w:r>
              <w:rPr>
                <w:rFonts w:hint="eastAsia" w:eastAsia="仿宋"/>
                <w:color w:val="000000" w:themeColor="text1"/>
                <w:sz w:val="30"/>
                <w:szCs w:val="30"/>
                <w14:textFill>
                  <w14:solidFill>
                    <w14:schemeClr w14:val="tx1"/>
                  </w14:solidFill>
                </w14:textFill>
              </w:rPr>
              <w:t>我中心与财政部门结合实际，制定了绩效管理细则，根据年度财政指标下达和年度计划制定情况，科学设置年度绩效目标，由分管领导牵头、各股室支持配合，共同参与绩效管理和自评工作，准确填报绩效评价数据，在规定期限内完成了202</w:t>
            </w:r>
            <w:r>
              <w:rPr>
                <w:rFonts w:eastAsia="仿宋"/>
                <w:color w:val="000000" w:themeColor="text1"/>
                <w:sz w:val="30"/>
                <w:szCs w:val="30"/>
                <w14:textFill>
                  <w14:solidFill>
                    <w14:schemeClr w14:val="tx1"/>
                  </w14:solidFill>
                </w14:textFill>
              </w:rPr>
              <w:t>1</w:t>
            </w:r>
            <w:r>
              <w:rPr>
                <w:rFonts w:hint="eastAsia" w:eastAsia="仿宋"/>
                <w:color w:val="000000" w:themeColor="text1"/>
                <w:sz w:val="30"/>
                <w:szCs w:val="30"/>
                <w14:textFill>
                  <w14:solidFill>
                    <w14:schemeClr w14:val="tx1"/>
                  </w14:solidFill>
                </w14:textFill>
              </w:rPr>
              <w:t>年度绩效自评工作，并上报了绩效自评材料。</w:t>
            </w:r>
          </w:p>
          <w:p>
            <w:pPr>
              <w:spacing w:line="560" w:lineRule="exact"/>
              <w:rPr>
                <w:rFonts w:eastAsia="仿宋"/>
                <w:color w:val="000000" w:themeColor="text1"/>
                <w:sz w:val="30"/>
                <w:szCs w:val="30"/>
                <w14:textFill>
                  <w14:solidFill>
                    <w14:schemeClr w14:val="tx1"/>
                  </w14:solidFill>
                </w14:textFill>
              </w:rPr>
            </w:pP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ind w:firstLine="588" w:firstLineChars="196"/>
              <w:rPr>
                <w:rFonts w:eastAsia="仿宋"/>
                <w:color w:val="000000" w:themeColor="text1"/>
                <w:sz w:val="30"/>
                <w:szCs w:val="30"/>
                <w14:textFill>
                  <w14:solidFill>
                    <w14:schemeClr w14:val="tx1"/>
                  </w14:solidFill>
                </w14:textFill>
              </w:rPr>
            </w:pPr>
            <w:r>
              <w:rPr>
                <w:rFonts w:hint="eastAsia" w:eastAsia="仿宋"/>
                <w:color w:val="000000" w:themeColor="text1"/>
                <w:sz w:val="30"/>
                <w:szCs w:val="30"/>
                <w14:textFill>
                  <w14:solidFill>
                    <w14:schemeClr w14:val="tx1"/>
                  </w14:solidFill>
                </w14:textFill>
              </w:rPr>
              <w:t>我中心2021年未完成的绩效目标主要体现在项目管理，以及数量指标、质量指标和时效指标等产出指标方面。</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ascii="黑体" w:hAnsi="黑体" w:eastAsia="黑体" w:cs="黑体"/>
                <w:bCs/>
                <w:sz w:val="28"/>
                <w:szCs w:val="28"/>
              </w:rPr>
            </w:pPr>
            <w:r>
              <w:rPr>
                <w:rFonts w:hint="eastAsia" w:eastAsia="仿宋"/>
                <w:color w:val="000000" w:themeColor="text1"/>
                <w:sz w:val="30"/>
                <w:szCs w:val="30"/>
                <w14:textFill>
                  <w14:solidFill>
                    <w14:schemeClr w14:val="tx1"/>
                  </w14:solidFill>
                </w14:textFill>
              </w:rPr>
              <w:t>防御机构是各级政府防汛抗灾工作的主体责任单位，要积极争取各级各部门领导重视，强化防御机构的管理职能，优化防汛救灾资金财政拨付机制，并进一步加强项目实施管理：</w:t>
            </w:r>
            <w:r>
              <w:rPr>
                <w:rFonts w:hint="eastAsia" w:eastAsia="仿宋"/>
                <w:b/>
                <w:color w:val="000000" w:themeColor="text1"/>
                <w:sz w:val="30"/>
                <w:szCs w:val="30"/>
                <w14:textFill>
                  <w14:solidFill>
                    <w14:schemeClr w14:val="tx1"/>
                  </w14:solidFill>
                </w14:textFill>
              </w:rPr>
              <w:t>一是</w:t>
            </w:r>
            <w:r>
              <w:rPr>
                <w:rFonts w:hint="eastAsia" w:eastAsia="仿宋"/>
                <w:color w:val="000000" w:themeColor="text1"/>
                <w:sz w:val="30"/>
                <w:szCs w:val="30"/>
                <w14:textFill>
                  <w14:solidFill>
                    <w14:schemeClr w14:val="tx1"/>
                  </w14:solidFill>
                </w14:textFill>
              </w:rPr>
              <w:t>进一步完善项目储备库，加快项目前期工作进度，强化计划管理意识，加强工作衔接，按规定完成项目备案并及时下达项目计划；</w:t>
            </w:r>
            <w:r>
              <w:rPr>
                <w:rFonts w:hint="eastAsia" w:eastAsia="仿宋"/>
                <w:b/>
                <w:color w:val="000000" w:themeColor="text1"/>
                <w:sz w:val="30"/>
                <w:szCs w:val="30"/>
                <w14:textFill>
                  <w14:solidFill>
                    <w14:schemeClr w14:val="tx1"/>
                  </w14:solidFill>
                </w14:textFill>
              </w:rPr>
              <w:t>二是</w:t>
            </w:r>
            <w:r>
              <w:rPr>
                <w:rFonts w:hint="eastAsia" w:eastAsia="仿宋"/>
                <w:color w:val="000000" w:themeColor="text1"/>
                <w:sz w:val="30"/>
                <w:szCs w:val="30"/>
                <w14:textFill>
                  <w14:solidFill>
                    <w14:schemeClr w14:val="tx1"/>
                  </w14:solidFill>
                </w14:textFill>
              </w:rPr>
              <w:t>要加强与当地主要领导的请示汇报，督促项目单位加快项目验收和结算进度，协调财政支持配合，加大对防汛救灾专项资金的拨付力度，以减少资金结存，确保资金及时发挥效益；</w:t>
            </w:r>
            <w:r>
              <w:rPr>
                <w:rFonts w:hint="eastAsia" w:eastAsia="仿宋"/>
                <w:b/>
                <w:color w:val="000000" w:themeColor="text1"/>
                <w:sz w:val="30"/>
                <w:szCs w:val="30"/>
                <w14:textFill>
                  <w14:solidFill>
                    <w14:schemeClr w14:val="tx1"/>
                  </w14:solidFill>
                </w14:textFill>
              </w:rPr>
              <w:t>三是</w:t>
            </w:r>
            <w:r>
              <w:rPr>
                <w:rFonts w:hint="eastAsia" w:eastAsia="仿宋"/>
                <w:color w:val="000000" w:themeColor="text1"/>
                <w:sz w:val="30"/>
                <w:szCs w:val="30"/>
                <w14:textFill>
                  <w14:solidFill>
                    <w14:schemeClr w14:val="tx1"/>
                  </w14:solidFill>
                </w14:textFill>
              </w:rPr>
              <w:t>建议省、市防御主管部门根据当前防汛救灾工作实际修订完善现行项目与资金管理相关规定，明确和规范项目前期及实施管理相关费用列支，保障项目建设有序有力推进。</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护城大垸沟捞草扫障工程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华容县水旱灾害防御事务中心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水利局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2022年  10 月   13日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191"/>
        <w:gridCol w:w="507"/>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肖建华</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15873095812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r>
              <w:rPr>
                <w:rFonts w:hint="eastAsia" w:eastAsia="仿宋_GB2312"/>
                <w:sz w:val="24"/>
              </w:rPr>
              <w:t>护城大垸</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r>
              <w:rPr>
                <w:rFonts w:hint="eastAsia" w:eastAsia="仿宋_GB2312"/>
                <w:sz w:val="24"/>
              </w:rPr>
              <w:t>410016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2021年   3    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122</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122</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122</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122</w:t>
            </w: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122</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r>
              <w:rPr>
                <w:rFonts w:hint="eastAsia" w:eastAsia="仿宋_GB2312"/>
                <w:sz w:val="24"/>
              </w:rPr>
              <w:t>122</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sz w:val="24"/>
              </w:rPr>
            </w:pPr>
            <w:r>
              <w:rPr>
                <w:rFonts w:hint="eastAsia"/>
                <w:sz w:val="24"/>
              </w:rPr>
              <w:t>护城大垸（花兰窖）</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42万元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12月31日18号凭证</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sz w:val="24"/>
              </w:rPr>
            </w:pPr>
            <w:r>
              <w:rPr>
                <w:rFonts w:hint="eastAsia"/>
                <w:sz w:val="24"/>
              </w:rPr>
              <w:t>护城大垸（石山矶）</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40万元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12月31日18号凭证</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sz w:val="24"/>
              </w:rPr>
              <w:t>城大垸（城排）</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40万元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12月31日18号凭证</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r>
              <w:rPr>
                <w:rFonts w:hint="eastAsia" w:eastAsia="仿宋_GB2312"/>
                <w:b/>
                <w:sz w:val="24"/>
              </w:rPr>
              <w:t>122万元</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r>
              <w:rPr>
                <w:rFonts w:hint="eastAsia" w:eastAsia="仿宋_GB2312"/>
                <w:b/>
                <w:sz w:val="24"/>
              </w:rPr>
              <w:t>100%</w:t>
            </w: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131" w:type="dxa"/>
            <w:gridSpan w:val="4"/>
            <w:vAlign w:val="center"/>
          </w:tcPr>
          <w:p>
            <w:pPr>
              <w:jc w:val="center"/>
              <w:rPr>
                <w:rFonts w:eastAsia="仿宋_GB2312"/>
                <w:sz w:val="24"/>
              </w:rPr>
            </w:pPr>
            <w:r>
              <w:rPr>
                <w:rFonts w:hint="eastAsia" w:eastAsia="仿宋_GB2312"/>
                <w:sz w:val="24"/>
              </w:rPr>
              <w:t>职称/职务</w:t>
            </w:r>
          </w:p>
        </w:tc>
        <w:tc>
          <w:tcPr>
            <w:tcW w:w="2151"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肖建华</w:t>
            </w:r>
          </w:p>
        </w:tc>
        <w:tc>
          <w:tcPr>
            <w:tcW w:w="2131" w:type="dxa"/>
            <w:gridSpan w:val="4"/>
            <w:vAlign w:val="center"/>
          </w:tcPr>
          <w:p>
            <w:pPr>
              <w:rPr>
                <w:rFonts w:eastAsia="仿宋_GB2312"/>
                <w:sz w:val="24"/>
              </w:rPr>
            </w:pPr>
            <w:r>
              <w:rPr>
                <w:rFonts w:hint="eastAsia" w:eastAsia="仿宋_GB2312"/>
                <w:sz w:val="24"/>
              </w:rPr>
              <w:t>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刘五一</w:t>
            </w:r>
          </w:p>
        </w:tc>
        <w:tc>
          <w:tcPr>
            <w:tcW w:w="2131" w:type="dxa"/>
            <w:gridSpan w:val="4"/>
            <w:vAlign w:val="center"/>
          </w:tcPr>
          <w:p>
            <w:pPr>
              <w:rPr>
                <w:rFonts w:eastAsia="仿宋_GB2312"/>
                <w:sz w:val="24"/>
              </w:rPr>
            </w:pPr>
            <w:r>
              <w:rPr>
                <w:rFonts w:hint="eastAsia" w:eastAsia="仿宋_GB2312"/>
                <w:sz w:val="24"/>
              </w:rPr>
              <w:t>副主任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陈丽华</w:t>
            </w:r>
          </w:p>
        </w:tc>
        <w:tc>
          <w:tcPr>
            <w:tcW w:w="2131" w:type="dxa"/>
            <w:gridSpan w:val="4"/>
            <w:vAlign w:val="center"/>
          </w:tcPr>
          <w:p>
            <w:pPr>
              <w:rPr>
                <w:rFonts w:eastAsia="仿宋_GB2312"/>
                <w:sz w:val="24"/>
              </w:rPr>
            </w:pPr>
            <w:r>
              <w:rPr>
                <w:rFonts w:hint="eastAsia" w:eastAsia="仿宋_GB2312"/>
                <w:sz w:val="24"/>
              </w:rPr>
              <w:t>副主任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刘五一       联系电话：0730-3207232</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pStyle w:val="12"/>
              <w:widowControl/>
              <w:numPr>
                <w:ilvl w:val="0"/>
                <w:numId w:val="1"/>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156" w:beforeLines="50" w:line="560" w:lineRule="exact"/>
        <w:rPr>
          <w:rFonts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11</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15CD6"/>
    <w:multiLevelType w:val="multilevel"/>
    <w:tmpl w:val="0DC15CD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A438C"/>
    <w:rsid w:val="001A7986"/>
    <w:rsid w:val="002D1B08"/>
    <w:rsid w:val="00486E19"/>
    <w:rsid w:val="00500386"/>
    <w:rsid w:val="005438C8"/>
    <w:rsid w:val="00550004"/>
    <w:rsid w:val="00601AA3"/>
    <w:rsid w:val="00601AAC"/>
    <w:rsid w:val="00631E9C"/>
    <w:rsid w:val="006616B3"/>
    <w:rsid w:val="007B2063"/>
    <w:rsid w:val="007F198B"/>
    <w:rsid w:val="008F597E"/>
    <w:rsid w:val="009A4FB5"/>
    <w:rsid w:val="00A162E3"/>
    <w:rsid w:val="00A466EA"/>
    <w:rsid w:val="00AE00D7"/>
    <w:rsid w:val="00B67A60"/>
    <w:rsid w:val="00BD735F"/>
    <w:rsid w:val="00BF52C6"/>
    <w:rsid w:val="00C0223A"/>
    <w:rsid w:val="00D235ED"/>
    <w:rsid w:val="00D46C30"/>
    <w:rsid w:val="00D738DA"/>
    <w:rsid w:val="00D81386"/>
    <w:rsid w:val="00D87639"/>
    <w:rsid w:val="00DE724A"/>
    <w:rsid w:val="00E17E78"/>
    <w:rsid w:val="00E44A46"/>
    <w:rsid w:val="00E57400"/>
    <w:rsid w:val="00E8417C"/>
    <w:rsid w:val="00ED72EE"/>
    <w:rsid w:val="00EE311C"/>
    <w:rsid w:val="00EF6E28"/>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380285"/>
    <w:rsid w:val="5BE95901"/>
    <w:rsid w:val="6A0A15CD"/>
    <w:rsid w:val="6DF352BD"/>
    <w:rsid w:val="705E3E6D"/>
    <w:rsid w:val="71C1048A"/>
    <w:rsid w:val="73F35F5B"/>
    <w:rsid w:val="7781209E"/>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页眉 Char"/>
    <w:basedOn w:val="7"/>
    <w:link w:val="5"/>
    <w:uiPriority w:val="0"/>
    <w:rPr>
      <w:kern w:val="2"/>
      <w:sz w:val="18"/>
      <w:szCs w:val="18"/>
    </w:rPr>
  </w:style>
  <w:style w:type="character" w:customStyle="1" w:styleId="11">
    <w:name w:val="批注框文本 Char"/>
    <w:basedOn w:val="7"/>
    <w:link w:val="3"/>
    <w:uiPriority w:val="0"/>
    <w:rPr>
      <w:kern w:val="2"/>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6720</Words>
  <Characters>7184</Characters>
  <Lines>68</Lines>
  <Paragraphs>19</Paragraphs>
  <TotalTime>987</TotalTime>
  <ScaleCrop>false</ScaleCrop>
  <LinksUpToDate>false</LinksUpToDate>
  <CharactersWithSpaces>8320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2022-10-11T02:15:00Z</dcterms:created>
  <dc:creator>Administrator</dc:creator>
  <cp:lastModifiedBy>戴</cp:lastModifiedBy>
  <cp:lastPrinted>2022-10-21T01:24:00Z</cp:lastPrinted>
  <dcterms:modified xsi:type="dcterms:W3CDTF">2022-11-04T07:44:16Z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96898BF4ACA441F59D2C600668811C95</vt:lpwstr>
  </property>
</Properties>
</file>