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华容县湿地保护中心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402007</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6</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龙铁军</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13787303492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snapToGrid w:val="0"/>
              <w:spacing w:line="520" w:lineRule="exact"/>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lang w:val="en-US" w:eastAsia="zh-CN"/>
              </w:rPr>
              <w:t>①</w:t>
            </w:r>
            <w:r>
              <w:rPr>
                <w:rFonts w:hint="eastAsia" w:ascii="微软雅黑" w:hAnsi="微软雅黑" w:eastAsia="微软雅黑" w:cs="微软雅黑"/>
                <w:sz w:val="28"/>
                <w:szCs w:val="28"/>
                <w:lang w:val="en-US" w:eastAsia="zh-CN"/>
              </w:rPr>
              <w:t>贯彻执行国家及省、市、县有关湿地保护的方针政策和法律法规、规章制度。</w:t>
            </w:r>
          </w:p>
          <w:p>
            <w:pPr>
              <w:snapToGrid w:val="0"/>
              <w:spacing w:line="520" w:lineRule="exact"/>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lang w:val="en-US" w:eastAsia="zh-CN"/>
              </w:rPr>
              <w:t>②</w:t>
            </w:r>
            <w:r>
              <w:rPr>
                <w:rFonts w:hint="eastAsia" w:ascii="微软雅黑" w:hAnsi="微软雅黑" w:eastAsia="微软雅黑" w:cs="微软雅黑"/>
                <w:sz w:val="28"/>
                <w:szCs w:val="28"/>
                <w:lang w:val="en-US" w:eastAsia="zh-CN"/>
              </w:rPr>
              <w:t>在县林业局指导下，编制全县湿地保护规划，拟订全县湿地保护相关标准。</w:t>
            </w:r>
          </w:p>
          <w:p>
            <w:pPr>
              <w:snapToGrid w:val="0"/>
              <w:spacing w:line="520" w:lineRule="exact"/>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lang w:val="en-US" w:eastAsia="zh-CN"/>
              </w:rPr>
              <w:t>③</w:t>
            </w:r>
            <w:r>
              <w:rPr>
                <w:rFonts w:hint="eastAsia" w:ascii="微软雅黑" w:hAnsi="微软雅黑" w:eastAsia="微软雅黑" w:cs="微软雅黑"/>
                <w:sz w:val="28"/>
                <w:szCs w:val="28"/>
                <w:lang w:val="en-US" w:eastAsia="zh-CN"/>
              </w:rPr>
              <w:t>承担全县湿地保护的事务性工作，及时发现湿地保护中的重大问题，对湿地保护管理提出意见建议。</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④承担全县湿地资源调查、动态监测和统计工作，建立和更新湿地资源档案。</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⑤在县林业局指导下，组织实施全县湿地生态修复、生态补偿工作，申报、实施湿地保护项目。</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⑥开展湿地保护的科学研究工作，开展湿地保护的交流和合作，承担国际湿地公约履约相关工作。</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⑦对授权管理的芦苇场等资产依法进行合理开发和综合利用，承担芦苇场的综治维稳和日常管理工作。</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⑧组织实施湿地保护的宣传教育工作。</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⑨在不影响湿地生态环境和自然资源的前提下，组织开展参观、旅游等活动。</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⑩协助查处违反湿地保护法律法规的行为，负责湿地保护区界标的设置和管理。</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⑪承办县林业局交办的其他事项。</w:t>
            </w:r>
          </w:p>
          <w:p>
            <w:pPr>
              <w:autoSpaceDN w:val="0"/>
              <w:spacing w:line="320" w:lineRule="exact"/>
              <w:jc w:val="left"/>
              <w:textAlignment w:val="center"/>
              <w:rPr>
                <w:rFonts w:hint="eastAsia" w:ascii="仿宋_GB2312" w:hAnsi="仿宋_GB2312" w:eastAsia="仿宋_GB2312" w:cs="仿宋_GB2312"/>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任务1：宣传有关湿地保护的法律法规，开展湿地保护知识教育；</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任务2：对退化的湿地进行恢复改造，维护湿地生态平衡；</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任务3：对苇场资源依法进行合理开发和综合利用，维护芦苇场的综治维稳和日常管理工作；</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任务4：争取上级部门支持，增加基础安全防护设施投入，加强苇田安全防火宣传；</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任务5：加强预算支出管理，保障支出的规范化，提高财政资金使用效率；</w:t>
            </w:r>
          </w:p>
          <w:p>
            <w:pPr>
              <w:snapToGrid w:val="0"/>
              <w:spacing w:line="520" w:lineRule="exact"/>
              <w:rPr>
                <w:rFonts w:hint="default" w:ascii="仿宋_GB2312" w:hAnsi="仿宋_GB2312" w:eastAsia="仿宋_GB2312" w:cs="仿宋_GB2312"/>
                <w:color w:val="000000"/>
                <w:sz w:val="28"/>
                <w:szCs w:val="28"/>
                <w:lang w:val="en-US" w:eastAsia="zh-CN"/>
              </w:rPr>
            </w:pPr>
            <w:r>
              <w:rPr>
                <w:rFonts w:hint="eastAsia" w:ascii="微软雅黑" w:hAnsi="微软雅黑" w:eastAsia="微软雅黑" w:cs="微软雅黑"/>
                <w:sz w:val="28"/>
                <w:szCs w:val="28"/>
                <w:lang w:val="en-US" w:eastAsia="zh-CN"/>
              </w:rPr>
              <w:t>任务6：努力争取资金，确保苇场企业正常运转及企业职工生活费发放到位。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1、全面贯彻执行党和国家方针政策，促进了湿地保护工作科学健康有序发展；</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2、规范财务管理，严格预算支出，整体支出情况较好；</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3、争项争资383万元，确保芦苇企业基本运转；</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4、投入资金26万元，对苇场柴山安排专人值守，确保了柴山防火安全；</w:t>
            </w:r>
          </w:p>
          <w:p>
            <w:pPr>
              <w:snapToGrid w:val="0"/>
              <w:spacing w:line="520" w:lineRule="exact"/>
              <w:rPr>
                <w:rFonts w:hint="default" w:ascii="仿宋_GB2312" w:hAnsi="仿宋_GB2312" w:eastAsia="仿宋_GB2312" w:cs="仿宋_GB2312"/>
                <w:color w:val="000000"/>
                <w:sz w:val="28"/>
                <w:szCs w:val="28"/>
                <w:lang w:val="en-US" w:eastAsia="zh-CN"/>
              </w:rPr>
            </w:pPr>
            <w:r>
              <w:rPr>
                <w:rFonts w:hint="eastAsia" w:ascii="微软雅黑" w:hAnsi="微软雅黑" w:eastAsia="微软雅黑" w:cs="微软雅黑"/>
                <w:sz w:val="28"/>
                <w:szCs w:val="28"/>
                <w:lang w:val="en-US" w:eastAsia="zh-CN"/>
              </w:rPr>
              <w:t>5、按时间节点，顺利完成上级安排的疫情防控、党建工作、苇场安全防火等各项工作任务。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727.96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375.07</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139.8</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727.96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375.07</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139.8</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727.96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307.17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268.19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38.98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420.79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727.96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307.17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268.19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38.98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420.79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0.53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0.53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65.15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65.15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65.15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65.15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snapToGrid w:val="0"/>
              <w:spacing w:line="52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目标1：完成上级各项工作任务；</w:t>
            </w:r>
          </w:p>
          <w:p>
            <w:pPr>
              <w:snapToGrid w:val="0"/>
              <w:spacing w:line="52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目标2：加强预算支出管理，提高财政资金使用效率；</w:t>
            </w:r>
          </w:p>
          <w:p>
            <w:pPr>
              <w:snapToGrid w:val="0"/>
              <w:spacing w:line="52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目标3：争取资金，确保苇场企业正常运转及企业职工生活费发放到位。</w:t>
            </w:r>
          </w:p>
          <w:p>
            <w:pPr>
              <w:snapToGrid w:val="0"/>
              <w:spacing w:line="52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目标4：争取上级部门支持，增加安全防火投入，加强苇田安全防火宣传；</w:t>
            </w:r>
          </w:p>
        </w:tc>
        <w:tc>
          <w:tcPr>
            <w:tcW w:w="4585" w:type="dxa"/>
            <w:gridSpan w:val="9"/>
            <w:noWrap w:val="0"/>
            <w:vAlign w:val="center"/>
          </w:tcPr>
          <w:p>
            <w:pPr>
              <w:snapToGrid w:val="0"/>
              <w:spacing w:line="52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顺利完成政府下达的各项工作任务；严格预算支出，确保了预算支出规范管理；争项争资383万元，确保芦苇企业基本运转；投入资金26万元，对苇场柴山安排专人值守，确保了柴山防火安全；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宣传有关湿地保护的法律法规，开展湿地保护知识教育提高全民对湿地保护的认知</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争项争资383万元，确保芦苇企业基本运转；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按时间节点，顺利完成上级安排的疫情防控、党建工作、苇场安全防火等各项工作任务。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投入资金26万元，对苇场柴山安排专人值守，确保了柴山防火安全。</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全年组织了两次湿地保护相关政策及法律法规宣传与教育。</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苇场职工4个季度如期发放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3；柴山防火组织20余人，投入工日1250个。</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按预定进度完成。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资金使用按年初预算执行。</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控制在年度预算内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芦田安全防火投入26万，专款专用按期支付。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保护湿地生态资源，促进湿地可持续发展。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确保了芦苇企业正常运转，维护全局稳定。</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三公经费占总支出：0.3%，较比年初预算减少17%。</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年度内完成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维护湿地生态平衡，改善生态环境。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按时按量完成上级安排的疫情防控、党建工作、苇场安全防火等各项工作任务。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老百姓满意。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社会工作满意度96%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陈斌</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支部书记</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孙建清</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余晶晶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刘士军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湿地保护</w:t>
            </w:r>
            <w:r>
              <w:rPr>
                <w:rFonts w:hint="eastAsia" w:ascii="方正小标宋简体" w:hAnsi="方正小标宋简体" w:eastAsia="方正小标宋简体" w:cs="方正小标宋简体"/>
                <w:sz w:val="44"/>
                <w:szCs w:val="44"/>
                <w:lang w:val="en-US" w:eastAsia="zh-CN"/>
              </w:rPr>
              <w:t>中心</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年整体支出绩效评价报告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根据《华容县财政局关于开展</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年度部门整体支出绩效自评工作的通知》要求，现对华容县湿地保护</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年度的部门整体支出开展绩效自评，现将情况汇报如下：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（一）单位基本概况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华容县湿地保护</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系县</w:t>
            </w:r>
            <w:r>
              <w:rPr>
                <w:rFonts w:hint="eastAsia" w:ascii="仿宋_GB2312" w:hAnsi="仿宋_GB2312" w:eastAsia="仿宋_GB2312" w:cs="仿宋_GB2312"/>
                <w:sz w:val="32"/>
                <w:szCs w:val="32"/>
                <w:lang w:val="en-US" w:eastAsia="zh-CN"/>
              </w:rPr>
              <w:t>林业局二级机构，</w:t>
            </w:r>
            <w:r>
              <w:rPr>
                <w:rFonts w:hint="eastAsia" w:ascii="仿宋_GB2312" w:hAnsi="仿宋_GB2312" w:eastAsia="仿宋_GB2312" w:cs="仿宋_GB2312"/>
                <w:sz w:val="32"/>
                <w:szCs w:val="32"/>
              </w:rPr>
              <w:t>财政全额预算拨款单位。20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年编制部门核实湿地保护局人员编制</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人，实有人数为2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人。该局本级内设机构有五个：办公室、</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财务股、人事</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股，资源保护股、</w:t>
            </w:r>
            <w:r>
              <w:rPr>
                <w:rFonts w:hint="eastAsia" w:ascii="仿宋_GB2312" w:hAnsi="仿宋_GB2312" w:eastAsia="仿宋_GB2312" w:cs="仿宋_GB2312"/>
                <w:sz w:val="32"/>
                <w:szCs w:val="32"/>
                <w:lang w:eastAsia="zh-CN"/>
              </w:rPr>
              <w:t>芦苇</w:t>
            </w:r>
            <w:r>
              <w:rPr>
                <w:rFonts w:hint="eastAsia" w:ascii="仿宋_GB2312" w:hAnsi="仿宋_GB2312" w:eastAsia="仿宋_GB2312" w:cs="仿宋_GB2312"/>
                <w:sz w:val="32"/>
                <w:szCs w:val="32"/>
              </w:rPr>
              <w:t>资源利用股</w:t>
            </w:r>
            <w:r>
              <w:rPr>
                <w:rFonts w:hint="eastAsia" w:ascii="仿宋_GB2312" w:hAnsi="仿宋_GB2312" w:eastAsia="仿宋_GB2312" w:cs="仿宋_GB2312"/>
                <w:sz w:val="32"/>
                <w:szCs w:val="32"/>
                <w:lang w:eastAsia="zh-CN"/>
              </w:rPr>
              <w:t>，监测利用股</w:t>
            </w:r>
            <w:r>
              <w:rPr>
                <w:rFonts w:hint="eastAsia" w:ascii="仿宋_GB2312" w:hAnsi="仿宋_GB2312" w:eastAsia="仿宋_GB2312" w:cs="仿宋_GB2312"/>
                <w:sz w:val="32"/>
                <w:szCs w:val="32"/>
              </w:rPr>
              <w:t>；下设二级机构六个：江州芦苇场、洪山芦苇场、集成芦苇场、团洲芦苇场、舵杆洲芦苇场、舵杆洲湿地保护站。下设六个机构为自收自支单位，未纳入预算范围。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1.贯彻执行国家及省、市有关湿地保护的方针政策和法律法规。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2.正在县林业局的指导下，组织编制湿地保护和建设发展规划，负责湿地保护项目与利用开发的规划、申报和实施，对退化的湿地进行恢复改造。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3.组织宣传有关湿地保护的法律法规，开展湿地保护知识的教育，负责协助查处违反湿地保护法律法规的案件，负责湿地保护区界标的设置和管理。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4.组织实施湿地自然资源的调查、监测、科研、保护和救护工作，加强对野生动物疫源疫病监测工作。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5.检查监督全县从事湿地野生动植物猎采、饲养、培植极其产品的购销、运输、加工等活动，协助依法查处违反湿地野生动植物资源管理政策法规的各类案件，并开展专项整治工作。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6.维护湿地生态平衡，加强湿地资源利用开发，规范管理湿地施药、开垦、排放、建设和外物种引进等生产活动。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7.依照国际公约的惯例和要求，负责有关工作的协调协作和科技交流。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8.负责湿地权属边界管理，适时调处纠纷。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负责全县各芦苇场以经济责任制为主要内容的目标管理。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负责本系统的认识管理、计划生育、社会治安综合治理、安全生产、精神文明建设等工作。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.承办县委、县政府交办的其他事项。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（三）本年度重点工作计划</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年度主要的工作内容就是：1、</w:t>
            </w:r>
            <w:r>
              <w:rPr>
                <w:rFonts w:hint="eastAsia" w:ascii="仿宋_GB2312" w:hAnsi="仿宋_GB2312" w:eastAsia="仿宋_GB2312" w:cs="仿宋_GB2312"/>
                <w:sz w:val="32"/>
                <w:szCs w:val="32"/>
                <w:lang w:val="en-US" w:eastAsia="zh-CN"/>
              </w:rPr>
              <w:t>宣传有关湿地保护的法律法规，开展湿地保护知识教育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2、对退化的湿地进行恢复改造；3、对苇场资源依法进行合理开发和综合利用，维护芦苇场的综治维稳和日常管理工作；4、争取上级部门支持，增加基础安全防护设施投入，加强苇田安全防火宣传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加强预算资金管理，保证支出的规范化，提高财政支出使用效率；6、努力争取资金，确保苇场企业正常运转及企业职工生活费发放到位。</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（四）部门整体收支情况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1.部门整体收支情况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（1）收入情况：全年收入</w:t>
            </w:r>
            <w:r>
              <w:rPr>
                <w:rFonts w:hint="eastAsia" w:ascii="仿宋_GB2312" w:hAnsi="仿宋_GB2312" w:eastAsia="仿宋_GB2312" w:cs="仿宋_GB2312"/>
                <w:sz w:val="32"/>
                <w:szCs w:val="32"/>
                <w:lang w:val="en-US" w:eastAsia="zh-CN"/>
              </w:rPr>
              <w:t xml:space="preserve">  727.96</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（2）支出情况：全年支出</w:t>
            </w:r>
            <w:r>
              <w:rPr>
                <w:rFonts w:hint="eastAsia" w:ascii="仿宋_GB2312" w:hAnsi="仿宋_GB2312" w:eastAsia="仿宋_GB2312" w:cs="仿宋_GB2312"/>
                <w:sz w:val="32"/>
                <w:szCs w:val="32"/>
                <w:lang w:val="en-US" w:eastAsia="zh-CN"/>
              </w:rPr>
              <w:t>727.96</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：人员支出</w:t>
            </w:r>
            <w:r>
              <w:rPr>
                <w:rFonts w:hint="eastAsia" w:ascii="仿宋_GB2312" w:hAnsi="仿宋_GB2312" w:eastAsia="仿宋_GB2312" w:cs="仿宋_GB2312"/>
                <w:sz w:val="32"/>
                <w:szCs w:val="32"/>
                <w:lang w:val="en-US" w:eastAsia="zh-CN"/>
              </w:rPr>
              <w:t>268.19万元；公用支出38.98万元；项目支出420.79万元。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年部门预安排“三公”经费</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万元，其中公务接待费</w:t>
            </w:r>
            <w:r>
              <w:rPr>
                <w:rFonts w:hint="eastAsia" w:ascii="仿宋_GB2312" w:hAnsi="仿宋_GB2312" w:eastAsia="仿宋_GB2312" w:cs="仿宋_GB2312"/>
                <w:sz w:val="32"/>
                <w:szCs w:val="32"/>
                <w:lang w:val="en-US" w:eastAsia="zh-CN"/>
              </w:rPr>
              <w:t>0.53</w:t>
            </w:r>
            <w:r>
              <w:rPr>
                <w:rFonts w:hint="eastAsia" w:ascii="仿宋_GB2312" w:hAnsi="仿宋_GB2312" w:eastAsia="仿宋_GB2312" w:cs="仿宋_GB2312"/>
                <w:sz w:val="32"/>
                <w:szCs w:val="32"/>
              </w:rPr>
              <w:t>万元，公务车运作维护费</w:t>
            </w:r>
            <w:r>
              <w:rPr>
                <w:rFonts w:hint="eastAsia" w:ascii="仿宋_GB2312" w:hAnsi="仿宋_GB2312" w:eastAsia="仿宋_GB2312" w:cs="仿宋_GB2312"/>
                <w:sz w:val="32"/>
                <w:szCs w:val="32"/>
                <w:lang w:val="en-US" w:eastAsia="zh-CN"/>
              </w:rPr>
              <w:t>1.62</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二、部门整体支出绩效评价目的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年华容县湿地保护</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部门的预算配置，预算管理，资产管理，职责履行，履职效益等内容的绩效考评，提高财政资金的使用效率，为财政部门预算管理提高决策依据。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三、部门整体支出管理分析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2.财务管理上，按照国家相关法律法规，制定了机关财务。公物购置使用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因公出国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车辆使用等管理制度，并严格按照制度管理和执行，防范风险，保证财政资金的安全和高效运行。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四．整体支出绩效情况分析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全面贯彻执行党和国家方针政策和重大决策，有力推动湿地保护工作科学健康有序发展。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整体支出情况较好，预算编制科学，民主理财、公开理财氛围浓厚，财政财务制度健全且执行情况良好。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对苇场资源依法进行合理开发和综合利用，维护芦苇场的综治维稳和日常管理工作；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4.通过努力争取资金，维护了单位正常运转及系统大局的稳定。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五、存在的问题及工作建议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年度在按预定目标完成各项任务的过程中，也还存在一定的问题。因财政对湿地保护</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年初预算中，没有涉及到项目资金，所以在操作的过程中，我们打造湿地项目，湿地建设有很大的阻力。因财政预算资金只能保证工作人员的工资，津贴等发放，无力支持湿地项目建设，所以在今后的湿地开发利用与项目建设中，要积极开源节流，争取一切可利用资金投入到湿地项目建设中去，打造好湿地建设好湿地，保护好湿地。</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消费场所不具备条件</w:t>
            </w: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办公楼部分土地闲置</w:t>
            </w: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社会公众或服务对象满意度</w:t>
            </w:r>
            <w:r>
              <w:rPr>
                <w:rFonts w:hint="eastAsia" w:ascii="仿宋_GB2312" w:hAnsi="宋体" w:eastAsia="仿宋_GB2312" w:cs="宋体"/>
                <w:kern w:val="0"/>
                <w:sz w:val="18"/>
                <w:szCs w:val="18"/>
                <w:lang w:val="en-US" w:eastAsia="zh-CN"/>
              </w:rPr>
              <w:t>95</w:t>
            </w:r>
            <w:r>
              <w:rPr>
                <w:rFonts w:hint="eastAsia" w:ascii="宋体" w:hAnsi="宋体" w:eastAsia="宋体" w:cs="宋体"/>
                <w:kern w:val="0"/>
                <w:sz w:val="18"/>
                <w:szCs w:val="18"/>
                <w:lang w:val="en-US" w:eastAsia="zh-CN"/>
              </w:rPr>
              <w:t>％</w:t>
            </w: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38777A6"/>
    <w:rsid w:val="06CF02A7"/>
    <w:rsid w:val="083749E7"/>
    <w:rsid w:val="09886B94"/>
    <w:rsid w:val="0A784DC3"/>
    <w:rsid w:val="0BBC48D3"/>
    <w:rsid w:val="0DE528CD"/>
    <w:rsid w:val="0FC1070A"/>
    <w:rsid w:val="103669CA"/>
    <w:rsid w:val="10CD72AB"/>
    <w:rsid w:val="115E3FEE"/>
    <w:rsid w:val="13346289"/>
    <w:rsid w:val="140E03CC"/>
    <w:rsid w:val="16563CDE"/>
    <w:rsid w:val="165F162E"/>
    <w:rsid w:val="18725427"/>
    <w:rsid w:val="18F94530"/>
    <w:rsid w:val="1B3056EF"/>
    <w:rsid w:val="1DFB7A84"/>
    <w:rsid w:val="1E316E83"/>
    <w:rsid w:val="1E601A36"/>
    <w:rsid w:val="218836EE"/>
    <w:rsid w:val="254E2FC7"/>
    <w:rsid w:val="263C173A"/>
    <w:rsid w:val="268B5DD5"/>
    <w:rsid w:val="295C6445"/>
    <w:rsid w:val="29B63213"/>
    <w:rsid w:val="2CA33441"/>
    <w:rsid w:val="2CE55C20"/>
    <w:rsid w:val="2F287302"/>
    <w:rsid w:val="30426D13"/>
    <w:rsid w:val="30707DAF"/>
    <w:rsid w:val="31BB44CA"/>
    <w:rsid w:val="36017DC3"/>
    <w:rsid w:val="3680756E"/>
    <w:rsid w:val="3822650D"/>
    <w:rsid w:val="38441BCA"/>
    <w:rsid w:val="3A43255A"/>
    <w:rsid w:val="3D6201A1"/>
    <w:rsid w:val="3E35213F"/>
    <w:rsid w:val="3EC46785"/>
    <w:rsid w:val="3F8A6044"/>
    <w:rsid w:val="419A0CCA"/>
    <w:rsid w:val="44B042CE"/>
    <w:rsid w:val="45F4477A"/>
    <w:rsid w:val="463F2966"/>
    <w:rsid w:val="46A22A74"/>
    <w:rsid w:val="477245B4"/>
    <w:rsid w:val="4AD11B7D"/>
    <w:rsid w:val="4BE062CC"/>
    <w:rsid w:val="4D820B46"/>
    <w:rsid w:val="4E4F0BB0"/>
    <w:rsid w:val="4F402FFB"/>
    <w:rsid w:val="505E0A64"/>
    <w:rsid w:val="518C1C1F"/>
    <w:rsid w:val="53EF4BC1"/>
    <w:rsid w:val="55B41BF7"/>
    <w:rsid w:val="5762027B"/>
    <w:rsid w:val="581D1822"/>
    <w:rsid w:val="59944FC7"/>
    <w:rsid w:val="5BE95901"/>
    <w:rsid w:val="5CDB716F"/>
    <w:rsid w:val="5E026E12"/>
    <w:rsid w:val="5E5333DF"/>
    <w:rsid w:val="5F773F0E"/>
    <w:rsid w:val="622A4AE0"/>
    <w:rsid w:val="67F36D0C"/>
    <w:rsid w:val="6A0A15CD"/>
    <w:rsid w:val="6AB70DC4"/>
    <w:rsid w:val="6C5F07B0"/>
    <w:rsid w:val="6DF352BD"/>
    <w:rsid w:val="6F2D027D"/>
    <w:rsid w:val="705E3E6D"/>
    <w:rsid w:val="71C1048A"/>
    <w:rsid w:val="72E92F42"/>
    <w:rsid w:val="73F35F5B"/>
    <w:rsid w:val="744E26F6"/>
    <w:rsid w:val="79C04582"/>
    <w:rsid w:val="7AD72ABB"/>
    <w:rsid w:val="7D1F0DA2"/>
    <w:rsid w:val="7EC860C9"/>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9156</Words>
  <Characters>9743</Characters>
  <Lines>0</Lines>
  <Paragraphs>0</Paragraphs>
  <TotalTime>9</TotalTime>
  <ScaleCrop>false</ScaleCrop>
  <LinksUpToDate>false</LinksUpToDate>
  <CharactersWithSpaces>10900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2022-10-11T07:55:00Z</cp:lastPrinted>
  <dcterms:modified xsi:type="dcterms:W3CDTF">2022-10-12T01:43:32Z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0BEFD1AFF9FF49AC8A68095E61C0A92C</vt:lpwstr>
  </property>
</Properties>
</file>