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before="156" w:beforeLines="50" w:line="760" w:lineRule="exact"/>
        <w:ind w:firstLine="480" w:firstLineChars="150"/>
        <w:rPr>
          <w:rFonts w:hint="default" w:eastAsia="仿宋_GB2312"/>
          <w:sz w:val="32"/>
          <w:u w:val="single"/>
          <w:lang w:val="en-US"/>
        </w:rPr>
      </w:pPr>
      <w:r>
        <w:rPr>
          <w:rFonts w:hint="eastAsia" w:eastAsia="仿宋_GB2312"/>
          <w:sz w:val="32"/>
        </w:rPr>
        <w:t>项目名称：</w:t>
      </w:r>
      <w:r>
        <w:rPr>
          <w:rFonts w:hint="eastAsia" w:eastAsia="仿宋_GB2312"/>
          <w:sz w:val="32"/>
          <w:u w:val="single"/>
          <w:lang w:val="en-US" w:eastAsia="zh-CN"/>
        </w:rPr>
        <w:t xml:space="preserve">养老保险系统升级及扩展服务费、养老金资格认证及基金管理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华容县社会保险服务中心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华容县人力资源和社会保障局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31</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610"/>
        <w:gridCol w:w="190"/>
        <w:gridCol w:w="414"/>
        <w:gridCol w:w="306"/>
        <w:gridCol w:w="1503"/>
        <w:gridCol w:w="851"/>
        <w:gridCol w:w="323"/>
        <w:gridCol w:w="1272"/>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default" w:eastAsia="仿宋_GB2312"/>
                <w:sz w:val="24"/>
                <w:lang w:val="en-US" w:eastAsia="zh-CN"/>
              </w:rPr>
            </w:pPr>
            <w:r>
              <w:rPr>
                <w:rFonts w:hint="eastAsia" w:eastAsia="仿宋_GB2312"/>
                <w:sz w:val="24"/>
                <w:lang w:val="en-US" w:eastAsia="zh-CN"/>
              </w:rPr>
              <w:t>蔡鸿</w:t>
            </w:r>
          </w:p>
        </w:tc>
        <w:tc>
          <w:tcPr>
            <w:tcW w:w="1503" w:type="dxa"/>
            <w:noWrap w:val="0"/>
            <w:vAlign w:val="center"/>
          </w:tcPr>
          <w:p>
            <w:pPr>
              <w:rPr>
                <w:rFonts w:hint="eastAsia" w:eastAsia="仿宋_GB2312"/>
                <w:sz w:val="24"/>
              </w:rPr>
            </w:pPr>
            <w:r>
              <w:rPr>
                <w:rFonts w:hint="eastAsia" w:eastAsia="仿宋_GB2312"/>
                <w:sz w:val="24"/>
              </w:rPr>
              <w:t>联系电话</w:t>
            </w:r>
          </w:p>
        </w:tc>
        <w:tc>
          <w:tcPr>
            <w:tcW w:w="3177" w:type="dxa"/>
            <w:gridSpan w:val="4"/>
            <w:noWrap w:val="0"/>
            <w:vAlign w:val="center"/>
          </w:tcPr>
          <w:p>
            <w:pPr>
              <w:rPr>
                <w:rFonts w:hint="default" w:eastAsia="仿宋_GB2312"/>
                <w:sz w:val="24"/>
                <w:lang w:val="en-US" w:eastAsia="zh-CN"/>
              </w:rPr>
            </w:pPr>
            <w:r>
              <w:rPr>
                <w:rFonts w:hint="eastAsia" w:eastAsia="仿宋_GB2312"/>
                <w:sz w:val="24"/>
                <w:lang w:val="en-US" w:eastAsia="zh-CN"/>
              </w:rPr>
              <w:t>13974065877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default" w:eastAsia="仿宋_GB2312"/>
                <w:sz w:val="24"/>
                <w:lang w:val="en-US" w:eastAsia="zh-CN"/>
              </w:rPr>
            </w:pPr>
            <w:r>
              <w:rPr>
                <w:rFonts w:hint="eastAsia" w:eastAsia="仿宋_GB2312"/>
                <w:sz w:val="24"/>
                <w:lang w:val="en-US" w:eastAsia="zh-CN"/>
              </w:rPr>
              <w:t>华容县阳光政务中心二楼</w:t>
            </w:r>
          </w:p>
        </w:tc>
        <w:tc>
          <w:tcPr>
            <w:tcW w:w="1503" w:type="dxa"/>
            <w:noWrap w:val="0"/>
            <w:vAlign w:val="center"/>
          </w:tcPr>
          <w:p>
            <w:pPr>
              <w:rPr>
                <w:rFonts w:hint="eastAsia" w:eastAsia="仿宋_GB2312"/>
                <w:sz w:val="24"/>
              </w:rPr>
            </w:pPr>
            <w:r>
              <w:rPr>
                <w:rFonts w:hint="eastAsia" w:eastAsia="仿宋_GB2312"/>
                <w:sz w:val="24"/>
              </w:rPr>
              <w:t>邮  编</w:t>
            </w:r>
          </w:p>
        </w:tc>
        <w:tc>
          <w:tcPr>
            <w:tcW w:w="3177"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1"/>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75</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75</w:t>
            </w:r>
          </w:p>
        </w:tc>
        <w:tc>
          <w:tcPr>
            <w:tcW w:w="1503"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51"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75</w:t>
            </w:r>
          </w:p>
        </w:tc>
        <w:tc>
          <w:tcPr>
            <w:tcW w:w="1595" w:type="dxa"/>
            <w:gridSpan w:val="2"/>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731"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503"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51" w:type="dxa"/>
            <w:tcBorders>
              <w:bottom w:val="single" w:color="auto" w:sz="4" w:space="0"/>
            </w:tcBorders>
            <w:noWrap w:val="0"/>
            <w:vAlign w:val="center"/>
          </w:tcPr>
          <w:p>
            <w:pPr>
              <w:rPr>
                <w:rFonts w:hint="eastAsia" w:eastAsia="仿宋_GB2312"/>
                <w:spacing w:val="-6"/>
                <w:sz w:val="24"/>
              </w:rPr>
            </w:pPr>
          </w:p>
        </w:tc>
        <w:tc>
          <w:tcPr>
            <w:tcW w:w="1595"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31"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503"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51" w:type="dxa"/>
            <w:tcBorders>
              <w:bottom w:val="single" w:color="auto" w:sz="4" w:space="0"/>
            </w:tcBorders>
            <w:noWrap w:val="0"/>
            <w:vAlign w:val="center"/>
          </w:tcPr>
          <w:p>
            <w:pPr>
              <w:rPr>
                <w:rFonts w:hint="eastAsia" w:eastAsia="仿宋_GB2312"/>
                <w:sz w:val="24"/>
              </w:rPr>
            </w:pPr>
          </w:p>
        </w:tc>
        <w:tc>
          <w:tcPr>
            <w:tcW w:w="1595"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31"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503"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51" w:type="dxa"/>
            <w:tcBorders>
              <w:bottom w:val="single" w:color="auto" w:sz="4" w:space="0"/>
            </w:tcBorders>
            <w:noWrap w:val="0"/>
            <w:vAlign w:val="center"/>
          </w:tcPr>
          <w:p>
            <w:pPr>
              <w:rPr>
                <w:rFonts w:hint="eastAsia" w:eastAsia="仿宋_GB2312"/>
                <w:sz w:val="24"/>
              </w:rPr>
            </w:pPr>
          </w:p>
        </w:tc>
        <w:tc>
          <w:tcPr>
            <w:tcW w:w="1595"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31"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1503"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51"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1595"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31"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503"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51" w:type="dxa"/>
            <w:tcBorders>
              <w:bottom w:val="single" w:color="auto" w:sz="4" w:space="0"/>
            </w:tcBorders>
            <w:noWrap w:val="0"/>
            <w:vAlign w:val="center"/>
          </w:tcPr>
          <w:p>
            <w:pPr>
              <w:rPr>
                <w:rFonts w:hint="eastAsia" w:eastAsia="仿宋_GB2312"/>
                <w:sz w:val="24"/>
              </w:rPr>
            </w:pPr>
          </w:p>
        </w:tc>
        <w:tc>
          <w:tcPr>
            <w:tcW w:w="1595"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31"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610"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413"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177"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购买资格认证设备</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0.57万元</w:t>
            </w:r>
          </w:p>
        </w:tc>
        <w:tc>
          <w:tcPr>
            <w:tcW w:w="2413" w:type="dxa"/>
            <w:gridSpan w:val="4"/>
            <w:tcBorders>
              <w:bottom w:val="single" w:color="auto" w:sz="4" w:space="0"/>
            </w:tcBorders>
            <w:noWrap w:val="0"/>
            <w:vAlign w:val="center"/>
          </w:tcPr>
          <w:p>
            <w:pPr>
              <w:jc w:val="left"/>
              <w:rPr>
                <w:rFonts w:hint="eastAsia" w:eastAsia="仿宋_GB2312"/>
                <w:sz w:val="24"/>
                <w:lang w:val="en-US" w:eastAsia="zh-CN"/>
              </w:rPr>
            </w:pPr>
            <w:r>
              <w:rPr>
                <w:rFonts w:hint="eastAsia" w:eastAsia="仿宋_GB2312"/>
                <w:sz w:val="24"/>
                <w:lang w:val="en-US" w:eastAsia="zh-CN"/>
              </w:rPr>
              <w:t>10月：#1、#14</w:t>
            </w:r>
          </w:p>
          <w:p>
            <w:pPr>
              <w:jc w:val="left"/>
              <w:rPr>
                <w:rFonts w:hint="default" w:eastAsia="仿宋_GB2312"/>
                <w:sz w:val="24"/>
                <w:lang w:val="en-US" w:eastAsia="zh-CN"/>
              </w:rPr>
            </w:pPr>
            <w:r>
              <w:rPr>
                <w:rFonts w:hint="eastAsia" w:eastAsia="仿宋_GB2312"/>
                <w:sz w:val="24"/>
                <w:lang w:val="en-US" w:eastAsia="zh-CN"/>
              </w:rPr>
              <w:t>11月：#31</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维护费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4.61万元</w:t>
            </w:r>
          </w:p>
        </w:tc>
        <w:tc>
          <w:tcPr>
            <w:tcW w:w="2413" w:type="dxa"/>
            <w:gridSpan w:val="4"/>
            <w:tcBorders>
              <w:bottom w:val="single" w:color="auto" w:sz="4" w:space="0"/>
            </w:tcBorders>
            <w:noWrap w:val="0"/>
            <w:vAlign w:val="center"/>
          </w:tcPr>
          <w:p>
            <w:pPr>
              <w:jc w:val="left"/>
              <w:rPr>
                <w:rFonts w:hint="eastAsia" w:eastAsia="仿宋_GB2312"/>
                <w:sz w:val="24"/>
                <w:lang w:val="en-US" w:eastAsia="zh-CN"/>
              </w:rPr>
            </w:pPr>
            <w:r>
              <w:rPr>
                <w:rFonts w:hint="eastAsia" w:eastAsia="仿宋_GB2312"/>
                <w:sz w:val="24"/>
                <w:lang w:val="en-US" w:eastAsia="zh-CN"/>
              </w:rPr>
              <w:t>10月：#26</w:t>
            </w:r>
          </w:p>
          <w:p>
            <w:pPr>
              <w:jc w:val="left"/>
              <w:rPr>
                <w:rFonts w:hint="eastAsia" w:eastAsia="仿宋_GB2312"/>
                <w:sz w:val="24"/>
                <w:lang w:val="en-US" w:eastAsia="zh-CN"/>
              </w:rPr>
            </w:pPr>
            <w:r>
              <w:rPr>
                <w:rFonts w:hint="eastAsia" w:eastAsia="仿宋_GB2312"/>
                <w:sz w:val="24"/>
                <w:lang w:val="en-US" w:eastAsia="zh-CN"/>
              </w:rPr>
              <w:t>11月：#29</w:t>
            </w:r>
          </w:p>
          <w:p>
            <w:pPr>
              <w:jc w:val="left"/>
              <w:rPr>
                <w:rFonts w:hint="default" w:eastAsia="仿宋_GB2312"/>
                <w:sz w:val="24"/>
                <w:lang w:val="en-US" w:eastAsia="zh-CN"/>
              </w:rPr>
            </w:pPr>
            <w:r>
              <w:rPr>
                <w:rFonts w:hint="eastAsia" w:eastAsia="仿宋_GB2312"/>
                <w:sz w:val="24"/>
                <w:lang w:val="en-US" w:eastAsia="zh-CN"/>
              </w:rPr>
              <w:t>12月：#7</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宣传印刷费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6.17万元</w:t>
            </w:r>
          </w:p>
        </w:tc>
        <w:tc>
          <w:tcPr>
            <w:tcW w:w="2413" w:type="dxa"/>
            <w:gridSpan w:val="4"/>
            <w:tcBorders>
              <w:bottom w:val="single" w:color="auto" w:sz="4" w:space="0"/>
            </w:tcBorders>
            <w:noWrap w:val="0"/>
            <w:vAlign w:val="center"/>
          </w:tcPr>
          <w:p>
            <w:pPr>
              <w:jc w:val="both"/>
              <w:rPr>
                <w:rFonts w:hint="eastAsia" w:eastAsia="仿宋_GB2312"/>
                <w:sz w:val="24"/>
                <w:lang w:val="en-US" w:eastAsia="zh-CN"/>
              </w:rPr>
            </w:pPr>
            <w:r>
              <w:rPr>
                <w:rFonts w:hint="eastAsia" w:eastAsia="仿宋_GB2312"/>
                <w:sz w:val="24"/>
                <w:lang w:val="en-US" w:eastAsia="zh-CN"/>
              </w:rPr>
              <w:t>7月：#4</w:t>
            </w:r>
          </w:p>
          <w:p>
            <w:pPr>
              <w:jc w:val="both"/>
              <w:rPr>
                <w:rFonts w:hint="eastAsia" w:eastAsia="仿宋_GB2312"/>
                <w:sz w:val="24"/>
                <w:lang w:val="en-US" w:eastAsia="zh-CN"/>
              </w:rPr>
            </w:pPr>
            <w:r>
              <w:rPr>
                <w:rFonts w:hint="eastAsia" w:eastAsia="仿宋_GB2312"/>
                <w:sz w:val="24"/>
                <w:lang w:val="en-US" w:eastAsia="zh-CN"/>
              </w:rPr>
              <w:t>10月：#16、#27</w:t>
            </w:r>
          </w:p>
          <w:p>
            <w:pPr>
              <w:jc w:val="both"/>
              <w:rPr>
                <w:rFonts w:hint="eastAsia" w:eastAsia="仿宋_GB2312"/>
                <w:sz w:val="24"/>
                <w:lang w:val="en-US" w:eastAsia="zh-CN"/>
              </w:rPr>
            </w:pPr>
            <w:r>
              <w:rPr>
                <w:rFonts w:hint="eastAsia" w:eastAsia="仿宋_GB2312"/>
                <w:sz w:val="24"/>
                <w:lang w:val="en-US" w:eastAsia="zh-CN"/>
              </w:rPr>
              <w:t>11月：#22、#23</w:t>
            </w:r>
          </w:p>
          <w:p>
            <w:pPr>
              <w:jc w:val="both"/>
              <w:rPr>
                <w:rFonts w:hint="default" w:eastAsia="仿宋_GB2312"/>
                <w:sz w:val="24"/>
                <w:lang w:val="en-US" w:eastAsia="zh-CN"/>
              </w:rPr>
            </w:pPr>
            <w:r>
              <w:rPr>
                <w:rFonts w:hint="eastAsia" w:eastAsia="仿宋_GB2312"/>
                <w:sz w:val="24"/>
                <w:lang w:val="en-US" w:eastAsia="zh-CN"/>
              </w:rPr>
              <w:t>12月：#5、#8、#9、#10、#11、#22</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办公费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4.44万元</w:t>
            </w:r>
          </w:p>
        </w:tc>
        <w:tc>
          <w:tcPr>
            <w:tcW w:w="2413" w:type="dxa"/>
            <w:gridSpan w:val="4"/>
            <w:tcBorders>
              <w:bottom w:val="single" w:color="auto" w:sz="4" w:space="0"/>
            </w:tcBorders>
            <w:noWrap w:val="0"/>
            <w:vAlign w:val="center"/>
          </w:tcPr>
          <w:p>
            <w:pPr>
              <w:jc w:val="left"/>
              <w:rPr>
                <w:rFonts w:hint="eastAsia" w:eastAsia="仿宋_GB2312"/>
                <w:sz w:val="24"/>
                <w:lang w:val="en-US" w:eastAsia="zh-CN"/>
              </w:rPr>
            </w:pPr>
            <w:r>
              <w:rPr>
                <w:rFonts w:hint="eastAsia" w:eastAsia="仿宋_GB2312"/>
                <w:sz w:val="24"/>
                <w:lang w:val="en-US" w:eastAsia="zh-CN"/>
              </w:rPr>
              <w:t>6月：#19</w:t>
            </w:r>
          </w:p>
          <w:p>
            <w:pPr>
              <w:jc w:val="left"/>
              <w:rPr>
                <w:rFonts w:hint="eastAsia" w:eastAsia="仿宋_GB2312"/>
                <w:sz w:val="24"/>
                <w:lang w:val="en-US" w:eastAsia="zh-CN"/>
              </w:rPr>
            </w:pPr>
            <w:r>
              <w:rPr>
                <w:rFonts w:hint="eastAsia" w:eastAsia="仿宋_GB2312"/>
                <w:sz w:val="24"/>
                <w:lang w:val="en-US" w:eastAsia="zh-CN"/>
              </w:rPr>
              <w:t>10月：#11</w:t>
            </w:r>
            <w:r>
              <w:rPr>
                <w:rFonts w:hint="eastAsia" w:eastAsia="仿宋_GB2312"/>
                <w:sz w:val="24"/>
                <w:lang w:val="en-US" w:eastAsia="zh-CN"/>
              </w:rPr>
              <w:br w:type="textWrapping"/>
            </w:r>
            <w:r>
              <w:rPr>
                <w:rFonts w:hint="eastAsia" w:eastAsia="仿宋_GB2312"/>
                <w:sz w:val="24"/>
                <w:lang w:val="en-US" w:eastAsia="zh-CN"/>
              </w:rPr>
              <w:t>11月：#21、#25</w:t>
            </w:r>
          </w:p>
          <w:p>
            <w:pPr>
              <w:jc w:val="left"/>
              <w:rPr>
                <w:rFonts w:hint="default" w:eastAsia="仿宋_GB2312"/>
                <w:sz w:val="24"/>
                <w:lang w:val="en-US" w:eastAsia="zh-CN"/>
              </w:rPr>
            </w:pPr>
            <w:r>
              <w:rPr>
                <w:rFonts w:hint="eastAsia" w:eastAsia="仿宋_GB2312"/>
                <w:sz w:val="24"/>
                <w:lang w:val="en-US" w:eastAsia="zh-CN"/>
              </w:rPr>
              <w:t>12月：#6</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委托业务费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4.64万元</w:t>
            </w:r>
          </w:p>
        </w:tc>
        <w:tc>
          <w:tcPr>
            <w:tcW w:w="2413" w:type="dxa"/>
            <w:gridSpan w:val="4"/>
            <w:tcBorders>
              <w:bottom w:val="single" w:color="auto" w:sz="4" w:space="0"/>
            </w:tcBorders>
            <w:noWrap w:val="0"/>
            <w:vAlign w:val="center"/>
          </w:tcPr>
          <w:p>
            <w:pPr>
              <w:jc w:val="left"/>
              <w:rPr>
                <w:rFonts w:hint="default" w:eastAsia="仿宋_GB2312"/>
                <w:sz w:val="24"/>
                <w:lang w:val="en-US" w:eastAsia="zh-CN"/>
              </w:rPr>
            </w:pPr>
            <w:r>
              <w:rPr>
                <w:rFonts w:hint="eastAsia" w:eastAsia="仿宋_GB2312"/>
                <w:sz w:val="24"/>
                <w:lang w:val="en-US" w:eastAsia="zh-CN"/>
              </w:rPr>
              <w:t>11月：#28、#30</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劳务费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21.15万元</w:t>
            </w:r>
          </w:p>
        </w:tc>
        <w:tc>
          <w:tcPr>
            <w:tcW w:w="2413" w:type="dxa"/>
            <w:gridSpan w:val="4"/>
            <w:tcBorders>
              <w:bottom w:val="single" w:color="auto" w:sz="4" w:space="0"/>
            </w:tcBorders>
            <w:noWrap w:val="0"/>
            <w:vAlign w:val="center"/>
          </w:tcPr>
          <w:p>
            <w:pPr>
              <w:jc w:val="left"/>
              <w:rPr>
                <w:rFonts w:hint="eastAsia" w:eastAsia="仿宋_GB2312"/>
                <w:sz w:val="24"/>
                <w:lang w:val="en-US" w:eastAsia="zh-CN"/>
              </w:rPr>
            </w:pPr>
            <w:r>
              <w:rPr>
                <w:rFonts w:hint="eastAsia" w:eastAsia="仿宋_GB2312"/>
                <w:sz w:val="24"/>
                <w:lang w:val="en-US" w:eastAsia="zh-CN"/>
              </w:rPr>
              <w:t>5月：#8.、#9</w:t>
            </w:r>
          </w:p>
          <w:p>
            <w:pPr>
              <w:jc w:val="left"/>
              <w:rPr>
                <w:rFonts w:hint="eastAsia" w:eastAsia="仿宋_GB2312"/>
                <w:sz w:val="24"/>
                <w:lang w:val="en-US" w:eastAsia="zh-CN"/>
              </w:rPr>
            </w:pPr>
            <w:r>
              <w:rPr>
                <w:rFonts w:hint="eastAsia" w:eastAsia="仿宋_GB2312"/>
                <w:sz w:val="24"/>
                <w:lang w:val="en-US" w:eastAsia="zh-CN"/>
              </w:rPr>
              <w:t>6月：#10、#18</w:t>
            </w:r>
          </w:p>
          <w:p>
            <w:pPr>
              <w:jc w:val="left"/>
              <w:rPr>
                <w:rFonts w:hint="eastAsia" w:eastAsia="仿宋_GB2312"/>
                <w:sz w:val="24"/>
                <w:lang w:val="en-US" w:eastAsia="zh-CN"/>
              </w:rPr>
            </w:pPr>
            <w:r>
              <w:rPr>
                <w:rFonts w:hint="eastAsia" w:eastAsia="仿宋_GB2312"/>
                <w:sz w:val="24"/>
                <w:lang w:val="en-US" w:eastAsia="zh-CN"/>
              </w:rPr>
              <w:t>7月：#6</w:t>
            </w:r>
          </w:p>
          <w:p>
            <w:pPr>
              <w:jc w:val="left"/>
              <w:rPr>
                <w:rFonts w:hint="eastAsia" w:eastAsia="仿宋_GB2312"/>
                <w:sz w:val="24"/>
                <w:lang w:val="en-US" w:eastAsia="zh-CN"/>
              </w:rPr>
            </w:pPr>
            <w:r>
              <w:rPr>
                <w:rFonts w:hint="eastAsia" w:eastAsia="仿宋_GB2312"/>
                <w:sz w:val="24"/>
                <w:lang w:val="en-US" w:eastAsia="zh-CN"/>
              </w:rPr>
              <w:t>10月：#12、#13、#15</w:t>
            </w:r>
          </w:p>
          <w:p>
            <w:pPr>
              <w:jc w:val="left"/>
              <w:rPr>
                <w:rFonts w:hint="default" w:eastAsia="仿宋_GB2312"/>
                <w:sz w:val="24"/>
                <w:lang w:val="en-US" w:eastAsia="zh-CN"/>
              </w:rPr>
            </w:pPr>
            <w:r>
              <w:rPr>
                <w:rFonts w:hint="eastAsia" w:eastAsia="仿宋_GB2312"/>
                <w:sz w:val="24"/>
                <w:lang w:val="en-US" w:eastAsia="zh-CN"/>
              </w:rPr>
              <w:t>11月：#20、#26</w:t>
            </w: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手续费、社保转移快递费</w:t>
            </w:r>
          </w:p>
        </w:tc>
        <w:tc>
          <w:tcPr>
            <w:tcW w:w="161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1.21万元</w:t>
            </w:r>
          </w:p>
        </w:tc>
        <w:tc>
          <w:tcPr>
            <w:tcW w:w="2413" w:type="dxa"/>
            <w:gridSpan w:val="4"/>
            <w:tcBorders>
              <w:bottom w:val="single" w:color="auto" w:sz="4" w:space="0"/>
            </w:tcBorders>
            <w:noWrap w:val="0"/>
            <w:vAlign w:val="center"/>
          </w:tcPr>
          <w:p>
            <w:pPr>
              <w:jc w:val="left"/>
              <w:rPr>
                <w:rFonts w:hint="default" w:eastAsia="仿宋_GB2312"/>
                <w:sz w:val="24"/>
                <w:lang w:val="en-US" w:eastAsia="zh-CN"/>
              </w:rPr>
            </w:pPr>
            <w:r>
              <w:rPr>
                <w:rFonts w:hint="eastAsia" w:eastAsia="仿宋_GB2312"/>
                <w:sz w:val="24"/>
                <w:lang w:val="en-US" w:eastAsia="zh-CN"/>
              </w:rPr>
              <w:t>5月：#15</w:t>
            </w:r>
          </w:p>
          <w:p>
            <w:pPr>
              <w:jc w:val="left"/>
              <w:rPr>
                <w:rFonts w:hint="eastAsia" w:eastAsia="仿宋_GB2312"/>
                <w:sz w:val="24"/>
                <w:lang w:val="en-US" w:eastAsia="zh-CN"/>
              </w:rPr>
            </w:pPr>
            <w:r>
              <w:rPr>
                <w:rFonts w:hint="eastAsia" w:eastAsia="仿宋_GB2312"/>
                <w:sz w:val="24"/>
                <w:lang w:val="en-US" w:eastAsia="zh-CN"/>
              </w:rPr>
              <w:t>6月：#19</w:t>
            </w:r>
          </w:p>
          <w:p>
            <w:pPr>
              <w:jc w:val="left"/>
              <w:rPr>
                <w:rFonts w:hint="eastAsia" w:eastAsia="仿宋_GB2312"/>
                <w:sz w:val="24"/>
                <w:lang w:val="en-US" w:eastAsia="zh-CN"/>
              </w:rPr>
            </w:pPr>
            <w:r>
              <w:rPr>
                <w:rFonts w:hint="eastAsia" w:eastAsia="仿宋_GB2312"/>
                <w:sz w:val="24"/>
                <w:lang w:val="en-US" w:eastAsia="zh-CN"/>
              </w:rPr>
              <w:t>7月：#13</w:t>
            </w:r>
          </w:p>
          <w:p>
            <w:pPr>
              <w:jc w:val="left"/>
              <w:rPr>
                <w:rFonts w:hint="default" w:eastAsia="仿宋_GB2312"/>
                <w:sz w:val="24"/>
                <w:lang w:val="en-US" w:eastAsia="zh-CN"/>
              </w:rPr>
            </w:pPr>
            <w:r>
              <w:rPr>
                <w:rFonts w:hint="eastAsia" w:eastAsia="仿宋_GB2312"/>
                <w:sz w:val="24"/>
                <w:lang w:val="en-US" w:eastAsia="zh-CN"/>
              </w:rPr>
              <w:t>12月：#24</w:t>
            </w:r>
          </w:p>
          <w:p>
            <w:pPr>
              <w:jc w:val="left"/>
              <w:rPr>
                <w:rFonts w:hint="default" w:eastAsia="仿宋_GB2312"/>
                <w:sz w:val="24"/>
                <w:lang w:val="en-US" w:eastAsia="zh-CN"/>
              </w:rPr>
            </w:pPr>
          </w:p>
        </w:tc>
        <w:tc>
          <w:tcPr>
            <w:tcW w:w="3177" w:type="dxa"/>
            <w:gridSpan w:val="4"/>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jc w:val="center"/>
        </w:trPr>
        <w:tc>
          <w:tcPr>
            <w:tcW w:w="2382" w:type="dxa"/>
            <w:gridSpan w:val="4"/>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其他商品和服务支出</w:t>
            </w:r>
          </w:p>
        </w:tc>
        <w:tc>
          <w:tcPr>
            <w:tcW w:w="161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24"/>
                <w:lang w:val="en-US" w:eastAsia="zh-CN"/>
              </w:rPr>
              <w:t>32.18万元</w:t>
            </w:r>
          </w:p>
        </w:tc>
        <w:tc>
          <w:tcPr>
            <w:tcW w:w="2413" w:type="dxa"/>
            <w:gridSpan w:val="4"/>
            <w:tcBorders>
              <w:bottom w:val="single" w:color="auto" w:sz="4" w:space="0"/>
            </w:tcBorders>
            <w:noWrap w:val="0"/>
            <w:vAlign w:val="center"/>
          </w:tcPr>
          <w:p>
            <w:pPr>
              <w:jc w:val="left"/>
              <w:rPr>
                <w:rFonts w:hint="eastAsia" w:eastAsia="仿宋_GB2312"/>
                <w:b w:val="0"/>
                <w:bCs/>
                <w:sz w:val="24"/>
                <w:lang w:val="en-US" w:eastAsia="zh-CN"/>
              </w:rPr>
            </w:pPr>
            <w:r>
              <w:rPr>
                <w:rFonts w:hint="eastAsia" w:eastAsia="仿宋_GB2312"/>
                <w:b w:val="0"/>
                <w:bCs/>
                <w:sz w:val="24"/>
                <w:lang w:val="en-US" w:eastAsia="zh-CN"/>
              </w:rPr>
              <w:t>5月：#7、#10、#11、#12、#13、#14、#15、#16</w:t>
            </w:r>
          </w:p>
          <w:p>
            <w:pPr>
              <w:jc w:val="left"/>
              <w:rPr>
                <w:rFonts w:hint="default" w:eastAsia="仿宋_GB2312"/>
                <w:b w:val="0"/>
                <w:bCs/>
                <w:sz w:val="24"/>
                <w:lang w:val="en-US" w:eastAsia="zh-CN"/>
              </w:rPr>
            </w:pPr>
            <w:r>
              <w:rPr>
                <w:rFonts w:hint="eastAsia" w:eastAsia="仿宋_GB2312"/>
                <w:b w:val="0"/>
                <w:bCs/>
                <w:sz w:val="24"/>
                <w:lang w:val="en-US" w:eastAsia="zh-CN"/>
              </w:rPr>
              <w:t>6月：#9、#11、#12、#13、#14、#15、#16、#17、#20、#21、#22</w:t>
            </w:r>
          </w:p>
          <w:p>
            <w:pPr>
              <w:jc w:val="left"/>
              <w:rPr>
                <w:rFonts w:hint="eastAsia" w:eastAsia="仿宋_GB2312"/>
                <w:b w:val="0"/>
                <w:bCs/>
                <w:sz w:val="24"/>
                <w:lang w:val="en-US" w:eastAsia="zh-CN"/>
              </w:rPr>
            </w:pPr>
            <w:r>
              <w:rPr>
                <w:rFonts w:hint="eastAsia" w:eastAsia="仿宋_GB2312"/>
                <w:b w:val="0"/>
                <w:bCs/>
                <w:sz w:val="24"/>
                <w:lang w:val="en-US" w:eastAsia="zh-CN"/>
              </w:rPr>
              <w:t>7月：#1、#2</w:t>
            </w:r>
          </w:p>
          <w:p>
            <w:pPr>
              <w:jc w:val="left"/>
              <w:rPr>
                <w:rFonts w:hint="eastAsia" w:eastAsia="仿宋_GB2312"/>
                <w:b w:val="0"/>
                <w:bCs/>
                <w:sz w:val="24"/>
                <w:lang w:val="en-US" w:eastAsia="zh-CN"/>
              </w:rPr>
            </w:pPr>
            <w:r>
              <w:rPr>
                <w:rFonts w:hint="eastAsia" w:eastAsia="仿宋_GB2312"/>
                <w:b w:val="0"/>
                <w:bCs/>
                <w:sz w:val="24"/>
                <w:lang w:val="en-US" w:eastAsia="zh-CN"/>
              </w:rPr>
              <w:t>9月：#2、#5</w:t>
            </w:r>
          </w:p>
          <w:p>
            <w:pPr>
              <w:jc w:val="left"/>
              <w:rPr>
                <w:rFonts w:hint="eastAsia" w:eastAsia="仿宋_GB2312"/>
                <w:b w:val="0"/>
                <w:bCs/>
                <w:sz w:val="24"/>
                <w:lang w:val="en-US" w:eastAsia="zh-CN"/>
              </w:rPr>
            </w:pPr>
            <w:r>
              <w:rPr>
                <w:rFonts w:hint="eastAsia" w:eastAsia="仿宋_GB2312"/>
                <w:b w:val="0"/>
                <w:bCs/>
                <w:sz w:val="24"/>
                <w:lang w:val="en-US" w:eastAsia="zh-CN"/>
              </w:rPr>
              <w:t>10月: #2、#3、#4、#5、#8、#9、#10、#24</w:t>
            </w:r>
            <w:r>
              <w:rPr>
                <w:rFonts w:hint="eastAsia" w:eastAsia="仿宋_GB2312"/>
                <w:b w:val="0"/>
                <w:bCs/>
                <w:sz w:val="24"/>
                <w:lang w:val="en-US" w:eastAsia="zh-CN"/>
              </w:rPr>
              <w:br w:type="textWrapping"/>
            </w:r>
            <w:r>
              <w:rPr>
                <w:rFonts w:hint="eastAsia" w:eastAsia="仿宋_GB2312"/>
                <w:b w:val="0"/>
                <w:bCs/>
                <w:sz w:val="24"/>
                <w:lang w:val="en-US" w:eastAsia="zh-CN"/>
              </w:rPr>
              <w:t>11月：#7、#8、#9、#10、#11、#12、#13、#15、#16、</w:t>
            </w:r>
          </w:p>
          <w:p>
            <w:pPr>
              <w:jc w:val="left"/>
              <w:rPr>
                <w:rFonts w:hint="default" w:eastAsia="仿宋_GB2312"/>
                <w:b w:val="0"/>
                <w:bCs/>
                <w:sz w:val="24"/>
                <w:lang w:val="en-US" w:eastAsia="zh-CN"/>
              </w:rPr>
            </w:pPr>
            <w:r>
              <w:rPr>
                <w:rFonts w:hint="eastAsia" w:eastAsia="仿宋_GB2312"/>
                <w:b w:val="0"/>
                <w:bCs/>
                <w:sz w:val="24"/>
                <w:lang w:val="en-US" w:eastAsia="zh-CN"/>
              </w:rPr>
              <w:t>12月：#19、#24</w:t>
            </w:r>
          </w:p>
        </w:tc>
        <w:tc>
          <w:tcPr>
            <w:tcW w:w="3177" w:type="dxa"/>
            <w:gridSpan w:val="4"/>
            <w:tcBorders>
              <w:bottom w:val="single" w:color="auto" w:sz="4" w:space="0"/>
            </w:tcBorders>
            <w:noWrap w:val="0"/>
            <w:vAlign w:val="center"/>
          </w:tcPr>
          <w:p>
            <w:pPr>
              <w:jc w:val="left"/>
              <w:rPr>
                <w:rFonts w:hint="eastAsia"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61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75万元</w:t>
            </w:r>
          </w:p>
        </w:tc>
        <w:tc>
          <w:tcPr>
            <w:tcW w:w="2413" w:type="dxa"/>
            <w:gridSpan w:val="4"/>
            <w:tcBorders>
              <w:bottom w:val="single" w:color="auto" w:sz="4" w:space="0"/>
            </w:tcBorders>
            <w:noWrap w:val="0"/>
            <w:vAlign w:val="center"/>
          </w:tcPr>
          <w:p>
            <w:pPr>
              <w:jc w:val="center"/>
              <w:rPr>
                <w:rFonts w:hint="eastAsia" w:eastAsia="仿宋_GB2312"/>
                <w:b/>
                <w:sz w:val="24"/>
              </w:rPr>
            </w:pPr>
          </w:p>
        </w:tc>
        <w:tc>
          <w:tcPr>
            <w:tcW w:w="3177" w:type="dxa"/>
            <w:gridSpan w:val="4"/>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3"/>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4932" w:type="dxa"/>
            <w:gridSpan w:val="8"/>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177"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4932" w:type="dxa"/>
            <w:gridSpan w:val="8"/>
            <w:tcBorders>
              <w:bottom w:val="single" w:color="auto" w:sz="4" w:space="0"/>
            </w:tcBorders>
            <w:noWrap w:val="0"/>
            <w:vAlign w:val="center"/>
          </w:tcPr>
          <w:p>
            <w:pPr>
              <w:jc w:val="left"/>
              <w:rPr>
                <w:rFonts w:hint="eastAsia" w:eastAsia="仿宋_GB2312"/>
                <w:b/>
                <w:sz w:val="24"/>
                <w:lang w:val="en-US" w:eastAsia="zh-CN"/>
              </w:rPr>
            </w:pPr>
            <w:r>
              <w:rPr>
                <w:rFonts w:hint="eastAsia" w:eastAsia="仿宋_GB2312"/>
                <w:b/>
                <w:sz w:val="24"/>
                <w:lang w:val="en-US" w:eastAsia="zh-CN"/>
              </w:rPr>
              <w:t>目标1：维护中心网络正常运转</w:t>
            </w:r>
          </w:p>
          <w:p>
            <w:pPr>
              <w:jc w:val="left"/>
              <w:rPr>
                <w:rFonts w:hint="eastAsia" w:eastAsia="仿宋_GB2312"/>
                <w:b/>
                <w:sz w:val="24"/>
                <w:lang w:val="en-US" w:eastAsia="zh-CN"/>
              </w:rPr>
            </w:pPr>
            <w:r>
              <w:rPr>
                <w:rFonts w:hint="eastAsia" w:eastAsia="仿宋_GB2312"/>
                <w:b/>
                <w:sz w:val="24"/>
                <w:lang w:val="en-US" w:eastAsia="zh-CN"/>
              </w:rPr>
              <w:t>目标2: 做好退休人员养老金领取资格认证和基金管理工作</w:t>
            </w:r>
          </w:p>
          <w:p>
            <w:pPr>
              <w:jc w:val="left"/>
              <w:rPr>
                <w:rFonts w:hint="default" w:eastAsia="仿宋_GB2312"/>
                <w:b/>
                <w:sz w:val="24"/>
                <w:lang w:val="en-US" w:eastAsia="zh-CN"/>
              </w:rPr>
            </w:pPr>
            <w:r>
              <w:rPr>
                <w:rFonts w:hint="eastAsia" w:eastAsia="仿宋_GB2312"/>
                <w:b/>
                <w:sz w:val="24"/>
                <w:lang w:val="en-US" w:eastAsia="zh-CN"/>
              </w:rPr>
              <w:t>目标3: 保证养老保险系统升级正常运转</w:t>
            </w:r>
          </w:p>
          <w:p>
            <w:pPr>
              <w:jc w:val="left"/>
              <w:rPr>
                <w:rFonts w:hint="eastAsia" w:eastAsia="仿宋_GB2312"/>
                <w:b/>
                <w:sz w:val="24"/>
                <w:lang w:val="en-US" w:eastAsia="zh-CN"/>
              </w:rPr>
            </w:pPr>
            <w:r>
              <w:rPr>
                <w:rFonts w:hint="eastAsia" w:eastAsia="仿宋_GB2312"/>
                <w:b/>
                <w:sz w:val="24"/>
                <w:lang w:val="en-US" w:eastAsia="zh-CN"/>
              </w:rPr>
              <w:t>目标4: 做好档案管理工作</w:t>
            </w:r>
          </w:p>
          <w:p>
            <w:pPr>
              <w:jc w:val="left"/>
              <w:rPr>
                <w:rFonts w:hint="default" w:eastAsia="仿宋_GB2312"/>
                <w:b/>
                <w:sz w:val="24"/>
                <w:lang w:val="en-US" w:eastAsia="zh-CN"/>
              </w:rPr>
            </w:pPr>
            <w:r>
              <w:rPr>
                <w:rFonts w:hint="eastAsia" w:eastAsia="仿宋_GB2312"/>
                <w:b/>
                <w:sz w:val="24"/>
                <w:lang w:val="en-US" w:eastAsia="zh-CN"/>
              </w:rPr>
              <w:t>目标5: 做好宣传工作</w:t>
            </w:r>
          </w:p>
        </w:tc>
        <w:tc>
          <w:tcPr>
            <w:tcW w:w="3177" w:type="dxa"/>
            <w:gridSpan w:val="4"/>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部门年度整体绩效目标完成100%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61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413"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74"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003"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610"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指标1:全面宣传机关社保、企业社保、城乡居民三种养老保险政策，增加社会广知度，实现“全民参保”</w:t>
            </w:r>
          </w:p>
        </w:tc>
        <w:tc>
          <w:tcPr>
            <w:tcW w:w="1174"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continue"/>
            <w:noWrap w:val="0"/>
            <w:vAlign w:val="center"/>
          </w:tcPr>
          <w:p>
            <w:pPr>
              <w:spacing w:line="360" w:lineRule="exact"/>
              <w:jc w:val="center"/>
              <w:rPr>
                <w:rFonts w:hint="eastAsia" w:eastAsia="仿宋_GB2312"/>
                <w:sz w:val="24"/>
              </w:rPr>
            </w:pP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指标2：全力落实待遇发放资格确认，对符合待遇领取人员做到“应保尽保”</w:t>
            </w:r>
          </w:p>
        </w:tc>
        <w:tc>
          <w:tcPr>
            <w:tcW w:w="1174"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指标1：完善内部财务、业务相关管理制度，加强执行力度，确保支出合理、基金安全</w:t>
            </w:r>
          </w:p>
        </w:tc>
        <w:tc>
          <w:tcPr>
            <w:tcW w:w="1174"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continue"/>
            <w:noWrap w:val="0"/>
            <w:vAlign w:val="center"/>
          </w:tcPr>
          <w:p>
            <w:pPr>
              <w:spacing w:line="360" w:lineRule="exact"/>
              <w:jc w:val="center"/>
              <w:rPr>
                <w:rFonts w:hint="eastAsia" w:eastAsia="仿宋_GB2312"/>
                <w:sz w:val="24"/>
              </w:rPr>
            </w:pP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指标2：进一步加大稽核力度、全面开展认证工作、维护参保人权益。</w:t>
            </w:r>
          </w:p>
        </w:tc>
        <w:tc>
          <w:tcPr>
            <w:tcW w:w="1174"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指标1：及时积极与税务部门衔接，确保机关养老及城乡居民养老保险的征缴工作顺利划转</w:t>
            </w:r>
          </w:p>
        </w:tc>
        <w:tc>
          <w:tcPr>
            <w:tcW w:w="1174"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continue"/>
            <w:noWrap w:val="0"/>
            <w:vAlign w:val="center"/>
          </w:tcPr>
          <w:p>
            <w:pPr>
              <w:spacing w:line="360" w:lineRule="exact"/>
              <w:jc w:val="center"/>
              <w:rPr>
                <w:rFonts w:hint="eastAsia" w:eastAsia="仿宋_GB2312"/>
                <w:sz w:val="24"/>
              </w:rPr>
            </w:pP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指标2：确保每月养老保险待遇、代发待遇等及时发放到位；机关养老保险年金及时上解</w:t>
            </w:r>
          </w:p>
        </w:tc>
        <w:tc>
          <w:tcPr>
            <w:tcW w:w="1174"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413" w:type="dxa"/>
            <w:gridSpan w:val="4"/>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指标1：严控“三公经费”，推动社会保险民生保障事业发展</w:t>
            </w:r>
          </w:p>
        </w:tc>
        <w:tc>
          <w:tcPr>
            <w:tcW w:w="1174" w:type="dxa"/>
            <w:gridSpan w:val="2"/>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610"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413" w:type="dxa"/>
            <w:gridSpan w:val="4"/>
            <w:noWrap w:val="0"/>
            <w:vAlign w:val="center"/>
          </w:tcPr>
          <w:p>
            <w:pPr>
              <w:spacing w:line="360" w:lineRule="exact"/>
              <w:jc w:val="both"/>
              <w:rPr>
                <w:rFonts w:hint="default" w:eastAsia="仿宋_GB2312"/>
                <w:sz w:val="24"/>
                <w:lang w:val="en-US" w:eastAsia="zh-CN"/>
              </w:rPr>
            </w:pPr>
            <w:r>
              <w:rPr>
                <w:rFonts w:hint="eastAsia" w:eastAsia="仿宋_GB2312"/>
                <w:sz w:val="24"/>
                <w:lang w:val="en-US" w:eastAsia="zh-CN"/>
              </w:rPr>
              <w:t>指标1: 资金合理使用，降低行政运行成本</w:t>
            </w:r>
          </w:p>
        </w:tc>
        <w:tc>
          <w:tcPr>
            <w:tcW w:w="1174" w:type="dxa"/>
            <w:gridSpan w:val="2"/>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指标1：到龄人员待遇及时足额发放，保障老年人基本生活，实现“老有所养”</w:t>
            </w:r>
          </w:p>
        </w:tc>
        <w:tc>
          <w:tcPr>
            <w:tcW w:w="1174"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vMerge w:val="continue"/>
            <w:noWrap w:val="0"/>
            <w:vAlign w:val="center"/>
          </w:tcPr>
          <w:p>
            <w:pPr>
              <w:spacing w:line="360" w:lineRule="exact"/>
              <w:jc w:val="center"/>
              <w:rPr>
                <w:rFonts w:hint="eastAsia" w:eastAsia="仿宋_GB2312"/>
                <w:sz w:val="24"/>
              </w:rPr>
            </w:pPr>
          </w:p>
        </w:tc>
        <w:tc>
          <w:tcPr>
            <w:tcW w:w="2413" w:type="dxa"/>
            <w:gridSpan w:val="4"/>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指标2：力保各项代发工作及被征地农民工作有序开展，促进我县社社会和谐稳定</w:t>
            </w:r>
          </w:p>
        </w:tc>
        <w:tc>
          <w:tcPr>
            <w:tcW w:w="1174"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413" w:type="dxa"/>
            <w:gridSpan w:val="4"/>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指标1：办公用品绿色环保，厉行节约</w:t>
            </w:r>
          </w:p>
        </w:tc>
        <w:tc>
          <w:tcPr>
            <w:tcW w:w="1174" w:type="dxa"/>
            <w:gridSpan w:val="2"/>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10"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413" w:type="dxa"/>
            <w:gridSpan w:val="4"/>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指标1：政务公开、服务积极、态度热情，保障养老保险业务开展的连续性及顺畅性，提高社会公众满意度</w:t>
            </w:r>
          </w:p>
        </w:tc>
        <w:tc>
          <w:tcPr>
            <w:tcW w:w="1174" w:type="dxa"/>
            <w:gridSpan w:val="2"/>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2003"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9"/>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9"/>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809" w:type="dxa"/>
            <w:gridSpan w:val="2"/>
            <w:noWrap w:val="0"/>
            <w:vAlign w:val="center"/>
          </w:tcPr>
          <w:p>
            <w:pPr>
              <w:jc w:val="center"/>
              <w:rPr>
                <w:rFonts w:hint="eastAsia" w:eastAsia="仿宋_GB2312"/>
                <w:sz w:val="24"/>
              </w:rPr>
            </w:pPr>
            <w:r>
              <w:rPr>
                <w:rFonts w:hint="eastAsia" w:eastAsia="仿宋_GB2312"/>
                <w:sz w:val="24"/>
              </w:rPr>
              <w:t>单  位</w:t>
            </w:r>
          </w:p>
        </w:tc>
        <w:tc>
          <w:tcPr>
            <w:tcW w:w="3177" w:type="dxa"/>
            <w:gridSpan w:val="4"/>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蔡鸿</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主任</w:t>
            </w:r>
          </w:p>
        </w:tc>
        <w:tc>
          <w:tcPr>
            <w:tcW w:w="1809" w:type="dxa"/>
            <w:gridSpan w:val="2"/>
            <w:noWrap w:val="0"/>
            <w:vAlign w:val="center"/>
          </w:tcPr>
          <w:p>
            <w:pPr>
              <w:rPr>
                <w:rFonts w:hint="default" w:eastAsia="仿宋_GB2312"/>
                <w:sz w:val="24"/>
                <w:lang w:val="en-US" w:eastAsia="zh-CN"/>
              </w:rPr>
            </w:pPr>
            <w:r>
              <w:rPr>
                <w:rFonts w:hint="eastAsia" w:eastAsia="仿宋_GB2312"/>
                <w:sz w:val="24"/>
                <w:lang w:val="en-US" w:eastAsia="zh-CN"/>
              </w:rPr>
              <w:t>华容县社会保险服务中心</w:t>
            </w:r>
          </w:p>
        </w:tc>
        <w:tc>
          <w:tcPr>
            <w:tcW w:w="3177"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卜萍</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副主任</w:t>
            </w:r>
          </w:p>
        </w:tc>
        <w:tc>
          <w:tcPr>
            <w:tcW w:w="1809" w:type="dxa"/>
            <w:gridSpan w:val="2"/>
            <w:noWrap w:val="0"/>
            <w:vAlign w:val="center"/>
          </w:tcPr>
          <w:p>
            <w:pPr>
              <w:rPr>
                <w:rFonts w:hint="eastAsia" w:eastAsia="仿宋_GB2312"/>
                <w:sz w:val="24"/>
              </w:rPr>
            </w:pPr>
            <w:r>
              <w:rPr>
                <w:rFonts w:hint="eastAsia" w:eastAsia="仿宋_GB2312"/>
                <w:sz w:val="24"/>
                <w:lang w:val="en-US" w:eastAsia="zh-CN"/>
              </w:rPr>
              <w:t>华容县社会保险服务中心</w:t>
            </w:r>
          </w:p>
        </w:tc>
        <w:tc>
          <w:tcPr>
            <w:tcW w:w="3177"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陈时劼</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财务人员</w:t>
            </w:r>
          </w:p>
        </w:tc>
        <w:tc>
          <w:tcPr>
            <w:tcW w:w="1809" w:type="dxa"/>
            <w:gridSpan w:val="2"/>
            <w:noWrap w:val="0"/>
            <w:vAlign w:val="center"/>
          </w:tcPr>
          <w:p>
            <w:pPr>
              <w:rPr>
                <w:rFonts w:hint="eastAsia" w:eastAsia="仿宋_GB2312"/>
                <w:sz w:val="24"/>
              </w:rPr>
            </w:pPr>
            <w:r>
              <w:rPr>
                <w:rFonts w:hint="eastAsia" w:eastAsia="仿宋_GB2312"/>
                <w:sz w:val="24"/>
                <w:lang w:val="en-US" w:eastAsia="zh-CN"/>
              </w:rPr>
              <w:t>华容县社会保险服务中心</w:t>
            </w:r>
          </w:p>
        </w:tc>
        <w:tc>
          <w:tcPr>
            <w:tcW w:w="3177"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我中心2020年项目支出主要用于</w:t>
            </w:r>
            <w:r>
              <w:rPr>
                <w:rFonts w:hint="default" w:ascii="仿宋_GB2312" w:hAnsi="宋体" w:eastAsia="仿宋_GB2312" w:cs="仿宋_GB2312"/>
                <w:i w:val="0"/>
                <w:iCs w:val="0"/>
                <w:caps w:val="0"/>
                <w:color w:val="000000"/>
                <w:spacing w:val="0"/>
                <w:sz w:val="32"/>
                <w:szCs w:val="32"/>
                <w:shd w:val="clear" w:fill="FFFFFF"/>
              </w:rPr>
              <w:t>养老保险系统升级及扩展服务费</w:t>
            </w:r>
            <w:r>
              <w:rPr>
                <w:rFonts w:hint="eastAsia" w:ascii="仿宋_GB2312" w:hAnsi="宋体" w:eastAsia="仿宋_GB2312" w:cs="仿宋_GB2312"/>
                <w:i w:val="0"/>
                <w:iCs w:val="0"/>
                <w:caps w:val="0"/>
                <w:color w:val="000000"/>
                <w:spacing w:val="0"/>
                <w:sz w:val="32"/>
                <w:szCs w:val="32"/>
                <w:shd w:val="clear" w:fill="FFFFFF"/>
                <w:lang w:val="en-US" w:eastAsia="zh-CN"/>
              </w:rPr>
              <w:t>和</w:t>
            </w:r>
            <w:r>
              <w:rPr>
                <w:rFonts w:hint="default" w:ascii="仿宋_GB2312" w:hAnsi="宋体" w:eastAsia="仿宋_GB2312" w:cs="仿宋_GB2312"/>
                <w:i w:val="0"/>
                <w:iCs w:val="0"/>
                <w:caps w:val="0"/>
                <w:color w:val="000000"/>
                <w:spacing w:val="0"/>
                <w:sz w:val="32"/>
                <w:szCs w:val="32"/>
                <w:shd w:val="clear" w:fill="FFFFFF"/>
              </w:rPr>
              <w:t>养老金资格认证及基金管理</w:t>
            </w:r>
            <w:r>
              <w:rPr>
                <w:rFonts w:hint="eastAsia" w:ascii="仿宋_GB2312" w:hAnsi="宋体" w:eastAsia="仿宋_GB2312" w:cs="仿宋_GB2312"/>
                <w:i w:val="0"/>
                <w:iCs w:val="0"/>
                <w:caps w:val="0"/>
                <w:color w:val="000000"/>
                <w:spacing w:val="0"/>
                <w:sz w:val="32"/>
                <w:szCs w:val="32"/>
                <w:shd w:val="clear" w:fill="FFFFFF"/>
                <w:lang w:val="en-US" w:eastAsia="zh-CN"/>
              </w:rPr>
              <w:t>方面。</w:t>
            </w:r>
            <w:r>
              <w:rPr>
                <w:rFonts w:hint="eastAsia" w:eastAsia="仿宋_GB2312"/>
                <w:sz w:val="30"/>
                <w:szCs w:val="30"/>
                <w:lang w:val="en-US" w:eastAsia="zh-CN"/>
              </w:rPr>
              <w:t>2020年度我中心决算专项资金共计75万元。</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widowControl w:val="0"/>
              <w:numPr>
                <w:ilvl w:val="0"/>
                <w:numId w:val="0"/>
              </w:numPr>
              <w:spacing w:line="560" w:lineRule="exact"/>
              <w:ind w:firstLine="600" w:firstLineChars="200"/>
              <w:jc w:val="both"/>
              <w:rPr>
                <w:rFonts w:hint="default" w:eastAsia="仿宋_GB2312"/>
                <w:sz w:val="30"/>
                <w:szCs w:val="30"/>
                <w:lang w:val="en-US" w:eastAsia="zh-CN"/>
              </w:rPr>
            </w:pPr>
            <w:r>
              <w:rPr>
                <w:rFonts w:hint="eastAsia" w:eastAsia="仿宋_GB2312"/>
                <w:sz w:val="30"/>
                <w:szCs w:val="30"/>
                <w:lang w:val="en-US" w:eastAsia="zh-CN"/>
              </w:rPr>
              <w:t xml:space="preserve">购买资格认证设备0.57万元；维护费4.61万元；宣传印刷费6.17元；办公费4.44万元；委托业务费4.64万元，支付社会化管理整理临时人员工资21.15万元，社保中心手续费、社保转移快递费1.21万元，其他商品和服务支出32.18万元。在资金执行过程中，我中心严格遵照会计制度的相关规定进行开支，坚决杜绝乱支错支现象发生，不仅保障资金的安全，也促进资金使用效益的最大化，不存在支出依据不合规、虚列项目支出的情况，不存在截留、挤占、挪用项目资金的情况。         </w:t>
            </w:r>
          </w:p>
          <w:p>
            <w:pPr>
              <w:numPr>
                <w:ilvl w:val="0"/>
                <w:numId w:val="1"/>
              </w:numPr>
              <w:spacing w:line="560" w:lineRule="exact"/>
              <w:ind w:left="0" w:leftChars="0" w:firstLine="600" w:firstLineChars="200"/>
              <w:rPr>
                <w:rFonts w:hint="eastAsia" w:eastAsia="仿宋_GB2312"/>
                <w:sz w:val="30"/>
                <w:szCs w:val="30"/>
                <w:lang w:val="en-US" w:eastAsia="zh-CN"/>
              </w:rPr>
            </w:pPr>
            <w:r>
              <w:rPr>
                <w:rFonts w:hint="eastAsia" w:eastAsia="仿宋_GB2312"/>
                <w:sz w:val="30"/>
                <w:szCs w:val="30"/>
              </w:rPr>
              <w:t>项目组织实施情况</w:t>
            </w:r>
          </w:p>
          <w:p>
            <w:pPr>
              <w:widowControl w:val="0"/>
              <w:numPr>
                <w:ilvl w:val="0"/>
                <w:numId w:val="0"/>
              </w:numPr>
              <w:spacing w:line="560" w:lineRule="exact"/>
              <w:ind w:firstLine="600" w:firstLineChars="200"/>
              <w:jc w:val="both"/>
              <w:rPr>
                <w:rFonts w:hint="default" w:eastAsia="仿宋_GB2312"/>
                <w:sz w:val="30"/>
                <w:szCs w:val="30"/>
                <w:lang w:val="en-US" w:eastAsia="zh-CN"/>
              </w:rPr>
            </w:pPr>
            <w:r>
              <w:rPr>
                <w:rFonts w:hint="eastAsia" w:eastAsia="仿宋_GB2312"/>
                <w:sz w:val="30"/>
                <w:szCs w:val="30"/>
                <w:lang w:val="en-US" w:eastAsia="zh-CN"/>
              </w:rPr>
              <w:t>按照专项工作进度需要，申拨专项经费。专项资金指标下达后，我中心做到专款专用，严格按照相关会计制度进行会计核算和财务处理，做到财务处理及时、会计核算规范。</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widowControl w:val="0"/>
              <w:numPr>
                <w:ilvl w:val="0"/>
                <w:numId w:val="0"/>
              </w:numPr>
              <w:spacing w:line="560" w:lineRule="exact"/>
              <w:ind w:firstLine="600" w:firstLineChars="200"/>
              <w:jc w:val="both"/>
              <w:rPr>
                <w:rFonts w:hint="eastAsia" w:eastAsia="仿宋_GB2312"/>
                <w:sz w:val="30"/>
                <w:szCs w:val="30"/>
              </w:rPr>
            </w:pPr>
            <w:r>
              <w:rPr>
                <w:rFonts w:hint="eastAsia" w:eastAsia="仿宋_GB2312"/>
                <w:sz w:val="30"/>
                <w:szCs w:val="30"/>
                <w:lang w:val="en-US" w:eastAsia="zh-CN"/>
              </w:rPr>
              <w:t>所有开支均按照财务管理制度执行，资金的使用严格把关，财务资料完整。通过实时监管、定期报送数据、不定时开展基金监督检查等方式，保证了专项资金使用的真实、合法、有效，提高了资金的使用率。</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1.产出指标完成情况分析。</w:t>
            </w:r>
          </w:p>
          <w:p>
            <w:pPr>
              <w:spacing w:line="560" w:lineRule="exact"/>
              <w:ind w:firstLine="600" w:firstLineChars="200"/>
              <w:rPr>
                <w:rFonts w:hint="eastAsia" w:eastAsia="仿宋_GB2312"/>
                <w:sz w:val="30"/>
                <w:szCs w:val="30"/>
              </w:rPr>
            </w:pPr>
            <w:r>
              <w:rPr>
                <w:rFonts w:hint="eastAsia" w:eastAsia="仿宋_GB2312"/>
                <w:sz w:val="30"/>
                <w:szCs w:val="30"/>
              </w:rPr>
              <w:t>（1）项目完成数量。社会化管理建设项目数量完成达</w:t>
            </w:r>
            <w:r>
              <w:rPr>
                <w:rFonts w:hint="eastAsia" w:eastAsia="仿宋_GB2312"/>
                <w:sz w:val="30"/>
                <w:szCs w:val="30"/>
                <w:lang w:val="en-US" w:eastAsia="zh-CN"/>
              </w:rPr>
              <w:t>100</w:t>
            </w:r>
            <w:r>
              <w:rPr>
                <w:rFonts w:hint="eastAsia" w:eastAsia="仿宋_GB2312"/>
                <w:sz w:val="30"/>
                <w:szCs w:val="30"/>
              </w:rPr>
              <w:t>%.</w:t>
            </w:r>
          </w:p>
          <w:p>
            <w:pPr>
              <w:spacing w:line="560" w:lineRule="exact"/>
              <w:ind w:firstLine="600" w:firstLineChars="200"/>
              <w:rPr>
                <w:rFonts w:hint="eastAsia" w:eastAsia="仿宋_GB2312"/>
                <w:sz w:val="30"/>
                <w:szCs w:val="30"/>
              </w:rPr>
            </w:pPr>
            <w:r>
              <w:rPr>
                <w:rFonts w:hint="eastAsia" w:eastAsia="仿宋_GB2312"/>
                <w:sz w:val="30"/>
                <w:szCs w:val="30"/>
              </w:rPr>
              <w:t>（2）项目完成质量。社会化管理建设项目质量完成全部达到预期目标。</w:t>
            </w:r>
          </w:p>
          <w:p>
            <w:pPr>
              <w:spacing w:line="560" w:lineRule="exact"/>
              <w:ind w:firstLine="600" w:firstLineChars="200"/>
              <w:rPr>
                <w:rFonts w:hint="eastAsia" w:eastAsia="仿宋_GB2312"/>
                <w:sz w:val="30"/>
                <w:szCs w:val="30"/>
              </w:rPr>
            </w:pPr>
            <w:r>
              <w:rPr>
                <w:rFonts w:hint="eastAsia" w:eastAsia="仿宋_GB2312"/>
                <w:sz w:val="30"/>
                <w:szCs w:val="30"/>
              </w:rPr>
              <w:t>（3）项目实施进度。社会化管理建设项目实施进度如期进行，年底前已全部实施完成。</w:t>
            </w:r>
          </w:p>
          <w:p>
            <w:pPr>
              <w:spacing w:line="560" w:lineRule="exact"/>
              <w:ind w:firstLine="600" w:firstLineChars="200"/>
              <w:rPr>
                <w:rFonts w:hint="eastAsia" w:eastAsia="仿宋_GB2312"/>
                <w:sz w:val="30"/>
                <w:szCs w:val="30"/>
              </w:rPr>
            </w:pPr>
            <w:r>
              <w:rPr>
                <w:rFonts w:hint="eastAsia" w:eastAsia="仿宋_GB2312"/>
                <w:sz w:val="30"/>
                <w:szCs w:val="30"/>
              </w:rPr>
              <w:t>（4）项目成本节约情况。严格按照有关规定节约使用各项经费。</w:t>
            </w:r>
          </w:p>
          <w:p>
            <w:pPr>
              <w:spacing w:line="560" w:lineRule="exact"/>
              <w:ind w:firstLine="600" w:firstLineChars="200"/>
              <w:rPr>
                <w:rFonts w:hint="eastAsia" w:eastAsia="仿宋_GB2312"/>
                <w:sz w:val="30"/>
                <w:szCs w:val="30"/>
              </w:rPr>
            </w:pPr>
            <w:r>
              <w:rPr>
                <w:rFonts w:hint="eastAsia" w:eastAsia="仿宋_GB2312"/>
                <w:sz w:val="30"/>
                <w:szCs w:val="30"/>
              </w:rPr>
              <w:t>2.效益指标完成情况分析。</w:t>
            </w:r>
          </w:p>
          <w:p>
            <w:pPr>
              <w:spacing w:line="560" w:lineRule="exact"/>
              <w:ind w:firstLine="600" w:firstLineChars="200"/>
              <w:rPr>
                <w:rFonts w:hint="eastAsia" w:eastAsia="仿宋_GB2312"/>
                <w:sz w:val="30"/>
                <w:szCs w:val="30"/>
              </w:rPr>
            </w:pPr>
            <w:r>
              <w:rPr>
                <w:rFonts w:hint="eastAsia" w:eastAsia="仿宋_GB2312"/>
                <w:sz w:val="30"/>
                <w:szCs w:val="30"/>
              </w:rPr>
              <w:t>（1）项目实施的经济效益分析。2</w:t>
            </w:r>
            <w:r>
              <w:rPr>
                <w:rFonts w:hint="eastAsia" w:eastAsia="仿宋_GB2312"/>
                <w:sz w:val="30"/>
                <w:szCs w:val="30"/>
                <w:lang w:val="en-US" w:eastAsia="zh-CN"/>
              </w:rPr>
              <w:t>020</w:t>
            </w:r>
            <w:r>
              <w:rPr>
                <w:rFonts w:hint="eastAsia" w:eastAsia="仿宋_GB2312"/>
                <w:sz w:val="30"/>
                <w:szCs w:val="30"/>
              </w:rPr>
              <w:t>年社会化管理建设项目工作按照国家社会保险标准化建设和省社保局计划目标，认真规划部署，为全省全面推行社会保险标准化建设做好示范作用。</w:t>
            </w:r>
          </w:p>
          <w:p>
            <w:pPr>
              <w:spacing w:line="560" w:lineRule="exact"/>
              <w:ind w:firstLine="600" w:firstLineChars="200"/>
              <w:rPr>
                <w:rFonts w:hint="eastAsia" w:eastAsia="仿宋_GB2312"/>
                <w:sz w:val="30"/>
                <w:szCs w:val="30"/>
              </w:rPr>
            </w:pPr>
            <w:r>
              <w:rPr>
                <w:rFonts w:hint="eastAsia" w:eastAsia="仿宋_GB2312"/>
                <w:sz w:val="30"/>
                <w:szCs w:val="30"/>
              </w:rPr>
              <w:t>（2）项目实施的社会效益分析。项目实施有效提高了社保工作职能，进一步规范社会保险社会化管理工作，提升服务质量，为广大人民群众提供制度化、规范化、专业化和人性化服务。社会保险标准化建设工作的创建，全面提升了我</w:t>
            </w:r>
            <w:r>
              <w:rPr>
                <w:rFonts w:hint="eastAsia" w:eastAsia="仿宋_GB2312"/>
                <w:sz w:val="30"/>
                <w:szCs w:val="30"/>
                <w:lang w:val="en-US" w:eastAsia="zh-CN"/>
              </w:rPr>
              <w:t>县</w:t>
            </w:r>
            <w:r>
              <w:rPr>
                <w:rFonts w:hint="eastAsia" w:eastAsia="仿宋_GB2312"/>
                <w:sz w:val="30"/>
                <w:szCs w:val="30"/>
              </w:rPr>
              <w:t>社保服务工作水平。</w:t>
            </w:r>
          </w:p>
          <w:p>
            <w:pPr>
              <w:spacing w:line="560" w:lineRule="exact"/>
              <w:ind w:firstLine="600" w:firstLineChars="200"/>
              <w:rPr>
                <w:rFonts w:hint="eastAsia" w:eastAsia="仿宋_GB2312"/>
                <w:sz w:val="30"/>
                <w:szCs w:val="30"/>
              </w:rPr>
            </w:pPr>
            <w:r>
              <w:rPr>
                <w:rFonts w:hint="eastAsia" w:eastAsia="仿宋_GB2312"/>
                <w:sz w:val="30"/>
                <w:szCs w:val="30"/>
              </w:rPr>
              <w:t>（3）项目实施的生态效益分析。项目实施坚持人性化管理，为参保人员查询档案资料提供优质服务，档案管理需要保持稳定的温度和湿度，所以在节能降税方面还要改进。</w:t>
            </w:r>
          </w:p>
          <w:p>
            <w:pPr>
              <w:spacing w:line="560" w:lineRule="exact"/>
              <w:ind w:firstLine="600" w:firstLineChars="200"/>
              <w:rPr>
                <w:rFonts w:hint="eastAsia" w:eastAsia="仿宋_GB2312"/>
                <w:sz w:val="30"/>
                <w:szCs w:val="30"/>
              </w:rPr>
            </w:pPr>
            <w:r>
              <w:rPr>
                <w:rFonts w:hint="eastAsia" w:eastAsia="仿宋_GB2312"/>
                <w:sz w:val="30"/>
                <w:szCs w:val="30"/>
              </w:rPr>
              <w:t>（4）项目实施的可持续影响分析。2</w:t>
            </w:r>
            <w:r>
              <w:rPr>
                <w:rFonts w:hint="eastAsia" w:eastAsia="仿宋_GB2312"/>
                <w:sz w:val="30"/>
                <w:szCs w:val="30"/>
                <w:lang w:val="en-US" w:eastAsia="zh-CN"/>
              </w:rPr>
              <w:t>020</w:t>
            </w:r>
            <w:r>
              <w:rPr>
                <w:rFonts w:hint="eastAsia" w:eastAsia="仿宋_GB2312"/>
                <w:sz w:val="30"/>
                <w:szCs w:val="30"/>
              </w:rPr>
              <w:t>年社会化管理项目实施后，及时建立健全各项工作管理制度和业务审批流程，实现规范管理，为全省全面推行社会保险标准化建设工作起到示范作用。有效提高了社保工作效能，全面提升了我</w:t>
            </w:r>
            <w:r>
              <w:rPr>
                <w:rFonts w:hint="eastAsia" w:eastAsia="仿宋_GB2312"/>
                <w:sz w:val="30"/>
                <w:szCs w:val="30"/>
                <w:lang w:val="en-US" w:eastAsia="zh-CN"/>
              </w:rPr>
              <w:t>县</w:t>
            </w:r>
            <w:r>
              <w:rPr>
                <w:rFonts w:hint="eastAsia" w:eastAsia="仿宋_GB2312"/>
                <w:sz w:val="30"/>
                <w:szCs w:val="30"/>
              </w:rPr>
              <w:t>社保业务工作水平，促使我</w:t>
            </w:r>
            <w:r>
              <w:rPr>
                <w:rFonts w:hint="eastAsia" w:eastAsia="仿宋_GB2312"/>
                <w:sz w:val="30"/>
                <w:szCs w:val="30"/>
                <w:lang w:val="en-US" w:eastAsia="zh-CN"/>
              </w:rPr>
              <w:t>县</w:t>
            </w:r>
            <w:r>
              <w:rPr>
                <w:rFonts w:hint="eastAsia" w:eastAsia="仿宋_GB2312"/>
                <w:sz w:val="30"/>
                <w:szCs w:val="30"/>
              </w:rPr>
              <w:t>社会保险经办服务更加规范、更加便捷、更加高效。</w:t>
            </w:r>
          </w:p>
          <w:p>
            <w:pPr>
              <w:spacing w:line="560" w:lineRule="exact"/>
              <w:ind w:firstLine="600" w:firstLineChars="200"/>
              <w:rPr>
                <w:rFonts w:hint="eastAsia" w:eastAsia="仿宋_GB2312"/>
                <w:sz w:val="30"/>
                <w:szCs w:val="30"/>
              </w:rPr>
            </w:pPr>
            <w:r>
              <w:rPr>
                <w:rFonts w:hint="eastAsia" w:eastAsia="仿宋_GB2312"/>
                <w:sz w:val="30"/>
                <w:szCs w:val="30"/>
              </w:rPr>
              <w:t>（5）满意度指标完成情况分析。2</w:t>
            </w:r>
            <w:r>
              <w:rPr>
                <w:rFonts w:hint="eastAsia" w:eastAsia="仿宋_GB2312"/>
                <w:sz w:val="30"/>
                <w:szCs w:val="30"/>
                <w:lang w:val="en-US" w:eastAsia="zh-CN"/>
              </w:rPr>
              <w:t>020</w:t>
            </w:r>
            <w:r>
              <w:rPr>
                <w:rFonts w:hint="eastAsia" w:eastAsia="仿宋_GB2312"/>
                <w:sz w:val="30"/>
                <w:szCs w:val="30"/>
              </w:rPr>
              <w:t>年社会化管理项目实施过程和情况，自评满意度分数为100分。</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由于预算绩效管理的专业性、复杂性等特性，业务水平</w:t>
            </w:r>
            <w:r>
              <w:rPr>
                <w:rFonts w:hint="eastAsia" w:eastAsia="仿宋_GB2312"/>
                <w:sz w:val="30"/>
                <w:szCs w:val="30"/>
                <w:lang w:eastAsia="zh-CN"/>
              </w:rPr>
              <w:t>和</w:t>
            </w:r>
            <w:r>
              <w:rPr>
                <w:rFonts w:hint="eastAsia" w:eastAsia="仿宋_GB2312"/>
                <w:sz w:val="30"/>
                <w:szCs w:val="30"/>
              </w:rPr>
              <w:t>专业素质有待提高；预算绩效管理基础工作有待进一步加强。</w:t>
            </w:r>
            <w:r>
              <w:rPr>
                <w:rFonts w:hint="eastAsia" w:eastAsia="仿宋_GB2312"/>
                <w:sz w:val="30"/>
                <w:szCs w:val="30"/>
                <w:lang w:val="en-US" w:eastAsia="zh-CN"/>
              </w:rPr>
              <w:t>改进措施和有关建议如下：</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科学合理编制预算，严格执行预算。要按照《预算法》及其实施条例的相关规定，参考上一年的预算执行情况和年度的收支预测科学编制预算，避免年中大幅追加以及超预算。同时严格预算执行，提高资金使用效率。</w:t>
            </w:r>
          </w:p>
          <w:p>
            <w:pPr>
              <w:spacing w:line="560" w:lineRule="exact"/>
              <w:ind w:firstLine="600" w:firstLineChars="200"/>
              <w:rPr>
                <w:rFonts w:eastAsia="楷体_GB2312"/>
                <w:bCs/>
                <w:sz w:val="28"/>
                <w:szCs w:val="28"/>
              </w:rPr>
            </w:pPr>
            <w:r>
              <w:rPr>
                <w:rFonts w:hint="eastAsia" w:eastAsia="仿宋_GB2312"/>
                <w:sz w:val="30"/>
                <w:szCs w:val="30"/>
                <w:lang w:val="en-US" w:eastAsia="zh-CN"/>
              </w:rPr>
              <w:t>2、</w:t>
            </w:r>
            <w:r>
              <w:rPr>
                <w:rFonts w:hint="eastAsia" w:eastAsia="仿宋_GB2312"/>
                <w:sz w:val="30"/>
                <w:szCs w:val="30"/>
              </w:rPr>
              <w:t>全面推行政务公开，及时将相关政策及实行举措做好公示，方便居民更了解</w:t>
            </w:r>
            <w:r>
              <w:rPr>
                <w:rFonts w:hint="eastAsia" w:eastAsia="仿宋_GB2312"/>
                <w:sz w:val="30"/>
                <w:szCs w:val="30"/>
                <w:lang w:eastAsia="zh-CN"/>
              </w:rPr>
              <w:t>社会</w:t>
            </w:r>
            <w:r>
              <w:rPr>
                <w:rFonts w:hint="eastAsia" w:eastAsia="仿宋_GB2312"/>
                <w:sz w:val="30"/>
                <w:szCs w:val="30"/>
              </w:rPr>
              <w:t>养老保险</w:t>
            </w:r>
            <w:r>
              <w:rPr>
                <w:rFonts w:hint="eastAsia" w:eastAsia="仿宋_GB2312"/>
                <w:sz w:val="30"/>
                <w:szCs w:val="30"/>
                <w:lang w:eastAsia="zh-CN"/>
              </w:rPr>
              <w:t>政策</w:t>
            </w:r>
            <w:r>
              <w:rPr>
                <w:rFonts w:hint="eastAsia" w:eastAsia="仿宋_GB2312"/>
                <w:sz w:val="30"/>
                <w:szCs w:val="30"/>
              </w:rPr>
              <w:t>；加大力度推广“智慧人社APP”使用，让老百姓通过手机终端即可知晓个人保险缴费、领取及个人账户结存以及进行年度生存认证。借助现代化管理</w:t>
            </w:r>
            <w:r>
              <w:rPr>
                <w:rFonts w:hint="eastAsia" w:eastAsia="仿宋_GB2312"/>
                <w:sz w:val="30"/>
                <w:szCs w:val="30"/>
                <w:lang w:eastAsia="zh-CN"/>
              </w:rPr>
              <w:t>软件</w:t>
            </w:r>
            <w:r>
              <w:rPr>
                <w:rFonts w:hint="eastAsia" w:eastAsia="仿宋_GB2312"/>
                <w:sz w:val="30"/>
                <w:szCs w:val="30"/>
              </w:rPr>
              <w:t>辅助，提高单位服务质量，优化经济环境，维护社会稳定，推动社会和谐发展。</w:t>
            </w:r>
          </w:p>
        </w:tc>
      </w:tr>
    </w:tbl>
    <w:p>
      <w:pPr>
        <w:rPr>
          <w:rFonts w:ascii="黑体" w:hAnsi="黑体" w:eastAsia="黑体"/>
          <w:sz w:val="32"/>
          <w:szCs w:val="32"/>
        </w:rPr>
      </w:pPr>
    </w:p>
    <w:p>
      <w:pPr>
        <w:adjustRightInd w:val="0"/>
        <w:snapToGrid w:val="0"/>
        <w:spacing w:before="156" w:beforeLines="50"/>
        <w:contextualSpacing/>
        <w:rPr>
          <w:rFonts w:hint="eastAsia" w:ascii="仿宋_GB2312" w:hAnsi="宋体" w:eastAsia="仿宋_GB2312" w:cs="宋体"/>
          <w:kern w:val="0"/>
          <w:szCs w:val="21"/>
          <w:lang w:eastAsia="zh-CN"/>
        </w:rPr>
      </w:pPr>
      <w:r>
        <w:rPr>
          <w:rFonts w:ascii="黑体" w:hAnsi="黑体" w:eastAsia="黑体"/>
          <w:sz w:val="32"/>
          <w:szCs w:val="32"/>
        </w:rPr>
        <w:br w:type="page"/>
      </w:r>
      <w:bookmarkStart w:id="0" w:name="_GoBack"/>
      <w:bookmarkEnd w:id="0"/>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37E69"/>
    <w:multiLevelType w:val="singleLevel"/>
    <w:tmpl w:val="9C937E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B62443"/>
    <w:rsid w:val="03D34C0A"/>
    <w:rsid w:val="043F0EEB"/>
    <w:rsid w:val="05D6157E"/>
    <w:rsid w:val="069165BC"/>
    <w:rsid w:val="071F4B58"/>
    <w:rsid w:val="074058EC"/>
    <w:rsid w:val="07614C07"/>
    <w:rsid w:val="083749E7"/>
    <w:rsid w:val="092D22E8"/>
    <w:rsid w:val="09931017"/>
    <w:rsid w:val="0C6D756A"/>
    <w:rsid w:val="0DAC39A2"/>
    <w:rsid w:val="0DCE2CA0"/>
    <w:rsid w:val="0DE528CD"/>
    <w:rsid w:val="0E21792D"/>
    <w:rsid w:val="0F2F5D11"/>
    <w:rsid w:val="0F5B3E87"/>
    <w:rsid w:val="0F634C7B"/>
    <w:rsid w:val="0FC83707"/>
    <w:rsid w:val="1218286B"/>
    <w:rsid w:val="12256505"/>
    <w:rsid w:val="123D5E0C"/>
    <w:rsid w:val="15ED3A5B"/>
    <w:rsid w:val="16B67FBD"/>
    <w:rsid w:val="18725427"/>
    <w:rsid w:val="19CF53E4"/>
    <w:rsid w:val="1A483E96"/>
    <w:rsid w:val="1B312E42"/>
    <w:rsid w:val="1BB87D64"/>
    <w:rsid w:val="1BC6588F"/>
    <w:rsid w:val="1C420CFB"/>
    <w:rsid w:val="1C8252F1"/>
    <w:rsid w:val="1CEE6AFD"/>
    <w:rsid w:val="1DB2235E"/>
    <w:rsid w:val="20BB3BA6"/>
    <w:rsid w:val="21EB5209"/>
    <w:rsid w:val="225F35F7"/>
    <w:rsid w:val="239F0049"/>
    <w:rsid w:val="245C2DB8"/>
    <w:rsid w:val="254E2FC7"/>
    <w:rsid w:val="257676C6"/>
    <w:rsid w:val="263C173A"/>
    <w:rsid w:val="289815C3"/>
    <w:rsid w:val="28B012FE"/>
    <w:rsid w:val="2AC35206"/>
    <w:rsid w:val="2B9D6854"/>
    <w:rsid w:val="2C0F422B"/>
    <w:rsid w:val="2CA33441"/>
    <w:rsid w:val="2CE55C20"/>
    <w:rsid w:val="2E2754EB"/>
    <w:rsid w:val="2F287302"/>
    <w:rsid w:val="2FAA5644"/>
    <w:rsid w:val="2FC80CA0"/>
    <w:rsid w:val="30426D13"/>
    <w:rsid w:val="30822A2F"/>
    <w:rsid w:val="314B6362"/>
    <w:rsid w:val="381C04CE"/>
    <w:rsid w:val="3A43255A"/>
    <w:rsid w:val="3B147DDD"/>
    <w:rsid w:val="3B70557E"/>
    <w:rsid w:val="3B915C48"/>
    <w:rsid w:val="3BC617D8"/>
    <w:rsid w:val="3D6201A1"/>
    <w:rsid w:val="3DAD6D75"/>
    <w:rsid w:val="3DCA3093"/>
    <w:rsid w:val="3DDB5086"/>
    <w:rsid w:val="3E66229D"/>
    <w:rsid w:val="3EC46785"/>
    <w:rsid w:val="3F8A6044"/>
    <w:rsid w:val="3FA11F18"/>
    <w:rsid w:val="406241D8"/>
    <w:rsid w:val="40981B60"/>
    <w:rsid w:val="432154FB"/>
    <w:rsid w:val="445657B2"/>
    <w:rsid w:val="477245B4"/>
    <w:rsid w:val="4814786A"/>
    <w:rsid w:val="48EF7D96"/>
    <w:rsid w:val="494544C7"/>
    <w:rsid w:val="49724773"/>
    <w:rsid w:val="4ACA34A2"/>
    <w:rsid w:val="4D1A60E0"/>
    <w:rsid w:val="4E0A7234"/>
    <w:rsid w:val="4E4F0BB0"/>
    <w:rsid w:val="51B525E5"/>
    <w:rsid w:val="539D0F9B"/>
    <w:rsid w:val="53F24462"/>
    <w:rsid w:val="54FD60EA"/>
    <w:rsid w:val="55276F75"/>
    <w:rsid w:val="559055EE"/>
    <w:rsid w:val="5607413A"/>
    <w:rsid w:val="57A0008C"/>
    <w:rsid w:val="58B757B1"/>
    <w:rsid w:val="599321A0"/>
    <w:rsid w:val="59B9046C"/>
    <w:rsid w:val="59EA25F8"/>
    <w:rsid w:val="5B7C42DB"/>
    <w:rsid w:val="5BE95901"/>
    <w:rsid w:val="5C63233B"/>
    <w:rsid w:val="5D29731B"/>
    <w:rsid w:val="5E9172DD"/>
    <w:rsid w:val="5F6E4B62"/>
    <w:rsid w:val="5FF43CAB"/>
    <w:rsid w:val="603E0F13"/>
    <w:rsid w:val="60AE09CD"/>
    <w:rsid w:val="61770BD7"/>
    <w:rsid w:val="62E77383"/>
    <w:rsid w:val="63316023"/>
    <w:rsid w:val="639300B9"/>
    <w:rsid w:val="65D47167"/>
    <w:rsid w:val="69207370"/>
    <w:rsid w:val="69A61AB5"/>
    <w:rsid w:val="69C20DBC"/>
    <w:rsid w:val="6A0A15CD"/>
    <w:rsid w:val="6A573A5E"/>
    <w:rsid w:val="6C915F04"/>
    <w:rsid w:val="6CBB5886"/>
    <w:rsid w:val="6DAA27DA"/>
    <w:rsid w:val="6DF352BD"/>
    <w:rsid w:val="6E7A5BE6"/>
    <w:rsid w:val="6FCE7011"/>
    <w:rsid w:val="705E3E6D"/>
    <w:rsid w:val="707418D8"/>
    <w:rsid w:val="70F356B2"/>
    <w:rsid w:val="71C1048A"/>
    <w:rsid w:val="7218073C"/>
    <w:rsid w:val="73F35F5B"/>
    <w:rsid w:val="76D06DFF"/>
    <w:rsid w:val="79473949"/>
    <w:rsid w:val="79B157A5"/>
    <w:rsid w:val="79C04582"/>
    <w:rsid w:val="7A242F4B"/>
    <w:rsid w:val="7AFF1DCF"/>
    <w:rsid w:val="7D1F0DA2"/>
    <w:rsid w:val="7D333930"/>
    <w:rsid w:val="7E046706"/>
    <w:rsid w:val="7F301B63"/>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平安是福</cp:lastModifiedBy>
  <cp:lastPrinted>2021-08-03T07:54:00Z</cp:lastPrinted>
  <dcterms:modified xsi:type="dcterms:W3CDTF">2021-08-03T08:43:43Z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52299A8D0E0C49F3AA6DEBDA71E81D61</vt:lpwstr>
  </property>
</Properties>
</file>