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w:t>
      </w:r>
      <w:r>
        <w:rPr>
          <w:rFonts w:eastAsia="方正小标宋简体"/>
          <w:bCs/>
          <w:sz w:val="46"/>
          <w:szCs w:val="46"/>
        </w:rPr>
        <w:t>20</w:t>
      </w:r>
      <w:r>
        <w:rPr>
          <w:rFonts w:eastAsia="方正小标宋简体"/>
          <w:bCs/>
          <w:sz w:val="46"/>
          <w:szCs w:val="46"/>
          <w:u w:val="single"/>
        </w:rPr>
        <w:t>19</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名称：华容县工商业联合会</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30"/>
          <w:sz w:val="32"/>
          <w:szCs w:val="32"/>
        </w:rPr>
        <w:t>120001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2020</w:t>
      </w:r>
      <w:r>
        <w:rPr>
          <w:rFonts w:hint="eastAsia" w:eastAsia="仿宋_GB2312"/>
          <w:sz w:val="32"/>
        </w:rPr>
        <w:t>年</w:t>
      </w:r>
      <w:r>
        <w:rPr>
          <w:rFonts w:eastAsia="仿宋_GB2312"/>
          <w:sz w:val="32"/>
        </w:rPr>
        <w:t>10</w:t>
      </w:r>
      <w:r>
        <w:rPr>
          <w:rFonts w:hint="eastAsia" w:eastAsia="仿宋_GB2312"/>
          <w:sz w:val="32"/>
        </w:rPr>
        <w:t>月</w:t>
      </w:r>
      <w:r>
        <w:rPr>
          <w:rFonts w:eastAsia="仿宋_GB2312"/>
          <w:sz w:val="32"/>
        </w:rPr>
        <w:t>20</w:t>
      </w:r>
      <w:r>
        <w:rPr>
          <w:rFonts w:hint="eastAsia" w:eastAsia="仿宋_GB2312"/>
          <w:sz w:val="32"/>
        </w:rPr>
        <w:t>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张军</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13762746401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、参与全县政治、经济和社会生活中的重要问题的政治协商，发挥民主监督作用，积极参政议政；</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、做好工商界代表人士政治安排的推荐工作；</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、宣传、贯彻党和国家的路线、方针和政策，推动企业文化建设，支持企业党建工作和工会建设；</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、代表并维护会员企业和非公有制企业的合法权益，反映会员的意见、建议和要求；</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、引导会员按照科学发展观的要求，转变经济发展方式，加强能源资源节约，重视生态环境保护，建立和谐劳动关系。遵守国家的法律、法规，规范经营，照章纳税，建立现代企业制度，维护市场经济秩序；</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w:t>
            </w:r>
            <w:r>
              <w:rPr>
                <w:rFonts w:hint="eastAsia" w:ascii="仿宋_GB2312" w:hAnsi="仿宋_GB2312" w:eastAsia="仿宋_GB2312" w:cs="仿宋_GB2312"/>
                <w:color w:val="000000"/>
                <w:sz w:val="24"/>
              </w:rPr>
              <w:t>、加强和改进非公有制经济人士思想政治工作。引导会员弘扬中华民族传统美德，致富思源，富而思进，积极承担社会责任，自觉把自身企业的发展与国家的发展结合起来，把个人富裕与全体人民的共同富裕结合起来，把遵循市场法则与发扬社会主义道德结合起来，爱国、敬业、诚信、守法、贡献，热心公益事业，投身光彩事业，当好中国特色社会主义事业建设者；</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w:t>
            </w:r>
            <w:r>
              <w:rPr>
                <w:rFonts w:hint="eastAsia" w:ascii="仿宋_GB2312" w:hAnsi="仿宋_GB2312" w:eastAsia="仿宋_GB2312" w:cs="仿宋_GB2312"/>
                <w:color w:val="000000"/>
                <w:sz w:val="24"/>
              </w:rPr>
              <w:t>、为非公有制企业提供信息、科技、管理、法律、会计、审计、融资、咨询等服务；</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8</w:t>
            </w:r>
            <w:r>
              <w:rPr>
                <w:rFonts w:hint="eastAsia" w:ascii="仿宋_GB2312" w:hAnsi="仿宋_GB2312" w:eastAsia="仿宋_GB2312" w:cs="仿宋_GB2312"/>
                <w:color w:val="000000"/>
                <w:sz w:val="24"/>
              </w:rPr>
              <w:t>、开展工商专业培训，帮助非公有制企业改进经营管理，完善财务管理，提高生产技术和产品质量；</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w:t>
            </w:r>
            <w:r>
              <w:rPr>
                <w:rFonts w:hint="eastAsia" w:ascii="仿宋_GB2312" w:hAnsi="仿宋_GB2312" w:eastAsia="仿宋_GB2312" w:cs="仿宋_GB2312"/>
                <w:color w:val="000000"/>
                <w:sz w:val="24"/>
              </w:rPr>
              <w:t>、组织非公有制企业举办和参加各种对外展销会、交易会，组织出境出国考察访问，帮助企业开拓市场；</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w:t>
            </w:r>
            <w:r>
              <w:rPr>
                <w:rFonts w:hint="eastAsia" w:ascii="仿宋_GB2312" w:hAnsi="仿宋_GB2312" w:eastAsia="仿宋_GB2312" w:cs="仿宋_GB2312"/>
                <w:color w:val="000000"/>
                <w:sz w:val="24"/>
              </w:rPr>
              <w:t>、增进与各地工商社团及工商经济界人士的联系和友谊，促进经济、技术和贸易合作的发展，协助引进资金、技术、人才。提供对内、对外经贸交流服务，提供公共关系沟通协调服务，帮助会员增强自主创新能力，提高核心竞争力和可持续发展能力。增强与港澳台地区工商界人士的联系，开展促进经贸合作和促进祖国统一的工作，增进与国外工商社团的交往，为国家扩大对外开放，企业走向国际市场服务；</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11</w:t>
            </w:r>
            <w:r>
              <w:rPr>
                <w:rFonts w:hint="eastAsia" w:ascii="仿宋_GB2312" w:hAnsi="仿宋_GB2312" w:eastAsia="仿宋_GB2312" w:cs="仿宋_GB2312"/>
                <w:color w:val="000000"/>
                <w:sz w:val="24"/>
              </w:rPr>
              <w:t>、加强自身建设，体现特色，提高履行职责和发挥作用的能力，依法加强会员管理，增强凝聚力；</w:t>
            </w:r>
          </w:p>
          <w:p>
            <w:pPr>
              <w:autoSpaceDN w:val="0"/>
              <w:spacing w:line="320" w:lineRule="exac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12</w:t>
            </w:r>
            <w:r>
              <w:rPr>
                <w:rFonts w:hint="eastAsia" w:ascii="仿宋_GB2312" w:hAnsi="仿宋_GB2312" w:eastAsia="仿宋_GB2312" w:cs="仿宋_GB2312"/>
                <w:color w:val="000000"/>
                <w:sz w:val="24"/>
              </w:rPr>
              <w:t>、承办县委、县政府和有关部门委托事项</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年度主要</w:t>
            </w:r>
          </w:p>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工作内容</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参与全县政治、经济和社会生活中的重要问题的政治协商，发挥民主监督作用，积极参政议政；2、做好工商界代表人士政治安排的推荐工作；3、宣传、贯彻党和国家的路线、方针和政策，推动企业文化建设，支持企业党建工作和工会建设；4、代表并维护会员企业和非公有制企业的合法权益，反映会员的意见、建议和要求；5、引导会员按照科学发展观的要求，转变经济发展方式，加强能源资源节约，重视生态环境保护，建立和谐劳动关系。遵守国家的法律、法规，规范经营，照章纳税，建立现代企业制度，维护市场经济秩序；6、加强和改进非公有制经济人士思想政治工作。引导会员弘扬中华民族传统美德，致富思源，富而思进，积极承担社会责任，自觉把自身企业的发展与国家的发展结合起来，把个人富裕与全体人民的共同富裕结合起来，把遵循市场法则与发扬社会主义道德结合起来，爱国、敬业、诚信、守法、贡献，热心公益事业，投身光彩事业，当好中国特色社会主义事业建设者；7、为非公有制企业提供信息、科技、管理、法律、会计、审计、融资、咨询等服务；8、开展工商专业培训，帮助非公有制企业改进经营管理，完善财务管理，提高生产技术和产品质量；9、组织非公有制企业举办和参加各种对外展销会、交易会，组织出境出国考察访问，帮助企业开拓市场；10、增进与各地工商社团及工商经济界人士的联系和友谊，促进经济、技术和贸易合作的发展，协助引进资金、技术、人才。提供对内、对外经贸交流服务，提供公共关系沟通协调服务，帮助会员增强自主创新能力，提高核心竞争力和可持续发展能力。增强与港澳台地区工商界人士的联系，开展促进经贸合作和促进祖国统一的工作，增进与国外工商社团的交往，为国家扩大对外开放，企业走向国际市场服务；11、加强自身建设，体现特色，提高履行职责和发挥作用的能力，依法加强会员管理，增强凝聚力；12、承办县委、县政府和有关部门委托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pacing w:val="-6"/>
                <w:sz w:val="24"/>
              </w:rPr>
            </w:pPr>
            <w:r>
              <w:rPr>
                <w:rFonts w:hint="eastAsia" w:ascii="仿宋_GB2312" w:hAnsi="仿宋_GB2312" w:eastAsia="仿宋_GB2312" w:cs="仿宋_GB2312"/>
                <w:color w:val="000000" w:themeColor="text1"/>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扎实开展会员企业党支部建设，加强非公企业党建制度建设，完善了《党组织集中学习制度》、《党务公开制度》、《党组织“三会一课”制度》、《民主生活会制度》等制度，充分发挥了党组织对党员的教育、管理、监督作用。2、组织开展创业培训、宾馆酒店行业服务培训等活动， 6次组织非公企业代表参加市政府、市工商联组织的各种短期培训。积极开展了非公经济人士理想“四信”教育活动。3、全面加强异地商会和行业商会建设。异地商会方面，重点开展了深圳华容商会和长沙华容商会建设，多次在深圳和长沙召开筹备会和座谈会，取得当地民政部门的预登记证书。行业商会方面，主要开展了华容县家居建材行业协会、华容县汽车服务行业商会和华容县食品加工行业协会的组建和完善工作，3个行业商会成功召开筹备会。4、定期召开会员常执委会议、日常调研等形式，收集企业所需所盼，主动为企业提供力所能及的服务。会员有重大活动，全程参与，积极帮助拟定活动方案，与相关领导和部门单位衔接。会员有困难，积极向县委、县政府反映，尽全力维护了会员企业的权益。做好了情感维护。对每位会员的生日和会员家庭的红白喜事，积极主动联系，及时送上祝福和慰问，凝聚了全县非公经济人士的人心。5、组织会员企业围绕“万企联村”、“企业联社区”、精准扶贫等工作，服务美丽乡村建设。是年，全县非公企业支持美丽乡村的各项资金超近100万元。组织会员企业围绕光彩事业、“关爱贫困孤儿N+1活动”、关爱留守儿童等工作，开展慈善助学活动等活动，为贫困孤儿和贫困学生捐助50多万元，各会员企业结对帮扶贫困学生50多人；积极引导会员企业优先扶持计生家庭和职工，做到了非公企业在工作岗位安排和困难帮扶时优先扶持计生家庭。精心组织寓外华容乡友企业家参加各类联谊会。向乡友们推介我县优质招商引资项目资源，向38位寓外乡友企业家颁发县政府经济顾问证书。6、积极引导会员企业中的人大代表、政协委员参政议政，年内共有8名非经济人士向人大、政协提交了意见和建议。组织开展了企业经营状况、发展环境等方面调研，及时向县委、县政府提交了调研报告。积极创设参政议政环境和平台， 10月份，组织工商企业界的人大代表、政协委员视察公安交管工作，代表和委员积极互动，得到了社会各界的广泛好评。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198.2</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177.2</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198.2</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177.2</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184.7</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184.7</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91.6</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93.1</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13.5</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184.7</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184.7</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91.6</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93.1</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13.5</w:t>
            </w: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2.6</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2.6</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9.7</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9.7</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9.7</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9.7</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ign w:val="center"/>
          </w:tcPr>
          <w:p>
            <w:pPr>
              <w:spacing w:line="320" w:lineRule="exact"/>
              <w:rPr>
                <w:rFonts w:ascii="仿宋_GB2312" w:hAnsi="仿宋_GB2312" w:eastAsia="仿宋_GB2312" w:cs="仿宋_GB2312"/>
                <w:color w:val="000000" w:themeColor="text1"/>
                <w:sz w:val="24"/>
              </w:rPr>
            </w:pPr>
          </w:p>
        </w:tc>
        <w:tc>
          <w:tcPr>
            <w:tcW w:w="3774" w:type="dxa"/>
            <w:gridSpan w:val="7"/>
            <w:noWrap/>
            <w:vAlign w:val="center"/>
          </w:tcPr>
          <w:p>
            <w:pPr>
              <w:numPr>
                <w:ilvl w:val="0"/>
                <w:numId w:val="1"/>
              </w:numPr>
              <w:autoSpaceDN w:val="0"/>
              <w:spacing w:line="320" w:lineRule="exact"/>
              <w:jc w:val="left"/>
              <w:textAlignment w:val="center"/>
              <w:rPr>
                <w:rFonts w:hint="eastAsia"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推动县域非公经济健康发展，提升我县非公经济发展质量。逐步提高非公经济在县域经济中的比重彰显党建促发展效益。2、提升全县非公经济人士社会形象，提升社会对非公经济党组的认可度，在社会形成良好的非公经济发展环境。3、在县域内形成良好的非公经济发展环境，对县域招商引资、县域经济质量产生长期深远影响4、政府信息及时有效公开、社会公众满意率达90%以上。</w:t>
            </w:r>
          </w:p>
          <w:p>
            <w:pPr>
              <w:numPr>
                <w:ilvl w:val="0"/>
                <w:numId w:val="0"/>
              </w:numPr>
              <w:autoSpaceDN w:val="0"/>
              <w:spacing w:line="320" w:lineRule="exact"/>
              <w:jc w:val="left"/>
              <w:textAlignment w:val="center"/>
              <w:rPr>
                <w:rFonts w:hint="eastAsia" w:ascii="仿宋_GB2312" w:hAnsi="仿宋_GB2312" w:eastAsia="仿宋_GB2312" w:cs="仿宋_GB2312"/>
                <w:color w:val="000000" w:themeColor="text1"/>
                <w:sz w:val="24"/>
              </w:rPr>
            </w:pP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1、按照年初工作完成全体会员企业及所属党支部、所属商协会的教育、培训、政治安排、参政议政、党支部建设等工作。2、顺利通过省、市实事考核完成。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整体支出</w:t>
            </w:r>
          </w:p>
          <w:p>
            <w:pPr>
              <w:autoSpaceDN w:val="0"/>
              <w:spacing w:line="320" w:lineRule="exact"/>
              <w:jc w:val="center"/>
              <w:textAlignment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绩效定量目标及实施计划完成情况</w:t>
            </w:r>
          </w:p>
        </w:tc>
        <w:tc>
          <w:tcPr>
            <w:tcW w:w="2966"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评价内容</w:t>
            </w:r>
          </w:p>
        </w:tc>
        <w:tc>
          <w:tcPr>
            <w:tcW w:w="2709" w:type="dxa"/>
            <w:gridSpan w:val="4"/>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绩效目标</w:t>
            </w:r>
          </w:p>
        </w:tc>
        <w:tc>
          <w:tcPr>
            <w:tcW w:w="2684"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4"/>
              </w:rPr>
            </w:pPr>
            <w:r>
              <w:rPr>
                <w:rFonts w:hint="eastAsia" w:asciiTheme="majorEastAsia" w:hAnsiTheme="majorEastAsia" w:eastAsiaTheme="majorEastAsia" w:cstheme="majorEastAsia"/>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restart"/>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产出目标</w:t>
            </w:r>
          </w:p>
          <w:p>
            <w:pPr>
              <w:autoSpaceDN w:val="0"/>
              <w:spacing w:line="320" w:lineRule="exact"/>
              <w:jc w:val="center"/>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质量指标</w:t>
            </w:r>
          </w:p>
        </w:tc>
        <w:tc>
          <w:tcPr>
            <w:tcW w:w="2709" w:type="dxa"/>
            <w:gridSpan w:val="4"/>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2"/>
                <w:sz w:val="20"/>
                <w:szCs w:val="20"/>
                <w:u w:val="none"/>
                <w:lang w:val="en-US" w:eastAsia="zh-CN" w:bidi="ar-SA"/>
              </w:rPr>
            </w:pPr>
            <w:r>
              <w:rPr>
                <w:rFonts w:hint="eastAsia" w:asciiTheme="majorEastAsia" w:hAnsiTheme="majorEastAsia" w:eastAsiaTheme="majorEastAsia" w:cstheme="majorEastAsia"/>
                <w:i w:val="0"/>
                <w:color w:val="auto"/>
                <w:kern w:val="2"/>
                <w:sz w:val="20"/>
                <w:szCs w:val="20"/>
                <w:u w:val="none"/>
                <w:lang w:val="en-US" w:eastAsia="zh-CN" w:bidi="ar-SA"/>
              </w:rPr>
              <w:t>保障应补助人员都得到补助</w:t>
            </w:r>
          </w:p>
        </w:tc>
        <w:tc>
          <w:tcPr>
            <w:tcW w:w="2684"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ajorEastAsia" w:hAnsiTheme="majorEastAsia" w:eastAsiaTheme="majorEastAsia" w:cstheme="majorEastAsia"/>
                <w:color w:val="auto"/>
                <w:sz w:val="20"/>
                <w:szCs w:val="20"/>
              </w:rPr>
            </w:pPr>
          </w:p>
        </w:tc>
        <w:tc>
          <w:tcPr>
            <w:tcW w:w="1417" w:type="dxa"/>
            <w:gridSpan w:val="2"/>
            <w:vMerge w:val="continue"/>
            <w:noWrap/>
            <w:vAlign w:val="center"/>
          </w:tcPr>
          <w:p>
            <w:pPr>
              <w:spacing w:line="320" w:lineRule="exact"/>
              <w:rPr>
                <w:rFonts w:hint="eastAsia" w:asciiTheme="majorEastAsia" w:hAnsiTheme="majorEastAsia" w:eastAsiaTheme="majorEastAsia" w:cstheme="majorEastAsia"/>
                <w:color w:val="auto"/>
                <w:sz w:val="20"/>
                <w:szCs w:val="20"/>
              </w:rPr>
            </w:pPr>
          </w:p>
        </w:tc>
        <w:tc>
          <w:tcPr>
            <w:tcW w:w="2709" w:type="dxa"/>
            <w:gridSpan w:val="4"/>
            <w:noWrap/>
            <w:vAlign w:val="center"/>
          </w:tcPr>
          <w:p>
            <w:pPr>
              <w:autoSpaceDN w:val="0"/>
              <w:spacing w:line="32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“五化”党支部高效运转</w:t>
            </w:r>
          </w:p>
          <w:p>
            <w:pPr>
              <w:autoSpaceDN w:val="0"/>
              <w:spacing w:line="320" w:lineRule="exact"/>
              <w:jc w:val="left"/>
              <w:textAlignment w:val="center"/>
              <w:rPr>
                <w:rFonts w:hint="eastAsia" w:asciiTheme="majorEastAsia" w:hAnsiTheme="majorEastAsia" w:eastAsiaTheme="majorEastAsia" w:cstheme="majorEastAsia"/>
                <w:color w:val="auto"/>
                <w:sz w:val="20"/>
                <w:szCs w:val="20"/>
              </w:rPr>
            </w:pPr>
          </w:p>
        </w:tc>
        <w:tc>
          <w:tcPr>
            <w:tcW w:w="2684"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ajorEastAsia" w:hAnsiTheme="majorEastAsia" w:eastAsiaTheme="majorEastAsia" w:cstheme="majorEastAsia"/>
                <w:color w:val="auto"/>
                <w:sz w:val="20"/>
                <w:szCs w:val="20"/>
              </w:rPr>
            </w:pPr>
          </w:p>
        </w:tc>
        <w:tc>
          <w:tcPr>
            <w:tcW w:w="1417" w:type="dxa"/>
            <w:gridSpan w:val="2"/>
            <w:vMerge w:val="continue"/>
            <w:noWrap/>
            <w:vAlign w:val="center"/>
          </w:tcPr>
          <w:p>
            <w:pPr>
              <w:spacing w:line="320" w:lineRule="exact"/>
              <w:rPr>
                <w:rFonts w:hint="eastAsia" w:asciiTheme="majorEastAsia" w:hAnsiTheme="majorEastAsia" w:eastAsiaTheme="majorEastAsia" w:cstheme="majorEastAsia"/>
                <w:color w:val="auto"/>
                <w:sz w:val="20"/>
                <w:szCs w:val="20"/>
              </w:rPr>
            </w:pPr>
          </w:p>
        </w:tc>
        <w:tc>
          <w:tcPr>
            <w:tcW w:w="2709" w:type="dxa"/>
            <w:gridSpan w:val="4"/>
            <w:noWrap/>
            <w:vAlign w:val="center"/>
          </w:tcPr>
          <w:p>
            <w:pPr>
              <w:autoSpaceDN w:val="0"/>
              <w:spacing w:line="32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参政议政平台逐步完善。能力逐步提高</w:t>
            </w:r>
          </w:p>
        </w:tc>
        <w:tc>
          <w:tcPr>
            <w:tcW w:w="2684"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ajorEastAsia" w:hAnsiTheme="majorEastAsia" w:eastAsiaTheme="majorEastAsia" w:cstheme="majorEastAsia"/>
                <w:color w:val="auto"/>
                <w:sz w:val="20"/>
                <w:szCs w:val="20"/>
              </w:rPr>
            </w:pPr>
          </w:p>
        </w:tc>
        <w:tc>
          <w:tcPr>
            <w:tcW w:w="1417" w:type="dxa"/>
            <w:gridSpan w:val="2"/>
            <w:vMerge w:val="restart"/>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数量指标</w:t>
            </w:r>
          </w:p>
        </w:tc>
        <w:tc>
          <w:tcPr>
            <w:tcW w:w="2709" w:type="dxa"/>
            <w:gridSpan w:val="4"/>
            <w:noWrap/>
            <w:vAlign w:val="center"/>
          </w:tcPr>
          <w:p>
            <w:pPr>
              <w:autoSpaceDN w:val="0"/>
              <w:spacing w:line="32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i w:val="0"/>
                <w:color w:val="auto"/>
                <w:kern w:val="0"/>
                <w:sz w:val="20"/>
                <w:szCs w:val="20"/>
                <w:u w:val="none"/>
                <w:lang w:val="en-US" w:eastAsia="zh-CN" w:bidi="ar"/>
              </w:rPr>
              <w:t xml:space="preserve">完成40个原工商业者困难群众的补助 </w:t>
            </w:r>
          </w:p>
        </w:tc>
        <w:tc>
          <w:tcPr>
            <w:tcW w:w="2684"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ajorEastAsia" w:hAnsiTheme="majorEastAsia" w:eastAsiaTheme="majorEastAsia" w:cstheme="majorEastAsia"/>
                <w:color w:val="auto"/>
                <w:sz w:val="20"/>
                <w:szCs w:val="20"/>
              </w:rPr>
            </w:pPr>
          </w:p>
        </w:tc>
        <w:tc>
          <w:tcPr>
            <w:tcW w:w="1417" w:type="dxa"/>
            <w:gridSpan w:val="2"/>
            <w:vMerge w:val="continue"/>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0"/>
                <w:szCs w:val="20"/>
              </w:rPr>
            </w:pPr>
          </w:p>
        </w:tc>
        <w:tc>
          <w:tcPr>
            <w:tcW w:w="2709" w:type="dxa"/>
            <w:gridSpan w:val="4"/>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2"/>
                <w:sz w:val="20"/>
                <w:szCs w:val="20"/>
                <w:u w:val="none"/>
                <w:lang w:val="en-US" w:eastAsia="zh-CN" w:bidi="ar-SA"/>
              </w:rPr>
            </w:pPr>
            <w:r>
              <w:rPr>
                <w:rFonts w:hint="eastAsia" w:asciiTheme="majorEastAsia" w:hAnsiTheme="majorEastAsia" w:eastAsiaTheme="majorEastAsia" w:cstheme="majorEastAsia"/>
                <w:i w:val="0"/>
                <w:color w:val="auto"/>
                <w:kern w:val="0"/>
                <w:sz w:val="20"/>
                <w:szCs w:val="20"/>
                <w:u w:val="none"/>
                <w:lang w:val="en-US" w:eastAsia="zh-CN" w:bidi="ar"/>
              </w:rPr>
              <w:t xml:space="preserve">完成县“两新”党工委的指标任务 </w:t>
            </w:r>
          </w:p>
        </w:tc>
        <w:tc>
          <w:tcPr>
            <w:tcW w:w="2684"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ajorEastAsia" w:hAnsiTheme="majorEastAsia" w:eastAsiaTheme="majorEastAsia" w:cstheme="majorEastAsia"/>
                <w:color w:val="auto"/>
                <w:sz w:val="20"/>
                <w:szCs w:val="20"/>
              </w:rPr>
            </w:pPr>
          </w:p>
        </w:tc>
        <w:tc>
          <w:tcPr>
            <w:tcW w:w="1417" w:type="dxa"/>
            <w:gridSpan w:val="2"/>
            <w:vMerge w:val="continue"/>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0"/>
                <w:szCs w:val="20"/>
              </w:rPr>
            </w:pPr>
          </w:p>
        </w:tc>
        <w:tc>
          <w:tcPr>
            <w:tcW w:w="2709" w:type="dxa"/>
            <w:gridSpan w:val="4"/>
            <w:noWrap/>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auto"/>
                <w:kern w:val="2"/>
                <w:sz w:val="20"/>
                <w:szCs w:val="20"/>
                <w:u w:val="none"/>
                <w:lang w:val="en-US" w:eastAsia="zh-CN" w:bidi="ar-SA"/>
              </w:rPr>
            </w:pPr>
            <w:r>
              <w:rPr>
                <w:rFonts w:hint="eastAsia" w:asciiTheme="majorEastAsia" w:hAnsiTheme="majorEastAsia" w:eastAsiaTheme="majorEastAsia" w:cstheme="majorEastAsia"/>
                <w:i w:val="0"/>
                <w:color w:val="auto"/>
                <w:kern w:val="0"/>
                <w:sz w:val="20"/>
                <w:szCs w:val="20"/>
                <w:u w:val="none"/>
                <w:lang w:val="en-US" w:eastAsia="zh-CN" w:bidi="ar"/>
              </w:rPr>
              <w:t xml:space="preserve">完成省、市和县安排的工作任务 </w:t>
            </w:r>
          </w:p>
        </w:tc>
        <w:tc>
          <w:tcPr>
            <w:tcW w:w="2684"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ajorEastAsia" w:hAnsiTheme="majorEastAsia" w:eastAsiaTheme="majorEastAsia" w:cstheme="majorEastAsia"/>
                <w:color w:val="auto"/>
                <w:sz w:val="20"/>
                <w:szCs w:val="20"/>
              </w:rPr>
            </w:pPr>
          </w:p>
        </w:tc>
        <w:tc>
          <w:tcPr>
            <w:tcW w:w="1417" w:type="dxa"/>
            <w:gridSpan w:val="2"/>
            <w:vMerge w:val="restart"/>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时效指标</w:t>
            </w:r>
          </w:p>
        </w:tc>
        <w:tc>
          <w:tcPr>
            <w:tcW w:w="2709" w:type="dxa"/>
            <w:gridSpan w:val="4"/>
            <w:noWrap/>
            <w:vAlign w:val="center"/>
          </w:tcPr>
          <w:p>
            <w:pPr>
              <w:autoSpaceDN w:val="0"/>
              <w:spacing w:line="32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年度内完成目标任务</w:t>
            </w:r>
          </w:p>
        </w:tc>
        <w:tc>
          <w:tcPr>
            <w:tcW w:w="2684"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ajorEastAsia" w:hAnsiTheme="majorEastAsia" w:eastAsiaTheme="majorEastAsia" w:cstheme="majorEastAsia"/>
                <w:color w:val="auto"/>
                <w:sz w:val="20"/>
                <w:szCs w:val="20"/>
              </w:rPr>
            </w:pPr>
          </w:p>
        </w:tc>
        <w:tc>
          <w:tcPr>
            <w:tcW w:w="1417" w:type="dxa"/>
            <w:gridSpan w:val="2"/>
            <w:vMerge w:val="continue"/>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0"/>
                <w:szCs w:val="20"/>
              </w:rPr>
            </w:pPr>
          </w:p>
        </w:tc>
        <w:tc>
          <w:tcPr>
            <w:tcW w:w="2709" w:type="dxa"/>
            <w:gridSpan w:val="4"/>
            <w:noWrap/>
            <w:vAlign w:val="center"/>
          </w:tcPr>
          <w:p>
            <w:pPr>
              <w:autoSpaceDN w:val="0"/>
              <w:spacing w:line="32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年度内完成目标任务</w:t>
            </w:r>
          </w:p>
        </w:tc>
        <w:tc>
          <w:tcPr>
            <w:tcW w:w="2684"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ajorEastAsia" w:hAnsiTheme="majorEastAsia" w:eastAsiaTheme="majorEastAsia" w:cstheme="majorEastAsia"/>
                <w:color w:val="auto"/>
                <w:sz w:val="20"/>
                <w:szCs w:val="20"/>
              </w:rPr>
            </w:pPr>
          </w:p>
        </w:tc>
        <w:tc>
          <w:tcPr>
            <w:tcW w:w="1417" w:type="dxa"/>
            <w:gridSpan w:val="2"/>
            <w:vMerge w:val="continue"/>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0"/>
                <w:szCs w:val="20"/>
              </w:rPr>
            </w:pPr>
          </w:p>
        </w:tc>
        <w:tc>
          <w:tcPr>
            <w:tcW w:w="2709" w:type="dxa"/>
            <w:gridSpan w:val="4"/>
            <w:noWrap/>
            <w:vAlign w:val="center"/>
          </w:tcPr>
          <w:p>
            <w:pPr>
              <w:autoSpaceDN w:val="0"/>
              <w:spacing w:line="32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年度内完成目标任务</w:t>
            </w:r>
          </w:p>
        </w:tc>
        <w:tc>
          <w:tcPr>
            <w:tcW w:w="2684"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ajorEastAsia" w:hAnsiTheme="majorEastAsia" w:eastAsiaTheme="majorEastAsia" w:cstheme="majorEastAsia"/>
                <w:color w:val="auto"/>
                <w:sz w:val="20"/>
                <w:szCs w:val="20"/>
              </w:rPr>
            </w:pPr>
          </w:p>
        </w:tc>
        <w:tc>
          <w:tcPr>
            <w:tcW w:w="1417" w:type="dxa"/>
            <w:gridSpan w:val="2"/>
            <w:vMerge w:val="restart"/>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成本指标</w:t>
            </w:r>
          </w:p>
        </w:tc>
        <w:tc>
          <w:tcPr>
            <w:tcW w:w="2709" w:type="dxa"/>
            <w:gridSpan w:val="4"/>
            <w:noWrap/>
            <w:vAlign w:val="center"/>
          </w:tcPr>
          <w:p>
            <w:pPr>
              <w:autoSpaceDN w:val="0"/>
              <w:spacing w:line="32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预算内控制成本</w:t>
            </w:r>
          </w:p>
        </w:tc>
        <w:tc>
          <w:tcPr>
            <w:tcW w:w="2684"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ajorEastAsia" w:hAnsiTheme="majorEastAsia" w:eastAsiaTheme="majorEastAsia" w:cstheme="majorEastAsia"/>
                <w:color w:val="auto"/>
                <w:sz w:val="20"/>
                <w:szCs w:val="20"/>
              </w:rPr>
            </w:pPr>
          </w:p>
        </w:tc>
        <w:tc>
          <w:tcPr>
            <w:tcW w:w="1417" w:type="dxa"/>
            <w:gridSpan w:val="2"/>
            <w:vMerge w:val="continue"/>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0"/>
                <w:szCs w:val="20"/>
              </w:rPr>
            </w:pPr>
          </w:p>
        </w:tc>
        <w:tc>
          <w:tcPr>
            <w:tcW w:w="2709" w:type="dxa"/>
            <w:gridSpan w:val="4"/>
            <w:noWrap/>
            <w:vAlign w:val="center"/>
          </w:tcPr>
          <w:p>
            <w:pPr>
              <w:autoSpaceDN w:val="0"/>
              <w:spacing w:line="32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预算内控制成本</w:t>
            </w:r>
          </w:p>
        </w:tc>
        <w:tc>
          <w:tcPr>
            <w:tcW w:w="2684"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ajorEastAsia" w:hAnsiTheme="majorEastAsia" w:eastAsiaTheme="majorEastAsia" w:cstheme="majorEastAsia"/>
                <w:color w:val="auto"/>
                <w:sz w:val="20"/>
                <w:szCs w:val="20"/>
              </w:rPr>
            </w:pPr>
          </w:p>
        </w:tc>
        <w:tc>
          <w:tcPr>
            <w:tcW w:w="1417" w:type="dxa"/>
            <w:gridSpan w:val="2"/>
            <w:vMerge w:val="continue"/>
            <w:noWrap/>
            <w:vAlign w:val="center"/>
          </w:tcPr>
          <w:p>
            <w:pPr>
              <w:autoSpaceDN w:val="0"/>
              <w:spacing w:line="320" w:lineRule="exact"/>
              <w:jc w:val="center"/>
              <w:textAlignment w:val="center"/>
              <w:rPr>
                <w:rFonts w:hint="eastAsia" w:asciiTheme="majorEastAsia" w:hAnsiTheme="majorEastAsia" w:eastAsiaTheme="majorEastAsia" w:cstheme="majorEastAsia"/>
                <w:color w:val="auto"/>
                <w:sz w:val="20"/>
                <w:szCs w:val="20"/>
              </w:rPr>
            </w:pPr>
          </w:p>
        </w:tc>
        <w:tc>
          <w:tcPr>
            <w:tcW w:w="2709" w:type="dxa"/>
            <w:gridSpan w:val="4"/>
            <w:noWrap/>
            <w:vAlign w:val="center"/>
          </w:tcPr>
          <w:p>
            <w:pPr>
              <w:autoSpaceDN w:val="0"/>
              <w:spacing w:line="320" w:lineRule="exact"/>
              <w:jc w:val="left"/>
              <w:textAlignment w:val="center"/>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预算内控制成本</w:t>
            </w:r>
          </w:p>
        </w:tc>
        <w:tc>
          <w:tcPr>
            <w:tcW w:w="2684" w:type="dxa"/>
            <w:gridSpan w:val="6"/>
            <w:noWrap/>
            <w:vAlign w:val="center"/>
          </w:tcPr>
          <w:p>
            <w:pPr>
              <w:autoSpaceDN w:val="0"/>
              <w:spacing w:line="320" w:lineRule="exact"/>
              <w:jc w:val="center"/>
              <w:textAlignment w:val="center"/>
              <w:rPr>
                <w:rFonts w:hint="eastAsia" w:asciiTheme="majorEastAsia" w:hAnsiTheme="majorEastAsia" w:eastAsiaTheme="majorEastAsia" w:cstheme="maj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restart"/>
            <w:noWrap/>
            <w:vAlign w:val="center"/>
          </w:tcPr>
          <w:p>
            <w:pPr>
              <w:autoSpaceDN w:val="0"/>
              <w:spacing w:line="320" w:lineRule="exact"/>
              <w:jc w:val="center"/>
              <w:textAlignment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效益目标</w:t>
            </w:r>
          </w:p>
          <w:p>
            <w:pPr>
              <w:autoSpaceDN w:val="0"/>
              <w:spacing w:line="320" w:lineRule="exact"/>
              <w:jc w:val="center"/>
              <w:textAlignment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（预期实现的效益）</w:t>
            </w:r>
          </w:p>
        </w:tc>
        <w:tc>
          <w:tcPr>
            <w:tcW w:w="1417" w:type="dxa"/>
            <w:gridSpan w:val="2"/>
            <w:noWrap/>
            <w:vAlign w:val="center"/>
          </w:tcPr>
          <w:p>
            <w:pPr>
              <w:autoSpaceDN w:val="0"/>
              <w:spacing w:line="320" w:lineRule="exact"/>
              <w:jc w:val="center"/>
              <w:textAlignment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社会效益</w:t>
            </w:r>
          </w:p>
        </w:tc>
        <w:tc>
          <w:tcPr>
            <w:tcW w:w="2709" w:type="dxa"/>
            <w:gridSpan w:val="4"/>
            <w:noWrap/>
            <w:vAlign w:val="center"/>
          </w:tcPr>
          <w:p>
            <w:pPr>
              <w:autoSpaceDN w:val="0"/>
              <w:spacing w:line="320" w:lineRule="exact"/>
              <w:jc w:val="left"/>
              <w:textAlignment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rPr>
              <w:t>原工商业者困难对象感受政府关怀</w:t>
            </w: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rPr>
              <w:t>强化非公经济党组织凝聚人心促发展作用</w:t>
            </w:r>
            <w:r>
              <w:rPr>
                <w:rFonts w:hint="eastAsia" w:asciiTheme="minorEastAsia" w:hAnsiTheme="minorEastAsia" w:eastAsiaTheme="minorEastAsia" w:cstheme="minorEastAsia"/>
                <w:color w:val="auto"/>
                <w:sz w:val="20"/>
                <w:szCs w:val="20"/>
                <w:lang w:eastAsia="zh-CN"/>
              </w:rPr>
              <w:t>，凝聚非公经济人士人心，同心促发展。</w:t>
            </w:r>
          </w:p>
        </w:tc>
        <w:tc>
          <w:tcPr>
            <w:tcW w:w="2684" w:type="dxa"/>
            <w:gridSpan w:val="6"/>
            <w:noWrap/>
            <w:vAlign w:val="center"/>
          </w:tcPr>
          <w:p>
            <w:pPr>
              <w:autoSpaceDN w:val="0"/>
              <w:spacing w:line="320" w:lineRule="exact"/>
              <w:jc w:val="center"/>
              <w:textAlignment w:val="center"/>
              <w:rPr>
                <w:rFonts w:hint="eastAsia" w:asciiTheme="minorEastAsia" w:hAnsiTheme="minorEastAsia" w:eastAsiaTheme="minorEastAsia" w:cstheme="min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inorEastAsia" w:hAnsiTheme="minorEastAsia" w:eastAsiaTheme="minorEastAsia" w:cstheme="minorEastAsia"/>
                <w:color w:val="auto"/>
                <w:sz w:val="20"/>
                <w:szCs w:val="20"/>
              </w:rPr>
            </w:pPr>
          </w:p>
        </w:tc>
        <w:tc>
          <w:tcPr>
            <w:tcW w:w="1417" w:type="dxa"/>
            <w:gridSpan w:val="2"/>
            <w:noWrap/>
            <w:vAlign w:val="center"/>
          </w:tcPr>
          <w:p>
            <w:pPr>
              <w:autoSpaceDN w:val="0"/>
              <w:spacing w:line="320" w:lineRule="exact"/>
              <w:jc w:val="center"/>
              <w:textAlignment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经济效益</w:t>
            </w:r>
          </w:p>
        </w:tc>
        <w:tc>
          <w:tcPr>
            <w:tcW w:w="2709" w:type="dxa"/>
            <w:gridSpan w:val="4"/>
            <w:noWrap/>
            <w:vAlign w:val="center"/>
          </w:tcPr>
          <w:p>
            <w:pPr>
              <w:autoSpaceDN w:val="0"/>
              <w:spacing w:line="320" w:lineRule="exact"/>
              <w:jc w:val="left"/>
              <w:textAlignment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指标1：</w:t>
            </w:r>
          </w:p>
          <w:p>
            <w:pPr>
              <w:autoSpaceDN w:val="0"/>
              <w:spacing w:line="320" w:lineRule="exact"/>
              <w:jc w:val="left"/>
              <w:textAlignment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指标2：</w:t>
            </w:r>
          </w:p>
          <w:p>
            <w:pPr>
              <w:autoSpaceDN w:val="0"/>
              <w:spacing w:line="320" w:lineRule="exact"/>
              <w:jc w:val="left"/>
              <w:textAlignment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w:t>
            </w:r>
          </w:p>
        </w:tc>
        <w:tc>
          <w:tcPr>
            <w:tcW w:w="2684" w:type="dxa"/>
            <w:gridSpan w:val="6"/>
            <w:noWrap/>
            <w:vAlign w:val="center"/>
          </w:tcPr>
          <w:p>
            <w:pPr>
              <w:autoSpaceDN w:val="0"/>
              <w:spacing w:line="320" w:lineRule="exact"/>
              <w:jc w:val="center"/>
              <w:textAlignment w:val="center"/>
              <w:rPr>
                <w:rFonts w:hint="eastAsia" w:asciiTheme="minorEastAsia" w:hAnsiTheme="minorEastAsia" w:eastAsiaTheme="minorEastAsia" w:cstheme="min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inorEastAsia" w:hAnsiTheme="minorEastAsia" w:eastAsiaTheme="minorEastAsia" w:cstheme="minorEastAsia"/>
                <w:color w:val="auto"/>
                <w:sz w:val="20"/>
                <w:szCs w:val="20"/>
              </w:rPr>
            </w:pPr>
          </w:p>
        </w:tc>
        <w:tc>
          <w:tcPr>
            <w:tcW w:w="1417" w:type="dxa"/>
            <w:gridSpan w:val="2"/>
            <w:noWrap/>
            <w:vAlign w:val="center"/>
          </w:tcPr>
          <w:p>
            <w:pPr>
              <w:autoSpaceDN w:val="0"/>
              <w:spacing w:line="320" w:lineRule="exact"/>
              <w:jc w:val="center"/>
              <w:textAlignment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生态效益</w:t>
            </w:r>
          </w:p>
        </w:tc>
        <w:tc>
          <w:tcPr>
            <w:tcW w:w="2709" w:type="dxa"/>
            <w:gridSpan w:val="4"/>
            <w:noWrap/>
            <w:vAlign w:val="center"/>
          </w:tcPr>
          <w:p>
            <w:pPr>
              <w:autoSpaceDN w:val="0"/>
              <w:spacing w:line="320" w:lineRule="exact"/>
              <w:jc w:val="left"/>
              <w:textAlignment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rPr>
              <w:t>有效降低业务成本</w:t>
            </w:r>
            <w:r>
              <w:rPr>
                <w:rFonts w:hint="eastAsia" w:asciiTheme="minorEastAsia" w:hAnsiTheme="minorEastAsia" w:eastAsiaTheme="minorEastAsia" w:cstheme="minorEastAsia"/>
                <w:color w:val="auto"/>
                <w:sz w:val="20"/>
                <w:szCs w:val="20"/>
                <w:lang w:eastAsia="zh-CN"/>
              </w:rPr>
              <w:t>，参政议政平台逐步完善。能力逐步提高</w:t>
            </w:r>
          </w:p>
        </w:tc>
        <w:tc>
          <w:tcPr>
            <w:tcW w:w="2684" w:type="dxa"/>
            <w:gridSpan w:val="6"/>
            <w:noWrap/>
            <w:vAlign w:val="center"/>
          </w:tcPr>
          <w:p>
            <w:pPr>
              <w:autoSpaceDN w:val="0"/>
              <w:spacing w:line="320" w:lineRule="exact"/>
              <w:jc w:val="center"/>
              <w:textAlignment w:val="center"/>
              <w:rPr>
                <w:rFonts w:hint="eastAsia" w:asciiTheme="minorEastAsia" w:hAnsiTheme="minorEastAsia" w:eastAsiaTheme="minorEastAsia" w:cstheme="min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color w:val="FF0000"/>
                <w:sz w:val="24"/>
              </w:rPr>
            </w:pPr>
          </w:p>
        </w:tc>
        <w:tc>
          <w:tcPr>
            <w:tcW w:w="1549" w:type="dxa"/>
            <w:gridSpan w:val="4"/>
            <w:vMerge w:val="continue"/>
            <w:noWrap/>
            <w:vAlign w:val="center"/>
          </w:tcPr>
          <w:p>
            <w:pPr>
              <w:autoSpaceDN w:val="0"/>
              <w:spacing w:line="320" w:lineRule="exact"/>
              <w:rPr>
                <w:rFonts w:hint="eastAsia" w:asciiTheme="minorEastAsia" w:hAnsiTheme="minorEastAsia" w:eastAsiaTheme="minorEastAsia" w:cstheme="minorEastAsia"/>
                <w:color w:val="auto"/>
                <w:sz w:val="20"/>
                <w:szCs w:val="20"/>
              </w:rPr>
            </w:pPr>
          </w:p>
        </w:tc>
        <w:tc>
          <w:tcPr>
            <w:tcW w:w="1417" w:type="dxa"/>
            <w:gridSpan w:val="2"/>
            <w:noWrap/>
            <w:vAlign w:val="center"/>
          </w:tcPr>
          <w:p>
            <w:pPr>
              <w:autoSpaceDN w:val="0"/>
              <w:spacing w:line="320" w:lineRule="exact"/>
              <w:jc w:val="center"/>
              <w:textAlignment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社会公众或服务对象满意度</w:t>
            </w:r>
          </w:p>
        </w:tc>
        <w:tc>
          <w:tcPr>
            <w:tcW w:w="2709" w:type="dxa"/>
            <w:gridSpan w:val="4"/>
            <w:noWrap/>
            <w:vAlign w:val="center"/>
          </w:tcPr>
          <w:p>
            <w:pPr>
              <w:autoSpaceDN w:val="0"/>
              <w:spacing w:line="320" w:lineRule="exact"/>
              <w:jc w:val="left"/>
              <w:textAlignment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社会公众满意度95%以上</w:t>
            </w:r>
          </w:p>
        </w:tc>
        <w:tc>
          <w:tcPr>
            <w:tcW w:w="2684" w:type="dxa"/>
            <w:gridSpan w:val="6"/>
            <w:noWrap/>
            <w:vAlign w:val="center"/>
          </w:tcPr>
          <w:p>
            <w:pPr>
              <w:autoSpaceDN w:val="0"/>
              <w:spacing w:line="320" w:lineRule="exact"/>
              <w:jc w:val="center"/>
              <w:textAlignment w:val="center"/>
              <w:rPr>
                <w:rFonts w:hint="eastAsia" w:asciiTheme="minorEastAsia" w:hAnsiTheme="minorEastAsia" w:eastAsiaTheme="minorEastAsia" w:cstheme="minorEastAsia"/>
                <w:b/>
                <w:color w:val="auto"/>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绩效自评综合得分</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黑体" w:hAnsi="黑体" w:eastAsia="黑体" w:cs="黑体"/>
                <w:color w:val="000000" w:themeColor="text1"/>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姓</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职务</w:t>
            </w:r>
            <w:r>
              <w:rPr>
                <w:rFonts w:ascii="仿宋_GB2312" w:hAnsi="仿宋_GB2312" w:eastAsia="仿宋_GB2312" w:cs="仿宋_GB2312"/>
                <w:color w:val="000000" w:themeColor="text1"/>
                <w:sz w:val="24"/>
              </w:rPr>
              <w:t>/</w:t>
            </w:r>
            <w:r>
              <w:rPr>
                <w:rFonts w:hint="eastAsia" w:ascii="仿宋_GB2312" w:hAnsi="仿宋_GB2312" w:eastAsia="仿宋_GB2312" w:cs="仿宋_GB2312"/>
                <w:color w:val="000000" w:themeColor="text1"/>
                <w:sz w:val="24"/>
              </w:rPr>
              <w:t>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单</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签</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themeColor="text1"/>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评价组组长（签字）：</w:t>
            </w: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年</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月</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部门（单位）意见：</w:t>
            </w: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p>
          <w:p>
            <w:pPr>
              <w:autoSpaceDN w:val="0"/>
              <w:spacing w:line="320" w:lineRule="exact"/>
              <w:jc w:val="left"/>
              <w:textAlignment w:val="center"/>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部门（单位）负责人（签章）：</w:t>
            </w:r>
          </w:p>
          <w:p>
            <w:pPr>
              <w:autoSpaceDN w:val="0"/>
              <w:spacing w:line="320" w:lineRule="exact"/>
              <w:jc w:val="left"/>
              <w:textAlignment w:val="center"/>
              <w:rPr>
                <w:rFonts w:ascii="仿宋_GB2312" w:hAnsi="仿宋_GB2312" w:eastAsia="仿宋_GB2312" w:cs="仿宋_GB2312"/>
                <w:color w:val="000000" w:themeColor="text1"/>
                <w:sz w:val="24"/>
              </w:rPr>
            </w:pP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年</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月</w:t>
            </w:r>
            <w:r>
              <w:rPr>
                <w:rFonts w:ascii="仿宋_GB2312" w:hAnsi="仿宋_GB2312" w:eastAsia="仿宋_GB2312" w:cs="仿宋_GB2312"/>
                <w:color w:val="000000" w:themeColor="text1"/>
                <w:sz w:val="24"/>
              </w:rPr>
              <w:t xml:space="preserve">    </w:t>
            </w:r>
            <w:r>
              <w:rPr>
                <w:rFonts w:hint="eastAsia" w:ascii="仿宋_GB2312" w:hAnsi="仿宋_GB2312" w:eastAsia="仿宋_GB2312" w:cs="仿宋_GB2312"/>
                <w:color w:val="000000" w:themeColor="text1"/>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rPr>
        <w:t>联系电话：</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560" w:lineRule="exact"/>
              <w:ind w:firstLine="560" w:firstLineChars="200"/>
              <w:rPr>
                <w:rFonts w:ascii="仿宋_GB2312" w:hAnsi="宋体" w:eastAsia="仿宋_GB2312" w:cs="宋体"/>
                <w:sz w:val="28"/>
                <w:szCs w:val="28"/>
                <w:shd w:val="clear" w:color="auto" w:fill="FFFFFF"/>
              </w:rPr>
            </w:pP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一、部门（单位）概况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（一）部门（单位）基本情况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单位为财政全额预算拨款单位，核定人员编制</w:t>
            </w:r>
            <w:r>
              <w:rPr>
                <w:rFonts w:ascii="仿宋_GB2312" w:hAnsi="宋体" w:eastAsia="仿宋_GB2312" w:cs="宋体"/>
                <w:sz w:val="28"/>
                <w:szCs w:val="28"/>
                <w:shd w:val="clear" w:color="auto" w:fill="FFFFFF"/>
              </w:rPr>
              <w:t>9</w:t>
            </w:r>
            <w:r>
              <w:rPr>
                <w:rFonts w:hint="eastAsia" w:ascii="仿宋_GB2312" w:hAnsi="宋体" w:eastAsia="仿宋_GB2312" w:cs="宋体"/>
                <w:sz w:val="28"/>
                <w:szCs w:val="28"/>
                <w:shd w:val="clear" w:color="auto" w:fill="FFFFFF"/>
              </w:rPr>
              <w:t>人，实有人数为</w:t>
            </w:r>
            <w:r>
              <w:rPr>
                <w:rFonts w:ascii="仿宋_GB2312" w:hAnsi="宋体" w:eastAsia="仿宋_GB2312" w:cs="宋体"/>
                <w:sz w:val="28"/>
                <w:szCs w:val="28"/>
                <w:shd w:val="clear" w:color="auto" w:fill="FFFFFF"/>
              </w:rPr>
              <w:t>9</w:t>
            </w:r>
            <w:r>
              <w:rPr>
                <w:rFonts w:hint="eastAsia" w:ascii="仿宋_GB2312" w:hAnsi="宋体" w:eastAsia="仿宋_GB2312" w:cs="宋体"/>
                <w:sz w:val="28"/>
                <w:szCs w:val="28"/>
                <w:shd w:val="clear" w:color="auto" w:fill="FFFFFF"/>
              </w:rPr>
              <w:t>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）职责职能：</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、参与全县政治、经济和社会生活中的重要问题的政治协商，发挥民主监督作用，积极参政议政；</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、做好工商界代表人士政治安排的推荐工作；</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、宣传、贯彻党和国家的路线、方针和政策，推动企业文化建设，支持企业党建工作和工会建设；</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4</w:t>
            </w:r>
            <w:r>
              <w:rPr>
                <w:rFonts w:hint="eastAsia" w:ascii="仿宋_GB2312" w:hAnsi="宋体" w:eastAsia="仿宋_GB2312" w:cs="宋体"/>
                <w:sz w:val="28"/>
                <w:szCs w:val="28"/>
                <w:shd w:val="clear" w:color="auto" w:fill="FFFFFF"/>
              </w:rPr>
              <w:t>、代表并维护会员企业和非公有制企业的合法权益，反映会员的意见、建议和要求；</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5</w:t>
            </w:r>
            <w:r>
              <w:rPr>
                <w:rFonts w:hint="eastAsia" w:ascii="仿宋_GB2312" w:hAnsi="宋体" w:eastAsia="仿宋_GB2312" w:cs="宋体"/>
                <w:sz w:val="28"/>
                <w:szCs w:val="28"/>
                <w:shd w:val="clear" w:color="auto" w:fill="FFFFFF"/>
              </w:rPr>
              <w:t>、引导会员按照科学发展观的要求，转变经济发展方式，加强能源资源节约，重视生态环境保护，建立和谐劳动关系。遵守国家的法律、法规，规范经营，照章纳税，建立现代企业制度，维护市场经济秩序；</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6</w:t>
            </w:r>
            <w:r>
              <w:rPr>
                <w:rFonts w:hint="eastAsia" w:ascii="仿宋_GB2312" w:hAnsi="宋体" w:eastAsia="仿宋_GB2312" w:cs="宋体"/>
                <w:sz w:val="28"/>
                <w:szCs w:val="28"/>
                <w:shd w:val="clear" w:color="auto" w:fill="FFFFFF"/>
              </w:rPr>
              <w:t>、加强和改进非公有制经济人士思想政治工作。引导会员弘扬中华民族传统美德，致富思源，富而思进，积极承担社会责任，自觉把自身企业的发展与国家的发展结合起来，把个人富裕与全体人民的共同富裕结合起来，把遵循市场法则与发扬社会主义道德结合起来，爱国、敬业、诚信、守法、贡献，热心公益事业，投身光彩事业，当好中国特色社会主义事业建设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7</w:t>
            </w:r>
            <w:r>
              <w:rPr>
                <w:rFonts w:hint="eastAsia" w:ascii="仿宋_GB2312" w:hAnsi="宋体" w:eastAsia="仿宋_GB2312" w:cs="宋体"/>
                <w:sz w:val="28"/>
                <w:szCs w:val="28"/>
                <w:shd w:val="clear" w:color="auto" w:fill="FFFFFF"/>
              </w:rPr>
              <w:t>、为非公有制企业提供信息、科技、管理、法律、会计、审计、融资、咨询等服务；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8</w:t>
            </w:r>
            <w:r>
              <w:rPr>
                <w:rFonts w:hint="eastAsia" w:ascii="仿宋_GB2312" w:hAnsi="宋体" w:eastAsia="仿宋_GB2312" w:cs="宋体"/>
                <w:sz w:val="28"/>
                <w:szCs w:val="28"/>
                <w:shd w:val="clear" w:color="auto" w:fill="FFFFFF"/>
              </w:rPr>
              <w:t>、开展工商专业培训，帮助非公有制企业改进经营管理，完善财务管理，提高生产技术和产品质量；</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9</w:t>
            </w:r>
            <w:r>
              <w:rPr>
                <w:rFonts w:hint="eastAsia" w:ascii="仿宋_GB2312" w:hAnsi="宋体" w:eastAsia="仿宋_GB2312" w:cs="宋体"/>
                <w:sz w:val="28"/>
                <w:szCs w:val="28"/>
                <w:shd w:val="clear" w:color="auto" w:fill="FFFFFF"/>
              </w:rPr>
              <w:t>、组织非公有制企业举办和参加各种对外展销会、交易会，组织出境出国考察访问，帮助企业开拓市场；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10</w:t>
            </w:r>
            <w:r>
              <w:rPr>
                <w:rFonts w:hint="eastAsia" w:ascii="仿宋_GB2312" w:hAnsi="宋体" w:eastAsia="仿宋_GB2312" w:cs="宋体"/>
                <w:sz w:val="28"/>
                <w:szCs w:val="28"/>
                <w:shd w:val="clear" w:color="auto" w:fill="FFFFFF"/>
              </w:rPr>
              <w:t>、增进与各地工商社团及工商经济界人士的联系和友谊，促进经济、技术和贸易合作的发展，协助引进资金、技术、人才。提供对内、对外经贸交流服务，提供公共关系沟通协调服务，帮助会员增强自主创新能力，提高核心竞争力和可持续发展能力。增强与港澳台地区工商界人士的联系，开展促进经贸合作和促进祖国统一的工作，增进与国外工商社团的交往，为国家扩大对外开放，企业走向国际市场服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11</w:t>
            </w:r>
            <w:r>
              <w:rPr>
                <w:rFonts w:hint="eastAsia" w:ascii="仿宋_GB2312" w:hAnsi="宋体" w:eastAsia="仿宋_GB2312" w:cs="宋体"/>
                <w:sz w:val="28"/>
                <w:szCs w:val="28"/>
                <w:shd w:val="clear" w:color="auto" w:fill="FFFFFF"/>
              </w:rPr>
              <w:t>、加强自身建设，体现特色，提高履行职责和发挥作用的能力，依法加强会员管理，增强凝聚力；</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、承办县委、县政府和有关部门委托事项</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）内设机构：办公室、党建办和会员办。</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（二）部门（单位）整体支出规模</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、收入情况：全年收入</w:t>
            </w:r>
            <w:r>
              <w:rPr>
                <w:rFonts w:ascii="仿宋_GB2312" w:hAnsi="宋体" w:eastAsia="仿宋_GB2312" w:cs="宋体"/>
                <w:sz w:val="28"/>
                <w:szCs w:val="28"/>
                <w:shd w:val="clear" w:color="auto" w:fill="FFFFFF"/>
              </w:rPr>
              <w:t>198.2</w:t>
            </w:r>
            <w:r>
              <w:rPr>
                <w:rFonts w:hint="eastAsia" w:ascii="仿宋_GB2312" w:hAnsi="宋体" w:eastAsia="仿宋_GB2312" w:cs="宋体"/>
                <w:sz w:val="28"/>
                <w:szCs w:val="28"/>
                <w:shd w:val="clear" w:color="auto" w:fill="FFFFFF"/>
              </w:rPr>
              <w:t>万元，其中：预算安排</w:t>
            </w:r>
            <w:r>
              <w:rPr>
                <w:rFonts w:ascii="仿宋_GB2312" w:hAnsi="宋体" w:eastAsia="仿宋_GB2312" w:cs="宋体"/>
                <w:sz w:val="28"/>
                <w:szCs w:val="28"/>
                <w:shd w:val="clear" w:color="auto" w:fill="FFFFFF"/>
              </w:rPr>
              <w:t>198.2</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、支出情况</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全年支出</w:t>
            </w:r>
            <w:r>
              <w:rPr>
                <w:rFonts w:ascii="仿宋_GB2312" w:hAnsi="宋体" w:eastAsia="仿宋_GB2312" w:cs="宋体"/>
                <w:sz w:val="28"/>
                <w:szCs w:val="28"/>
                <w:shd w:val="clear" w:color="auto" w:fill="FFFFFF"/>
              </w:rPr>
              <w:t>184.7</w:t>
            </w:r>
            <w:r>
              <w:rPr>
                <w:rFonts w:hint="eastAsia" w:ascii="仿宋_GB2312" w:hAnsi="宋体" w:eastAsia="仿宋_GB2312" w:cs="宋体"/>
                <w:sz w:val="28"/>
                <w:szCs w:val="28"/>
                <w:shd w:val="clear" w:color="auto" w:fill="FFFFFF"/>
              </w:rPr>
              <w:t>万元，其中：基本支出</w:t>
            </w:r>
            <w:r>
              <w:rPr>
                <w:rFonts w:ascii="仿宋_GB2312" w:hAnsi="宋体" w:eastAsia="仿宋_GB2312" w:cs="宋体"/>
                <w:sz w:val="28"/>
                <w:szCs w:val="28"/>
                <w:shd w:val="clear" w:color="auto" w:fill="FFFFFF"/>
              </w:rPr>
              <w:t>184.7</w:t>
            </w:r>
            <w:r>
              <w:rPr>
                <w:rFonts w:hint="eastAsia" w:ascii="仿宋_GB2312" w:hAnsi="宋体" w:eastAsia="仿宋_GB2312" w:cs="宋体"/>
                <w:sz w:val="28"/>
                <w:szCs w:val="28"/>
                <w:shd w:val="clear" w:color="auto" w:fill="FFFFFF"/>
              </w:rPr>
              <w:t>万元（工资福利支出</w:t>
            </w:r>
            <w:r>
              <w:rPr>
                <w:rFonts w:ascii="仿宋_GB2312" w:hAnsi="宋体" w:eastAsia="仿宋_GB2312" w:cs="宋体"/>
                <w:sz w:val="28"/>
                <w:szCs w:val="28"/>
                <w:shd w:val="clear" w:color="auto" w:fill="FFFFFF"/>
              </w:rPr>
              <w:t>88</w:t>
            </w:r>
            <w:r>
              <w:rPr>
                <w:rFonts w:hint="eastAsia" w:ascii="仿宋_GB2312" w:hAnsi="宋体" w:eastAsia="仿宋_GB2312" w:cs="宋体"/>
                <w:sz w:val="28"/>
                <w:szCs w:val="28"/>
                <w:shd w:val="clear" w:color="auto" w:fill="FFFFFF"/>
              </w:rPr>
              <w:t>万元，商品和服务支出</w:t>
            </w:r>
            <w:r>
              <w:rPr>
                <w:rFonts w:ascii="仿宋_GB2312" w:hAnsi="宋体" w:eastAsia="仿宋_GB2312" w:cs="宋体"/>
                <w:sz w:val="28"/>
                <w:szCs w:val="28"/>
                <w:shd w:val="clear" w:color="auto" w:fill="FFFFFF"/>
              </w:rPr>
              <w:t>66.1</w:t>
            </w:r>
            <w:r>
              <w:rPr>
                <w:rFonts w:hint="eastAsia" w:ascii="仿宋_GB2312" w:hAnsi="宋体" w:eastAsia="仿宋_GB2312" w:cs="宋体"/>
                <w:sz w:val="28"/>
                <w:szCs w:val="28"/>
                <w:shd w:val="clear" w:color="auto" w:fill="FFFFFF"/>
              </w:rPr>
              <w:t>万元，对个人和家庭补助支出</w:t>
            </w:r>
            <w:r>
              <w:rPr>
                <w:rFonts w:ascii="仿宋_GB2312" w:hAnsi="宋体" w:eastAsia="仿宋_GB2312" w:cs="宋体"/>
                <w:sz w:val="28"/>
                <w:szCs w:val="28"/>
                <w:shd w:val="clear" w:color="auto" w:fill="FFFFFF"/>
              </w:rPr>
              <w:t>3.6</w:t>
            </w:r>
            <w:r>
              <w:rPr>
                <w:rFonts w:hint="eastAsia" w:ascii="仿宋_GB2312" w:hAnsi="宋体" w:eastAsia="仿宋_GB2312" w:cs="宋体"/>
                <w:sz w:val="28"/>
                <w:szCs w:val="28"/>
                <w:shd w:val="clear" w:color="auto" w:fill="FFFFFF"/>
              </w:rPr>
              <w:t>万元，资本性支出</w:t>
            </w: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万元，其他支出</w:t>
            </w:r>
            <w:r>
              <w:rPr>
                <w:rFonts w:ascii="仿宋_GB2312" w:hAnsi="宋体" w:eastAsia="仿宋_GB2312" w:cs="宋体"/>
                <w:sz w:val="28"/>
                <w:szCs w:val="28"/>
                <w:shd w:val="clear" w:color="auto" w:fill="FFFFFF"/>
              </w:rPr>
              <w:t>25</w:t>
            </w:r>
            <w:r>
              <w:rPr>
                <w:rFonts w:hint="eastAsia" w:ascii="仿宋_GB2312" w:hAnsi="宋体" w:eastAsia="仿宋_GB2312" w:cs="宋体"/>
                <w:sz w:val="28"/>
                <w:szCs w:val="28"/>
                <w:shd w:val="clear" w:color="auto" w:fill="FFFFFF"/>
              </w:rPr>
              <w:t>万元）；项目支出</w:t>
            </w:r>
            <w:r>
              <w:rPr>
                <w:rFonts w:ascii="仿宋_GB2312" w:hAnsi="宋体" w:eastAsia="仿宋_GB2312" w:cs="宋体"/>
                <w:sz w:val="28"/>
                <w:szCs w:val="28"/>
                <w:shd w:val="clear" w:color="auto" w:fill="FFFFFF"/>
              </w:rPr>
              <w:t>0</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二、部门（单位）整体支出管理及使用情况</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（一）基本支出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、部门整体支出情况分析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年整体支出</w:t>
            </w:r>
            <w:r>
              <w:rPr>
                <w:rFonts w:ascii="仿宋_GB2312" w:hAnsi="宋体" w:eastAsia="仿宋_GB2312" w:cs="宋体"/>
                <w:sz w:val="28"/>
                <w:szCs w:val="28"/>
                <w:shd w:val="clear" w:color="auto" w:fill="FFFFFF"/>
              </w:rPr>
              <w:t>184.7</w:t>
            </w:r>
            <w:r>
              <w:rPr>
                <w:rFonts w:hint="eastAsia" w:ascii="仿宋_GB2312" w:hAnsi="宋体" w:eastAsia="仿宋_GB2312" w:cs="宋体"/>
                <w:sz w:val="28"/>
                <w:szCs w:val="28"/>
                <w:shd w:val="clear" w:color="auto" w:fill="FFFFFF"/>
              </w:rPr>
              <w:t>万元，其中基本支出</w:t>
            </w:r>
            <w:r>
              <w:rPr>
                <w:rFonts w:ascii="仿宋_GB2312" w:hAnsi="宋体" w:eastAsia="仿宋_GB2312" w:cs="宋体"/>
                <w:sz w:val="28"/>
                <w:szCs w:val="28"/>
                <w:shd w:val="clear" w:color="auto" w:fill="FFFFFF"/>
              </w:rPr>
              <w:t>184.7</w:t>
            </w:r>
            <w:r>
              <w:rPr>
                <w:rFonts w:hint="eastAsia" w:ascii="仿宋_GB2312" w:hAnsi="宋体" w:eastAsia="仿宋_GB2312" w:cs="宋体"/>
                <w:sz w:val="28"/>
                <w:szCs w:val="28"/>
                <w:shd w:val="clear" w:color="auto" w:fill="FFFFFF"/>
              </w:rPr>
              <w:t>万元，人员支出</w:t>
            </w:r>
            <w:r>
              <w:rPr>
                <w:rFonts w:ascii="仿宋_GB2312" w:hAnsi="宋体" w:eastAsia="仿宋_GB2312" w:cs="宋体"/>
                <w:sz w:val="28"/>
                <w:szCs w:val="28"/>
                <w:shd w:val="clear" w:color="auto" w:fill="FFFFFF"/>
              </w:rPr>
              <w:t>91.6</w:t>
            </w:r>
            <w:r>
              <w:rPr>
                <w:rFonts w:hint="eastAsia" w:ascii="仿宋_GB2312" w:hAnsi="宋体" w:eastAsia="仿宋_GB2312" w:cs="宋体"/>
                <w:sz w:val="28"/>
                <w:szCs w:val="28"/>
                <w:shd w:val="clear" w:color="auto" w:fill="FFFFFF"/>
              </w:rPr>
              <w:t>万元，占基本支出</w:t>
            </w:r>
            <w:r>
              <w:rPr>
                <w:rFonts w:ascii="仿宋_GB2312" w:hAnsi="宋体" w:eastAsia="仿宋_GB2312" w:cs="宋体"/>
                <w:sz w:val="28"/>
                <w:szCs w:val="28"/>
                <w:shd w:val="clear" w:color="auto" w:fill="FFFFFF"/>
              </w:rPr>
              <w:t>50%</w:t>
            </w:r>
            <w:r>
              <w:rPr>
                <w:rFonts w:hint="eastAsia" w:ascii="仿宋_GB2312" w:hAnsi="宋体" w:eastAsia="仿宋_GB2312" w:cs="宋体"/>
                <w:sz w:val="28"/>
                <w:szCs w:val="28"/>
                <w:shd w:val="clear" w:color="auto" w:fill="FFFFFF"/>
              </w:rPr>
              <w:t>，公用支出</w:t>
            </w:r>
            <w:r>
              <w:rPr>
                <w:rFonts w:ascii="仿宋_GB2312" w:hAnsi="宋体" w:eastAsia="仿宋_GB2312" w:cs="宋体"/>
                <w:sz w:val="28"/>
                <w:szCs w:val="28"/>
                <w:shd w:val="clear" w:color="auto" w:fill="FFFFFF"/>
              </w:rPr>
              <w:t>93.1</w:t>
            </w:r>
            <w:r>
              <w:rPr>
                <w:rFonts w:hint="eastAsia" w:ascii="仿宋_GB2312" w:hAnsi="宋体" w:eastAsia="仿宋_GB2312" w:cs="宋体"/>
                <w:sz w:val="28"/>
                <w:szCs w:val="28"/>
                <w:shd w:val="clear" w:color="auto" w:fill="FFFFFF"/>
              </w:rPr>
              <w:t>万元，占基本支出</w:t>
            </w:r>
            <w:r>
              <w:rPr>
                <w:rFonts w:ascii="仿宋_GB2312" w:hAnsi="宋体" w:eastAsia="仿宋_GB2312" w:cs="宋体"/>
                <w:sz w:val="28"/>
                <w:szCs w:val="28"/>
                <w:shd w:val="clear" w:color="auto" w:fill="FFFFFF"/>
              </w:rPr>
              <w:t>50%</w:t>
            </w:r>
            <w:r>
              <w:rPr>
                <w:rFonts w:hint="eastAsia" w:ascii="仿宋_GB2312" w:hAnsi="宋体" w:eastAsia="仿宋_GB2312" w:cs="宋体"/>
                <w:sz w:val="28"/>
                <w:szCs w:val="28"/>
                <w:shd w:val="clear" w:color="auto" w:fill="FFFFFF"/>
              </w:rPr>
              <w:t>。项目支出</w:t>
            </w:r>
            <w:r>
              <w:rPr>
                <w:rFonts w:ascii="仿宋_GB2312" w:hAnsi="宋体" w:eastAsia="仿宋_GB2312" w:cs="宋体"/>
                <w:sz w:val="28"/>
                <w:szCs w:val="28"/>
                <w:shd w:val="clear" w:color="auto" w:fill="FFFFFF"/>
              </w:rPr>
              <w:t>0</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、“三公经费”支出情况分析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年“三公经费”预算</w:t>
            </w: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万元，实际开支</w:t>
            </w:r>
            <w:r>
              <w:rPr>
                <w:rFonts w:ascii="仿宋_GB2312" w:hAnsi="宋体" w:eastAsia="仿宋_GB2312" w:cs="宋体"/>
                <w:sz w:val="28"/>
                <w:szCs w:val="28"/>
                <w:shd w:val="clear" w:color="auto" w:fill="FFFFFF"/>
              </w:rPr>
              <w:t>2.6</w:t>
            </w:r>
            <w:r>
              <w:rPr>
                <w:rFonts w:hint="eastAsia" w:ascii="仿宋_GB2312" w:hAnsi="宋体" w:eastAsia="仿宋_GB2312" w:cs="宋体"/>
                <w:sz w:val="28"/>
                <w:szCs w:val="28"/>
                <w:shd w:val="clear" w:color="auto" w:fill="FFFFFF"/>
              </w:rPr>
              <w:t>万元，“三公经费”比预算减少</w:t>
            </w:r>
            <w:r>
              <w:rPr>
                <w:rFonts w:ascii="仿宋_GB2312" w:hAnsi="宋体" w:eastAsia="仿宋_GB2312" w:cs="宋体"/>
                <w:sz w:val="28"/>
                <w:szCs w:val="28"/>
                <w:shd w:val="clear" w:color="auto" w:fill="FFFFFF"/>
              </w:rPr>
              <w:t>0.4</w:t>
            </w:r>
            <w:r>
              <w:rPr>
                <w:rFonts w:hint="eastAsia" w:ascii="仿宋_GB2312" w:hAnsi="宋体" w:eastAsia="仿宋_GB2312" w:cs="宋体"/>
                <w:sz w:val="28"/>
                <w:szCs w:val="28"/>
                <w:shd w:val="clear" w:color="auto" w:fill="FFFFFF"/>
              </w:rPr>
              <w:t>万元，控制在预算之内。</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3</w:t>
            </w:r>
            <w:r>
              <w:rPr>
                <w:rFonts w:hint="eastAsia" w:ascii="仿宋_GB2312" w:hAnsi="宋体" w:eastAsia="仿宋_GB2312" w:cs="宋体"/>
                <w:sz w:val="28"/>
                <w:szCs w:val="28"/>
                <w:shd w:val="clear" w:color="auto" w:fill="FFFFFF"/>
              </w:rPr>
              <w:t>、固定资产管理情况分析</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按照例行节约，物尽其用的原则，资产管理采取统一建账，统一核算管理，对每件固定资产使用明确保管职责，闲置的资产，由办公室统一调整，合理流动，发挥其效益；至</w:t>
            </w: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w:t>
            </w:r>
            <w:r>
              <w:rPr>
                <w:rFonts w:ascii="仿宋_GB2312" w:hAnsi="宋体" w:eastAsia="仿宋_GB2312" w:cs="宋体"/>
                <w:sz w:val="28"/>
                <w:szCs w:val="28"/>
                <w:shd w:val="clear" w:color="auto" w:fill="FFFFFF"/>
              </w:rPr>
              <w:t>12</w:t>
            </w:r>
            <w:r>
              <w:rPr>
                <w:rFonts w:hint="eastAsia" w:ascii="仿宋_GB2312" w:hAnsi="宋体" w:eastAsia="仿宋_GB2312" w:cs="宋体"/>
                <w:sz w:val="28"/>
                <w:szCs w:val="28"/>
                <w:shd w:val="clear" w:color="auto" w:fill="FFFFFF"/>
              </w:rPr>
              <w:t>月末固定资产</w:t>
            </w:r>
            <w:r>
              <w:rPr>
                <w:rFonts w:ascii="仿宋_GB2312" w:hAnsi="宋体" w:eastAsia="仿宋_GB2312" w:cs="宋体"/>
                <w:sz w:val="28"/>
                <w:szCs w:val="28"/>
                <w:shd w:val="clear" w:color="auto" w:fill="FFFFFF"/>
              </w:rPr>
              <w:t>9.7</w:t>
            </w:r>
            <w:r>
              <w:rPr>
                <w:rFonts w:hint="eastAsia" w:ascii="仿宋_GB2312" w:hAnsi="宋体" w:eastAsia="仿宋_GB2312" w:cs="宋体"/>
                <w:sz w:val="28"/>
                <w:szCs w:val="28"/>
                <w:shd w:val="clear" w:color="auto" w:fill="FFFFFF"/>
              </w:rPr>
              <w:t>万元</w:t>
            </w:r>
            <w:r>
              <w:rPr>
                <w:rFonts w:ascii="仿宋_GB2312" w:hAnsi="宋体" w:eastAsia="仿宋_GB2312" w:cs="宋体"/>
                <w:sz w:val="28"/>
                <w:szCs w:val="28"/>
                <w:shd w:val="clear" w:color="auto" w:fill="FFFFFF"/>
              </w:rPr>
              <w:t>.</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（二）专项支出</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、专项资金安排落实、总投入等情况分析</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年项目支出</w:t>
            </w:r>
            <w:r>
              <w:rPr>
                <w:rFonts w:ascii="仿宋_GB2312" w:hAnsi="宋体" w:eastAsia="仿宋_GB2312" w:cs="宋体"/>
                <w:sz w:val="28"/>
                <w:szCs w:val="28"/>
                <w:shd w:val="clear" w:color="auto" w:fill="FFFFFF"/>
              </w:rPr>
              <w:t>0</w:t>
            </w:r>
            <w:r>
              <w:rPr>
                <w:rFonts w:hint="eastAsia" w:ascii="仿宋_GB2312" w:hAnsi="宋体" w:eastAsia="仿宋_GB2312" w:cs="宋体"/>
                <w:sz w:val="28"/>
                <w:szCs w:val="28"/>
                <w:shd w:val="clear" w:color="auto" w:fill="FFFFFF"/>
              </w:rPr>
              <w:t>万元。</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三、部门（单位）整体支出绩效情况</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根据年初工作规划和重点工作，围绕县委、县政府的工作部署，积极履行职责，强化管理，较好地完成了年度工作目标，同时加强预算收支的管理，建立健全内部管理制度，严格内部管理流程，部门整体支出管理得到了提升。</w:t>
            </w:r>
            <w:r>
              <w:rPr>
                <w:rFonts w:ascii="仿宋_GB2312" w:hAnsi="宋体" w:eastAsia="仿宋_GB2312" w:cs="宋体"/>
                <w:sz w:val="28"/>
                <w:szCs w:val="28"/>
                <w:shd w:val="clear" w:color="auto" w:fill="FFFFFF"/>
              </w:rPr>
              <w:t>2019</w:t>
            </w:r>
            <w:r>
              <w:rPr>
                <w:rFonts w:hint="eastAsia" w:ascii="仿宋_GB2312" w:hAnsi="宋体" w:eastAsia="仿宋_GB2312" w:cs="宋体"/>
                <w:sz w:val="28"/>
                <w:szCs w:val="28"/>
                <w:shd w:val="clear" w:color="auto" w:fill="FFFFFF"/>
              </w:rPr>
              <w:t>年度部门整体支出绩效情况如下：</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1.</w:t>
            </w:r>
            <w:r>
              <w:rPr>
                <w:rFonts w:hint="eastAsia" w:ascii="仿宋_GB2312" w:hAnsi="宋体" w:eastAsia="仿宋_GB2312" w:cs="宋体"/>
                <w:sz w:val="28"/>
                <w:szCs w:val="28"/>
                <w:shd w:val="clear" w:color="auto" w:fill="FFFFFF"/>
              </w:rPr>
              <w:t>严格预算支出管理。在支出预算编制上，人员经费按照配置定额，逐人核定编制，公用经费分类分档，按定额编制；根据“总量控制、计划管理”的要求从严控制行政经费，压缩一般性支出，严格控制“三公”经费，资产的配置严格政府采购，按照预算科目和项目资金的规定使用财政资金，保障部门整体支出的规范化、制度化。</w:t>
            </w:r>
          </w:p>
          <w:p>
            <w:pPr>
              <w:spacing w:line="560" w:lineRule="exact"/>
              <w:ind w:firstLine="560" w:firstLineChars="200"/>
              <w:rPr>
                <w:rFonts w:ascii="仿宋_GB2312" w:hAnsi="宋体" w:eastAsia="仿宋_GB2312" w:cs="宋体"/>
                <w:sz w:val="28"/>
                <w:szCs w:val="28"/>
                <w:shd w:val="clear" w:color="auto" w:fill="FFFFFF"/>
              </w:rPr>
            </w:pPr>
            <w:r>
              <w:rPr>
                <w:rFonts w:ascii="仿宋_GB2312" w:hAnsi="宋体" w:eastAsia="仿宋_GB2312" w:cs="宋体"/>
                <w:sz w:val="28"/>
                <w:szCs w:val="28"/>
                <w:shd w:val="clear" w:color="auto" w:fill="FFFFFF"/>
              </w:rPr>
              <w:t>2.</w:t>
            </w:r>
            <w:r>
              <w:rPr>
                <w:rFonts w:hint="eastAsia" w:ascii="仿宋_GB2312" w:hAnsi="宋体" w:eastAsia="仿宋_GB2312" w:cs="宋体"/>
                <w:sz w:val="28"/>
                <w:szCs w:val="28"/>
                <w:shd w:val="clear" w:color="auto" w:fill="FFFFFF"/>
              </w:rPr>
              <w:t>财务管理上，按照国家相关法律法规，制定了机关财务、公物购置使用、接待、会务、差旅等管理制度，并严格按照制度管理和执行，防范风险，保证财政资金的安全和高效运行。</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根据考核评分细则，严格按照国家的相关财务管理制度规定，财务制度健全、会计核算规范，依照计划管理使用，整体支出对保障正常运行、贯彻执行国家方针、政策、法律法规，发挥了重要作用，强化部门的责任，取得了一定的成绩，确保全县各项社会稳定。</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五、存在的主要问题</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一是“三公经费”有待更严格控制</w:t>
            </w:r>
            <w:r>
              <w:rPr>
                <w:rFonts w:ascii="仿宋_GB2312" w:hAnsi="宋体" w:eastAsia="仿宋_GB2312" w:cs="宋体"/>
                <w:sz w:val="28"/>
                <w:szCs w:val="28"/>
                <w:shd w:val="clear" w:color="auto" w:fill="FFFFFF"/>
              </w:rPr>
              <w:t>,</w:t>
            </w:r>
            <w:r>
              <w:rPr>
                <w:rFonts w:hint="eastAsia" w:ascii="仿宋_GB2312" w:hAnsi="宋体" w:eastAsia="仿宋_GB2312" w:cs="宋体"/>
                <w:sz w:val="28"/>
                <w:szCs w:val="28"/>
                <w:shd w:val="clear" w:color="auto" w:fill="FFFFFF"/>
              </w:rPr>
              <w:t>进一步加强厉行节约机制。</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二是预算编制与实际支出项目有的存在差异，有待进一步优化预算，提升预算编制的准确性。</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三是进一步完善差旅审批、会议审批、接待审批及培训审批制度和财务报账手续。</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六、改进措施和有关建议</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是按照预算规定的项目和用途严格财务审核，经费支出严格按预算规定项目的财务支出内容进行财务核算，在预算金额内严格控制费用的支出。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二是严格控制“三公经费”支出，杜绝挪用和挤占其他预算资金；进一步细化“三公经费”管理，压缩“三公经费”支出。</w:t>
            </w:r>
          </w:p>
          <w:p>
            <w:pPr>
              <w:spacing w:line="560" w:lineRule="exact"/>
              <w:ind w:firstLine="560" w:firstLineChars="200"/>
              <w:rPr>
                <w:rFonts w:ascii="仿宋_GB2312" w:hAnsi="宋体" w:eastAsia="仿宋_GB2312" w:cs="宋体"/>
                <w:sz w:val="28"/>
                <w:szCs w:val="28"/>
                <w:shd w:val="clear" w:color="auto" w:fill="FFFFFF"/>
              </w:rPr>
            </w:pPr>
            <w:r>
              <w:rPr>
                <w:rFonts w:hint="eastAsia" w:ascii="仿宋_GB2312" w:hAnsi="宋体" w:eastAsia="仿宋_GB2312" w:cs="宋体"/>
                <w:sz w:val="28"/>
                <w:szCs w:val="28"/>
                <w:shd w:val="clear" w:color="auto" w:fill="FFFFFF"/>
              </w:rPr>
              <w:t>三是预算财务分析常态化，定期做好预算支出财务分析，做好部门整体支出预算评价工作。</w:t>
            </w:r>
          </w:p>
          <w:p>
            <w:pPr>
              <w:spacing w:line="560" w:lineRule="exact"/>
              <w:ind w:firstLine="560" w:firstLineChars="200"/>
              <w:rPr>
                <w:rFonts w:ascii="仿宋_GB2312" w:hAnsi="宋体" w:eastAsia="仿宋_GB2312" w:cs="宋体"/>
                <w:sz w:val="28"/>
                <w:szCs w:val="28"/>
                <w:shd w:val="clear" w:color="auto" w:fill="FFFFFF"/>
              </w:rPr>
            </w:pPr>
          </w:p>
          <w:p>
            <w:pPr>
              <w:rPr>
                <w:rFonts w:eastAsia="楷体_GB2312"/>
                <w:bCs/>
                <w:sz w:val="28"/>
                <w:szCs w:val="28"/>
              </w:rPr>
            </w:pPr>
          </w:p>
        </w:tc>
      </w:tr>
    </w:tbl>
    <w:p>
      <w:pPr>
        <w:spacing w:line="200" w:lineRule="exact"/>
        <w:rPr>
          <w:rFonts w:eastAsia="仿宋_GB2312"/>
          <w:sz w:val="32"/>
        </w:rPr>
      </w:pPr>
      <w:bookmarkStart w:id="0" w:name="_GoBack"/>
      <w:bookmarkEnd w:id="0"/>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仿宋_GB2312"/>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sz w:val="24"/>
        <w:szCs w:val="24"/>
      </w:rPr>
      <w:t xml:space="preserve">— </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w:t>
    </w:r>
    <w:r>
      <w:rPr>
        <w:rStyle w:val="6"/>
        <w:sz w:val="24"/>
        <w:szCs w:val="24"/>
      </w:rPr>
      <w:fldChar w:fldCharType="end"/>
    </w:r>
    <w:r>
      <w:rPr>
        <w:rStyle w:val="6"/>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sz w:val="24"/>
        <w:szCs w:val="24"/>
      </w:rPr>
      <w:t xml:space="preserve">— </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10</w:t>
    </w:r>
    <w:r>
      <w:rPr>
        <w:rStyle w:val="6"/>
        <w:sz w:val="24"/>
        <w:szCs w:val="24"/>
      </w:rPr>
      <w:fldChar w:fldCharType="end"/>
    </w:r>
    <w:r>
      <w:rPr>
        <w:rStyle w:val="6"/>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9BDE83"/>
    <w:multiLevelType w:val="singleLevel"/>
    <w:tmpl w:val="CC9BDE8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E55C20"/>
    <w:rsid w:val="000556D0"/>
    <w:rsid w:val="002C0759"/>
    <w:rsid w:val="002F2C51"/>
    <w:rsid w:val="00325D3C"/>
    <w:rsid w:val="003E5C5F"/>
    <w:rsid w:val="00421DCD"/>
    <w:rsid w:val="006334CE"/>
    <w:rsid w:val="006655BC"/>
    <w:rsid w:val="00743B72"/>
    <w:rsid w:val="00747BB0"/>
    <w:rsid w:val="007642F1"/>
    <w:rsid w:val="007B2063"/>
    <w:rsid w:val="00806BBB"/>
    <w:rsid w:val="008277A9"/>
    <w:rsid w:val="009368A9"/>
    <w:rsid w:val="009802E9"/>
    <w:rsid w:val="009A73E3"/>
    <w:rsid w:val="00A6242D"/>
    <w:rsid w:val="00AB3CD0"/>
    <w:rsid w:val="00AC6FAF"/>
    <w:rsid w:val="00B463D6"/>
    <w:rsid w:val="00B628A6"/>
    <w:rsid w:val="00BD754E"/>
    <w:rsid w:val="00CD1D08"/>
    <w:rsid w:val="00CE7F70"/>
    <w:rsid w:val="00D3266D"/>
    <w:rsid w:val="00D82FE4"/>
    <w:rsid w:val="00DF1989"/>
    <w:rsid w:val="00E02D67"/>
    <w:rsid w:val="00E3782E"/>
    <w:rsid w:val="00EC1CA2"/>
    <w:rsid w:val="00F71FF8"/>
    <w:rsid w:val="058B5BFA"/>
    <w:rsid w:val="083749E7"/>
    <w:rsid w:val="0DE528CD"/>
    <w:rsid w:val="18725427"/>
    <w:rsid w:val="1FAC7462"/>
    <w:rsid w:val="263C173A"/>
    <w:rsid w:val="2CA33441"/>
    <w:rsid w:val="2CE55C20"/>
    <w:rsid w:val="2F287302"/>
    <w:rsid w:val="30426D13"/>
    <w:rsid w:val="3A43255A"/>
    <w:rsid w:val="3D6201A1"/>
    <w:rsid w:val="477245B4"/>
    <w:rsid w:val="4E4F0BB0"/>
    <w:rsid w:val="5BE95901"/>
    <w:rsid w:val="62426F0B"/>
    <w:rsid w:val="6A0A15CD"/>
    <w:rsid w:val="6DF352BD"/>
    <w:rsid w:val="705E3E6D"/>
    <w:rsid w:val="71C1048A"/>
    <w:rsid w:val="73F35F5B"/>
    <w:rsid w:val="79C04582"/>
    <w:rsid w:val="7D1F0D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
    <w:uiPriority w:val="99"/>
    <w:pPr>
      <w:ind w:firstLine="588" w:firstLineChars="200"/>
    </w:pPr>
    <w:rPr>
      <w:rFonts w:ascii="仿宋_GB2312" w:hAnsi="Calibri" w:eastAsia="仿宋_GB2312"/>
      <w:sz w:val="32"/>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character" w:styleId="6">
    <w:name w:val="page number"/>
    <w:basedOn w:val="5"/>
    <w:qFormat/>
    <w:uiPriority w:val="99"/>
    <w:rPr>
      <w:rFonts w:cs="Times New Roman"/>
    </w:rPr>
  </w:style>
  <w:style w:type="character" w:customStyle="1" w:styleId="7">
    <w:name w:val="Body Text Indent 2 Char"/>
    <w:basedOn w:val="5"/>
    <w:link w:val="2"/>
    <w:semiHidden/>
    <w:locked/>
    <w:uiPriority w:val="99"/>
    <w:rPr>
      <w:rFonts w:cs="Times New Roman"/>
      <w:sz w:val="24"/>
      <w:szCs w:val="24"/>
    </w:rPr>
  </w:style>
  <w:style w:type="character" w:customStyle="1" w:styleId="8">
    <w:name w:val="Footer Char"/>
    <w:basedOn w:val="5"/>
    <w:link w:val="3"/>
    <w:semiHidden/>
    <w:qFormat/>
    <w:locked/>
    <w:uiPriority w:val="99"/>
    <w:rPr>
      <w:rFonts w:cs="Times New Roman"/>
      <w:sz w:val="18"/>
      <w:szCs w:val="18"/>
    </w:rPr>
  </w:style>
  <w:style w:type="character" w:customStyle="1" w:styleId="9">
    <w:name w:val="标题 3 Char Char"/>
    <w:uiPriority w:val="99"/>
    <w:rPr>
      <w:rFonts w:eastAsia="楷体_GB2312"/>
      <w:b/>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19</Pages>
  <Words>1523</Words>
  <Characters>8685</Characters>
  <Lines>0</Lines>
  <Paragraphs>0</Paragraphs>
  <TotalTime>29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2019-08-12T01:11:00Z</cp:lastPrinted>
  <dcterms:modified xsi:type="dcterms:W3CDTF">2020-12-10T00:59:00Z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